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alibri" w:cs="Calibri" w:eastAsia="Calibri" w:hAnsi="Calibri"/>
          <w:sz w:val="11"/>
          <w:szCs w:val="11"/>
          <w:color w:val="003366"/>
        </w:rPr>
        <w:t>TABLE OF CONTENTS</w:t>
      </w:r>
    </w:p>
    <w:p>
      <w:pPr>
        <w:spacing w:after="0" w:line="3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November 3, 2025</w:t>
      </w:r>
    </w:p>
    <w:p>
      <w:pPr>
        <w:spacing w:after="0" w:line="21" w:lineRule="exact"/>
        <w:rPr>
          <w:sz w:val="24"/>
          <w:szCs w:val="24"/>
          <w:color w:val="auto"/>
        </w:rPr>
      </w:pPr>
    </w:p>
    <w:p>
      <w:pPr>
        <w:jc w:val="right"/>
        <w:ind w:right="659"/>
        <w:spacing w:after="0"/>
        <w:rPr>
          <w:sz w:val="20"/>
          <w:szCs w:val="20"/>
          <w:color w:val="auto"/>
        </w:rPr>
      </w:pPr>
      <w:r>
        <w:rPr>
          <w:rFonts w:ascii="Times New Roman" w:cs="Times New Roman" w:eastAsia="Times New Roman" w:hAnsi="Times New Roman"/>
          <w:sz w:val="12"/>
          <w:szCs w:val="12"/>
          <w:b w:val="1"/>
          <w:bCs w:val="1"/>
          <w:color w:val="auto"/>
        </w:rPr>
        <w:t>Registration No. 333-            ​</w:t>
      </w:r>
    </w:p>
    <w:p>
      <w:pPr>
        <w:spacing w:after="0" w:line="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425450</wp:posOffset>
            </wp:positionH>
            <wp:positionV relativeFrom="paragraph">
              <wp:posOffset>1905</wp:posOffset>
            </wp:positionV>
            <wp:extent cx="486854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68545" cy="133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35560</wp:posOffset>
            </wp:positionV>
            <wp:extent cx="48685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68545" cy="6985"/>
                    </a:xfrm>
                    <a:prstGeom prst="rect">
                      <a:avLst/>
                    </a:prstGeom>
                    <a:noFill/>
                  </pic:spPr>
                </pic:pic>
              </a:graphicData>
            </a:graphic>
          </wp:anchor>
        </w:drawing>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2428240</wp:posOffset>
            </wp:positionH>
            <wp:positionV relativeFrom="paragraph">
              <wp:posOffset>71755</wp:posOffset>
            </wp:positionV>
            <wp:extent cx="8629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2965" cy="6985"/>
                    </a:xfrm>
                    <a:prstGeom prst="rect">
                      <a:avLst/>
                    </a:prstGeom>
                    <a:noFill/>
                  </pic:spPr>
                </pic:pic>
              </a:graphicData>
            </a:graphic>
          </wp:anchor>
        </w:drawing>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F-3</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REGISTRATION STATEMENT</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2428240</wp:posOffset>
            </wp:positionH>
            <wp:positionV relativeFrom="paragraph">
              <wp:posOffset>34290</wp:posOffset>
            </wp:positionV>
            <wp:extent cx="86296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2965" cy="6985"/>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WeRide Inc.</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2428240</wp:posOffset>
            </wp:positionH>
            <wp:positionV relativeFrom="paragraph">
              <wp:posOffset>33655</wp:posOffset>
            </wp:positionV>
            <wp:extent cx="8629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2965" cy="6985"/>
                    </a:xfrm>
                    <a:prstGeom prst="rect">
                      <a:avLst/>
                    </a:prstGeom>
                    <a:noFill/>
                  </pic:spPr>
                </pic:pic>
              </a:graphicData>
            </a:graphic>
          </wp:anchor>
        </w:drawing>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2428240</wp:posOffset>
            </wp:positionH>
            <wp:positionV relativeFrom="paragraph">
              <wp:posOffset>52070</wp:posOffset>
            </wp:positionV>
            <wp:extent cx="86296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2965" cy="6985"/>
                    </a:xfrm>
                    <a:prstGeom prst="rect">
                      <a:avLst/>
                    </a:prstGeom>
                    <a:noFill/>
                  </pic:spPr>
                </pic:pic>
              </a:graphicData>
            </a:graphic>
          </wp:anchor>
        </w:drawing>
      </w:r>
    </w:p>
    <w:p>
      <w:pPr>
        <w:spacing w:after="0" w:line="119" w:lineRule="exact"/>
        <w:rPr>
          <w:sz w:val="24"/>
          <w:szCs w:val="24"/>
          <w:color w:val="auto"/>
        </w:rPr>
      </w:pPr>
    </w:p>
    <w:tbl>
      <w:tblPr>
        <w:tblLayout w:type="fixed"/>
        <w:tblInd w:w="680" w:type="dxa"/>
        <w:tblCellMar>
          <w:top w:w="0" w:type="dxa"/>
          <w:left w:w="0" w:type="dxa"/>
          <w:bottom w:w="0" w:type="dxa"/>
          <w:right w:w="0" w:type="dxa"/>
        </w:tblCellMar>
      </w:tblPr>
      <w:tr>
        <w:trPr>
          <w:trHeight w:val="159"/>
        </w:trPr>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640" w:type="dxa"/>
            <w:vAlign w:val="bottom"/>
            <w:gridSpan w:val="2"/>
          </w:tcPr>
          <w:p>
            <w:pPr>
              <w:jc w:val="center"/>
              <w:ind w:left="701"/>
              <w:spacing w:after="0"/>
              <w:rPr>
                <w:sz w:val="20"/>
                <w:szCs w:val="20"/>
                <w:color w:val="auto"/>
              </w:rPr>
            </w:pPr>
            <w:r>
              <w:rPr>
                <w:rFonts w:ascii="Times New Roman" w:cs="Times New Roman" w:eastAsia="Times New Roman" w:hAnsi="Times New Roman"/>
                <w:sz w:val="12"/>
                <w:szCs w:val="12"/>
                <w:b w:val="1"/>
                <w:bCs w:val="1"/>
                <w:color w:val="auto"/>
                <w:w w:val="96"/>
              </w:rPr>
              <w:t>Cayman Islands</w:t>
            </w:r>
          </w:p>
        </w:tc>
        <w:tc>
          <w:tcPr>
            <w:tcW w:w="340" w:type="dxa"/>
            <w:vAlign w:val="bottom"/>
          </w:tcPr>
          <w:p>
            <w:pPr>
              <w:spacing w:after="0"/>
              <w:rPr>
                <w:sz w:val="13"/>
                <w:szCs w:val="13"/>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 ​</w:t>
            </w:r>
          </w:p>
        </w:tc>
        <w:tc>
          <w:tcPr>
            <w:tcW w:w="380" w:type="dxa"/>
            <w:vAlign w:val="bottom"/>
          </w:tcPr>
          <w:p>
            <w:pPr>
              <w:spacing w:after="0"/>
              <w:rPr>
                <w:sz w:val="13"/>
                <w:szCs w:val="13"/>
                <w:color w:val="auto"/>
              </w:rPr>
            </w:pPr>
          </w:p>
        </w:tc>
        <w:tc>
          <w:tcPr>
            <w:tcW w:w="2200" w:type="dxa"/>
            <w:vAlign w:val="bottom"/>
          </w:tcPr>
          <w:p>
            <w:pPr>
              <w:jc w:val="center"/>
              <w:ind w:right="1042"/>
              <w:spacing w:after="0"/>
              <w:rPr>
                <w:sz w:val="20"/>
                <w:szCs w:val="20"/>
                <w:color w:val="auto"/>
              </w:rPr>
            </w:pPr>
            <w:r>
              <w:rPr>
                <w:rFonts w:ascii="Times New Roman" w:cs="Times New Roman" w:eastAsia="Times New Roman" w:hAnsi="Times New Roman"/>
                <w:sz w:val="12"/>
                <w:szCs w:val="12"/>
                <w:b w:val="1"/>
                <w:bCs w:val="1"/>
                <w:color w:val="auto"/>
                <w:w w:val="96"/>
              </w:rPr>
              <w:t>Not Applicable</w:t>
            </w:r>
          </w:p>
        </w:tc>
        <w:tc>
          <w:tcPr>
            <w:tcW w:w="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t>
            </w:r>
          </w:p>
        </w:tc>
      </w:tr>
      <w:tr>
        <w:trPr>
          <w:trHeight w:val="123"/>
        </w:trPr>
        <w:tc>
          <w:tcPr>
            <w:tcW w:w="160" w:type="dxa"/>
            <w:vAlign w:val="bottom"/>
          </w:tcPr>
          <w:p>
            <w:pPr>
              <w:spacing w:after="0"/>
              <w:rPr>
                <w:sz w:val="10"/>
                <w:szCs w:val="10"/>
                <w:color w:val="auto"/>
              </w:rPr>
            </w:pPr>
          </w:p>
        </w:tc>
        <w:tc>
          <w:tcPr>
            <w:tcW w:w="2640" w:type="dxa"/>
            <w:vAlign w:val="bottom"/>
            <w:gridSpan w:val="2"/>
          </w:tcPr>
          <w:p>
            <w:pPr>
              <w:jc w:val="center"/>
              <w:ind w:left="681"/>
              <w:spacing w:after="0" w:line="123" w:lineRule="exact"/>
              <w:rPr>
                <w:sz w:val="20"/>
                <w:szCs w:val="20"/>
                <w:color w:val="auto"/>
              </w:rPr>
            </w:pPr>
            <w:r>
              <w:rPr>
                <w:rFonts w:ascii="Times New Roman" w:cs="Times New Roman" w:eastAsia="Times New Roman" w:hAnsi="Times New Roman"/>
                <w:sz w:val="11"/>
                <w:szCs w:val="11"/>
                <w:color w:val="auto"/>
              </w:rPr>
              <w:t>(State or other jurisdiction of</w:t>
            </w:r>
          </w:p>
        </w:tc>
        <w:tc>
          <w:tcPr>
            <w:tcW w:w="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0" w:type="dxa"/>
            <w:vAlign w:val="bottom"/>
          </w:tcPr>
          <w:p>
            <w:pPr>
              <w:jc w:val="center"/>
              <w:ind w:right="1062"/>
              <w:spacing w:after="0" w:line="123" w:lineRule="exact"/>
              <w:rPr>
                <w:sz w:val="20"/>
                <w:szCs w:val="20"/>
                <w:color w:val="auto"/>
              </w:rPr>
            </w:pPr>
            <w:r>
              <w:rPr>
                <w:rFonts w:ascii="Times New Roman" w:cs="Times New Roman" w:eastAsia="Times New Roman" w:hAnsi="Times New Roman"/>
                <w:sz w:val="11"/>
                <w:szCs w:val="11"/>
                <w:color w:val="auto"/>
              </w:rPr>
              <w:t>(I.R.S. Employer</w:t>
            </w:r>
          </w:p>
        </w:tc>
        <w:tc>
          <w:tcPr>
            <w:tcW w:w="260" w:type="dxa"/>
            <w:vAlign w:val="bottom"/>
          </w:tcPr>
          <w:p>
            <w:pPr>
              <w:spacing w:after="0"/>
              <w:rPr>
                <w:sz w:val="10"/>
                <w:szCs w:val="10"/>
                <w:color w:val="auto"/>
              </w:rPr>
            </w:pPr>
          </w:p>
        </w:tc>
      </w:tr>
      <w:tr>
        <w:trPr>
          <w:trHeight w:val="155"/>
        </w:trPr>
        <w:tc>
          <w:tcPr>
            <w:tcW w:w="160" w:type="dxa"/>
            <w:vAlign w:val="bottom"/>
          </w:tcPr>
          <w:p>
            <w:pPr>
              <w:spacing w:after="0"/>
              <w:rPr>
                <w:sz w:val="13"/>
                <w:szCs w:val="13"/>
                <w:color w:val="auto"/>
              </w:rPr>
            </w:pPr>
          </w:p>
        </w:tc>
        <w:tc>
          <w:tcPr>
            <w:tcW w:w="2640" w:type="dxa"/>
            <w:vAlign w:val="bottom"/>
            <w:gridSpan w:val="2"/>
          </w:tcPr>
          <w:p>
            <w:pPr>
              <w:jc w:val="center"/>
              <w:ind w:left="741"/>
              <w:spacing w:after="0"/>
              <w:rPr>
                <w:sz w:val="20"/>
                <w:szCs w:val="20"/>
                <w:color w:val="auto"/>
              </w:rPr>
            </w:pPr>
            <w:r>
              <w:rPr>
                <w:rFonts w:ascii="Times New Roman" w:cs="Times New Roman" w:eastAsia="Times New Roman" w:hAnsi="Times New Roman"/>
                <w:sz w:val="11"/>
                <w:szCs w:val="11"/>
                <w:color w:val="auto"/>
              </w:rPr>
              <w:t>incorporation or organization)</w:t>
            </w: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0" w:type="dxa"/>
            <w:vAlign w:val="bottom"/>
          </w:tcPr>
          <w:p>
            <w:pPr>
              <w:jc w:val="center"/>
              <w:ind w:right="1042"/>
              <w:spacing w:after="0"/>
              <w:rPr>
                <w:sz w:val="20"/>
                <w:szCs w:val="20"/>
                <w:color w:val="auto"/>
              </w:rPr>
            </w:pPr>
            <w:r>
              <w:rPr>
                <w:rFonts w:ascii="Times New Roman" w:cs="Times New Roman" w:eastAsia="Times New Roman" w:hAnsi="Times New Roman"/>
                <w:sz w:val="11"/>
                <w:szCs w:val="11"/>
                <w:color w:val="auto"/>
              </w:rPr>
              <w:t>Identification Number)</w:t>
            </w:r>
          </w:p>
        </w:tc>
        <w:tc>
          <w:tcPr>
            <w:tcW w:w="260" w:type="dxa"/>
            <w:vAlign w:val="bottom"/>
          </w:tcPr>
          <w:p>
            <w:pPr>
              <w:spacing w:after="0"/>
              <w:rPr>
                <w:sz w:val="13"/>
                <w:szCs w:val="13"/>
                <w:color w:val="auto"/>
              </w:rPr>
            </w:pPr>
          </w:p>
        </w:tc>
      </w:tr>
      <w:tr>
        <w:trPr>
          <w:trHeight w:val="78"/>
        </w:trPr>
        <w:tc>
          <w:tcPr>
            <w:tcW w:w="1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980" w:type="dxa"/>
            <w:vAlign w:val="bottom"/>
            <w:gridSpan w:val="2"/>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920" w:type="dxa"/>
            <w:vAlign w:val="bottom"/>
            <w:gridSpan w:val="3"/>
          </w:tcPr>
          <w:p>
            <w:pPr>
              <w:spacing w:after="0"/>
              <w:rPr>
                <w:sz w:val="6"/>
                <w:szCs w:val="6"/>
                <w:color w:val="auto"/>
              </w:rPr>
            </w:pPr>
          </w:p>
        </w:tc>
        <w:tc>
          <w:tcPr>
            <w:tcW w:w="260" w:type="dxa"/>
            <w:vAlign w:val="bottom"/>
          </w:tcPr>
          <w:p>
            <w:pPr>
              <w:spacing w:after="0"/>
              <w:rPr>
                <w:sz w:val="6"/>
                <w:szCs w:val="6"/>
                <w:color w:val="auto"/>
              </w:rPr>
            </w:pPr>
          </w:p>
        </w:tc>
      </w:tr>
      <w:tr>
        <w:trPr>
          <w:trHeight w:val="175"/>
        </w:trPr>
        <w:tc>
          <w:tcPr>
            <w:tcW w:w="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60" w:type="dxa"/>
            <w:vAlign w:val="bottom"/>
            <w:gridSpan w:val="6"/>
          </w:tcPr>
          <w:p>
            <w:pPr>
              <w:jc w:val="center"/>
              <w:ind w:right="1902"/>
              <w:spacing w:after="0"/>
              <w:rPr>
                <w:sz w:val="20"/>
                <w:szCs w:val="20"/>
                <w:color w:val="auto"/>
              </w:rPr>
            </w:pPr>
            <w:r>
              <w:rPr>
                <w:rFonts w:ascii="Times New Roman" w:cs="Times New Roman" w:eastAsia="Times New Roman" w:hAnsi="Times New Roman"/>
                <w:sz w:val="12"/>
                <w:szCs w:val="12"/>
                <w:b w:val="1"/>
                <w:bCs w:val="1"/>
                <w:color w:val="auto"/>
                <w:w w:val="94"/>
              </w:rPr>
              <w:t>21st Floor, Tower A, Guanzhou Life Science Innovation Center,</w:t>
            </w:r>
          </w:p>
        </w:tc>
        <w:tc>
          <w:tcPr>
            <w:tcW w:w="260" w:type="dxa"/>
            <w:vAlign w:val="bottom"/>
          </w:tcPr>
          <w:p>
            <w:pPr>
              <w:spacing w:after="0"/>
              <w:rPr>
                <w:sz w:val="15"/>
                <w:szCs w:val="15"/>
                <w:color w:val="auto"/>
              </w:rPr>
            </w:pPr>
          </w:p>
        </w:tc>
      </w:tr>
      <w:tr>
        <w:trPr>
          <w:trHeight w:val="127"/>
        </w:trPr>
        <w:tc>
          <w:tcPr>
            <w:tcW w:w="1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5260" w:type="dxa"/>
            <w:vAlign w:val="bottom"/>
            <w:gridSpan w:val="6"/>
          </w:tcPr>
          <w:p>
            <w:pPr>
              <w:jc w:val="center"/>
              <w:ind w:right="1902"/>
              <w:spacing w:after="0" w:line="128" w:lineRule="exact"/>
              <w:rPr>
                <w:sz w:val="20"/>
                <w:szCs w:val="20"/>
                <w:color w:val="auto"/>
              </w:rPr>
            </w:pPr>
            <w:r>
              <w:rPr>
                <w:rFonts w:ascii="Times New Roman" w:cs="Times New Roman" w:eastAsia="Times New Roman" w:hAnsi="Times New Roman"/>
                <w:sz w:val="12"/>
                <w:szCs w:val="12"/>
                <w:b w:val="1"/>
                <w:bCs w:val="1"/>
                <w:color w:val="auto"/>
                <w:w w:val="96"/>
              </w:rPr>
              <w:t>No. 51, Luoxuan Road, Guangzhou International Biotech Island,</w:t>
            </w:r>
          </w:p>
        </w:tc>
        <w:tc>
          <w:tcPr>
            <w:tcW w:w="260" w:type="dxa"/>
            <w:vAlign w:val="bottom"/>
          </w:tcPr>
          <w:p>
            <w:pPr>
              <w:spacing w:after="0"/>
              <w:rPr>
                <w:sz w:val="11"/>
                <w:szCs w:val="11"/>
                <w:color w:val="auto"/>
              </w:rPr>
            </w:pPr>
          </w:p>
        </w:tc>
      </w:tr>
      <w:tr>
        <w:trPr>
          <w:trHeight w:val="138"/>
        </w:trPr>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5"/>
              </w:rPr>
              <w:t>Guangzhou 510005</w:t>
            </w:r>
          </w:p>
        </w:tc>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38"/>
        </w:trPr>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6"/>
              </w:rPr>
              <w:t>People’s Republic of China</w:t>
            </w:r>
          </w:p>
        </w:tc>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55"/>
        </w:trPr>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0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7"/>
              </w:rPr>
              <w:t>+86 (20) 2909-3388</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39"/>
        </w:trPr>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260" w:type="dxa"/>
            <w:vAlign w:val="bottom"/>
            <w:gridSpan w:val="6"/>
          </w:tcPr>
          <w:p>
            <w:pPr>
              <w:jc w:val="center"/>
              <w:ind w:right="1882"/>
              <w:spacing w:after="0"/>
              <w:rPr>
                <w:sz w:val="20"/>
                <w:szCs w:val="20"/>
                <w:color w:val="auto"/>
              </w:rPr>
            </w:pPr>
            <w:r>
              <w:rPr>
                <w:rFonts w:ascii="Times New Roman" w:cs="Times New Roman" w:eastAsia="Times New Roman" w:hAnsi="Times New Roman"/>
                <w:sz w:val="11"/>
                <w:szCs w:val="11"/>
                <w:color w:val="auto"/>
              </w:rPr>
              <w:t>(Address and telephone number of registrant’s principal executive offices)</w:t>
            </w:r>
          </w:p>
        </w:tc>
        <w:tc>
          <w:tcPr>
            <w:tcW w:w="260" w:type="dxa"/>
            <w:vAlign w:val="bottom"/>
          </w:tcPr>
          <w:p>
            <w:pPr>
              <w:spacing w:after="0"/>
              <w:rPr>
                <w:sz w:val="12"/>
                <w:szCs w:val="12"/>
                <w:color w:val="auto"/>
              </w:rPr>
            </w:pPr>
          </w:p>
        </w:tc>
      </w:tr>
      <w:tr>
        <w:trPr>
          <w:trHeight w:val="74"/>
        </w:trPr>
        <w:tc>
          <w:tcPr>
            <w:tcW w:w="1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165"/>
        </w:trPr>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5"/>
              </w:rPr>
              <w:t>Cogency Global Inc.</w:t>
            </w: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38"/>
        </w:trPr>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4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5"/>
              </w:rPr>
              <w:t>122 East 42nd Street, 18th Floor</w:t>
            </w:r>
          </w:p>
        </w:tc>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27"/>
        </w:trPr>
        <w:tc>
          <w:tcPr>
            <w:tcW w:w="1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4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4"/>
              </w:rPr>
              <w:t>New York, New York 10168</w:t>
            </w:r>
          </w:p>
        </w:tc>
        <w:tc>
          <w:tcPr>
            <w:tcW w:w="3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55"/>
        </w:trPr>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0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b w:val="1"/>
                <w:bCs w:val="1"/>
                <w:color w:val="auto"/>
                <w:w w:val="95"/>
              </w:rPr>
              <w:t>(800) 221-0102</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39"/>
        </w:trPr>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60" w:type="dxa"/>
            <w:vAlign w:val="bottom"/>
            <w:gridSpan w:val="5"/>
          </w:tcPr>
          <w:p>
            <w:pPr>
              <w:jc w:val="center"/>
              <w:ind w:left="223"/>
              <w:spacing w:after="0"/>
              <w:rPr>
                <w:sz w:val="20"/>
                <w:szCs w:val="20"/>
                <w:color w:val="auto"/>
              </w:rPr>
            </w:pPr>
            <w:r>
              <w:rPr>
                <w:rFonts w:ascii="Times New Roman" w:cs="Times New Roman" w:eastAsia="Times New Roman" w:hAnsi="Times New Roman"/>
                <w:sz w:val="11"/>
                <w:szCs w:val="11"/>
                <w:color w:val="auto"/>
              </w:rPr>
              <w:t>(Name, address, and telephone number of agent for service)</w:t>
            </w: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74"/>
        </w:trPr>
        <w:tc>
          <w:tcPr>
            <w:tcW w:w="1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197"/>
        </w:trPr>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i w:val="1"/>
                <w:iCs w:val="1"/>
                <w:color w:val="auto"/>
                <w:w w:val="96"/>
              </w:rPr>
              <w:t>Copies to:</w:t>
            </w:r>
          </w:p>
        </w:tc>
        <w:tc>
          <w:tcPr>
            <w:tcW w:w="3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1"/>
        </w:trPr>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000" w:type="dxa"/>
            <w:vAlign w:val="bottom"/>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4"/>
              </w:rPr>
              <w:t>Yilin Xu, Esq.</w:t>
            </w:r>
          </w:p>
        </w:tc>
        <w:tc>
          <w:tcPr>
            <w:tcW w:w="64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 ​</w:t>
            </w:r>
          </w:p>
        </w:tc>
        <w:tc>
          <w:tcPr>
            <w:tcW w:w="34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4"/>
              </w:rPr>
              <w:t>Will H. Cai, Esq.</w:t>
            </w: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 ​</w:t>
            </w:r>
          </w:p>
        </w:tc>
        <w:tc>
          <w:tcPr>
            <w:tcW w:w="2200" w:type="dxa"/>
            <w:vAlign w:val="bottom"/>
          </w:tcPr>
          <w:p>
            <w:pPr>
              <w:jc w:val="center"/>
              <w:ind w:left="122"/>
              <w:spacing w:after="0"/>
              <w:rPr>
                <w:sz w:val="20"/>
                <w:szCs w:val="20"/>
                <w:color w:val="auto"/>
              </w:rPr>
            </w:pPr>
            <w:r>
              <w:rPr>
                <w:rFonts w:ascii="Times New Roman" w:cs="Times New Roman" w:eastAsia="Times New Roman" w:hAnsi="Times New Roman"/>
                <w:sz w:val="12"/>
                <w:szCs w:val="12"/>
                <w:b w:val="1"/>
                <w:bCs w:val="1"/>
                <w:color w:val="auto"/>
                <w:w w:val="95"/>
              </w:rPr>
              <w:t>Reid S. Hooper, Esq.</w:t>
            </w:r>
          </w:p>
        </w:tc>
        <w:tc>
          <w:tcPr>
            <w:tcW w:w="2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9"/>
        </w:trPr>
        <w:tc>
          <w:tcPr>
            <w:tcW w:w="160" w:type="dxa"/>
            <w:vAlign w:val="bottom"/>
          </w:tcPr>
          <w:p>
            <w:pPr>
              <w:spacing w:after="0"/>
              <w:rPr>
                <w:sz w:val="12"/>
                <w:szCs w:val="12"/>
                <w:color w:val="auto"/>
              </w:rPr>
            </w:pPr>
          </w:p>
        </w:tc>
        <w:tc>
          <w:tcPr>
            <w:tcW w:w="2000" w:type="dxa"/>
            <w:vAlign w:val="bottom"/>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7"/>
              </w:rPr>
              <w:t>Cooley LLP</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5"/>
              </w:rPr>
              <w:t>Michael X. Yu, Esq.</w:t>
            </w:r>
          </w:p>
        </w:tc>
        <w:tc>
          <w:tcPr>
            <w:tcW w:w="380" w:type="dxa"/>
            <w:vAlign w:val="bottom"/>
          </w:tcPr>
          <w:p>
            <w:pPr>
              <w:spacing w:after="0"/>
              <w:rPr>
                <w:sz w:val="12"/>
                <w:szCs w:val="12"/>
                <w:color w:val="auto"/>
              </w:rPr>
            </w:pPr>
          </w:p>
        </w:tc>
        <w:tc>
          <w:tcPr>
            <w:tcW w:w="2200" w:type="dxa"/>
            <w:vAlign w:val="bottom"/>
          </w:tcPr>
          <w:p>
            <w:pPr>
              <w:jc w:val="center"/>
              <w:ind w:left="102"/>
              <w:spacing w:after="0"/>
              <w:rPr>
                <w:sz w:val="20"/>
                <w:szCs w:val="20"/>
                <w:color w:val="auto"/>
              </w:rPr>
            </w:pPr>
            <w:r>
              <w:rPr>
                <w:rFonts w:ascii="Times New Roman" w:cs="Times New Roman" w:eastAsia="Times New Roman" w:hAnsi="Times New Roman"/>
                <w:sz w:val="12"/>
                <w:szCs w:val="12"/>
                <w:b w:val="1"/>
                <w:bCs w:val="1"/>
                <w:color w:val="auto"/>
                <w:w w:val="97"/>
              </w:rPr>
              <w:t>Cooley LLP</w:t>
            </w:r>
          </w:p>
        </w:tc>
        <w:tc>
          <w:tcPr>
            <w:tcW w:w="260" w:type="dxa"/>
            <w:vAlign w:val="bottom"/>
          </w:tcPr>
          <w:p>
            <w:pPr>
              <w:spacing w:after="0"/>
              <w:rPr>
                <w:sz w:val="12"/>
                <w:szCs w:val="12"/>
                <w:color w:val="auto"/>
              </w:rPr>
            </w:pPr>
          </w:p>
        </w:tc>
      </w:tr>
      <w:tr>
        <w:trPr>
          <w:trHeight w:val="138"/>
        </w:trPr>
        <w:tc>
          <w:tcPr>
            <w:tcW w:w="160" w:type="dxa"/>
            <w:vAlign w:val="bottom"/>
          </w:tcPr>
          <w:p>
            <w:pPr>
              <w:spacing w:after="0"/>
              <w:rPr>
                <w:sz w:val="12"/>
                <w:szCs w:val="12"/>
                <w:color w:val="auto"/>
              </w:rPr>
            </w:pPr>
          </w:p>
        </w:tc>
        <w:tc>
          <w:tcPr>
            <w:tcW w:w="2000" w:type="dxa"/>
            <w:vAlign w:val="bottom"/>
          </w:tcPr>
          <w:p>
            <w:pPr>
              <w:jc w:val="center"/>
              <w:ind w:left="41"/>
              <w:spacing w:after="0"/>
              <w:rPr>
                <w:sz w:val="20"/>
                <w:szCs w:val="20"/>
                <w:color w:val="auto"/>
              </w:rPr>
            </w:pPr>
            <w:r>
              <w:rPr>
                <w:rFonts w:ascii="Times New Roman" w:cs="Times New Roman" w:eastAsia="Times New Roman" w:hAnsi="Times New Roman"/>
                <w:sz w:val="12"/>
                <w:szCs w:val="12"/>
                <w:b w:val="1"/>
                <w:bCs w:val="1"/>
                <w:color w:val="auto"/>
                <w:w w:val="94"/>
              </w:rPr>
              <w:t>China World Office Tower A</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7"/>
              </w:rPr>
              <w:t>Cooley LLP</w:t>
            </w:r>
          </w:p>
        </w:tc>
        <w:tc>
          <w:tcPr>
            <w:tcW w:w="380" w:type="dxa"/>
            <w:vAlign w:val="bottom"/>
          </w:tcPr>
          <w:p>
            <w:pPr>
              <w:spacing w:after="0"/>
              <w:rPr>
                <w:sz w:val="12"/>
                <w:szCs w:val="12"/>
                <w:color w:val="auto"/>
              </w:rPr>
            </w:pPr>
          </w:p>
        </w:tc>
        <w:tc>
          <w:tcPr>
            <w:tcW w:w="2200" w:type="dxa"/>
            <w:vAlign w:val="bottom"/>
          </w:tcPr>
          <w:p>
            <w:pPr>
              <w:jc w:val="center"/>
              <w:ind w:left="122"/>
              <w:spacing w:after="0"/>
              <w:rPr>
                <w:sz w:val="20"/>
                <w:szCs w:val="20"/>
                <w:color w:val="auto"/>
              </w:rPr>
            </w:pPr>
            <w:r>
              <w:rPr>
                <w:rFonts w:ascii="Times New Roman" w:cs="Times New Roman" w:eastAsia="Times New Roman" w:hAnsi="Times New Roman"/>
                <w:sz w:val="12"/>
                <w:szCs w:val="12"/>
                <w:b w:val="1"/>
                <w:bCs w:val="1"/>
                <w:color w:val="auto"/>
                <w:w w:val="94"/>
              </w:rPr>
              <w:t>1299 Pennsylvania Avenue, NW,</w:t>
            </w:r>
          </w:p>
        </w:tc>
        <w:tc>
          <w:tcPr>
            <w:tcW w:w="26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2000" w:type="dxa"/>
            <w:vAlign w:val="bottom"/>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8"/>
              </w:rPr>
              <w:t>Suite 5201</w:t>
            </w:r>
          </w:p>
        </w:tc>
        <w:tc>
          <w:tcPr>
            <w:tcW w:w="640" w:type="dxa"/>
            <w:vAlign w:val="bottom"/>
          </w:tcPr>
          <w:p>
            <w:pPr>
              <w:spacing w:after="0"/>
              <w:rPr>
                <w:sz w:val="12"/>
                <w:szCs w:val="12"/>
                <w:color w:val="auto"/>
              </w:rPr>
            </w:pPr>
          </w:p>
        </w:tc>
        <w:tc>
          <w:tcPr>
            <w:tcW w:w="204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c/o 35/F Two Exchange Square</w:t>
            </w:r>
          </w:p>
        </w:tc>
        <w:tc>
          <w:tcPr>
            <w:tcW w:w="380" w:type="dxa"/>
            <w:vAlign w:val="bottom"/>
          </w:tcPr>
          <w:p>
            <w:pPr>
              <w:spacing w:after="0"/>
              <w:rPr>
                <w:sz w:val="12"/>
                <w:szCs w:val="12"/>
                <w:color w:val="auto"/>
              </w:rPr>
            </w:pPr>
          </w:p>
        </w:tc>
        <w:tc>
          <w:tcPr>
            <w:tcW w:w="2200" w:type="dxa"/>
            <w:vAlign w:val="bottom"/>
          </w:tcPr>
          <w:p>
            <w:pPr>
              <w:jc w:val="center"/>
              <w:ind w:left="122"/>
              <w:spacing w:after="0"/>
              <w:rPr>
                <w:sz w:val="20"/>
                <w:szCs w:val="20"/>
                <w:color w:val="auto"/>
              </w:rPr>
            </w:pPr>
            <w:r>
              <w:rPr>
                <w:rFonts w:ascii="Times New Roman" w:cs="Times New Roman" w:eastAsia="Times New Roman" w:hAnsi="Times New Roman"/>
                <w:sz w:val="12"/>
                <w:szCs w:val="12"/>
                <w:b w:val="1"/>
                <w:bCs w:val="1"/>
                <w:color w:val="auto"/>
                <w:w w:val="96"/>
              </w:rPr>
              <w:t>Suite 700 Washington, DC</w:t>
            </w:r>
          </w:p>
        </w:tc>
        <w:tc>
          <w:tcPr>
            <w:tcW w:w="26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2000" w:type="dxa"/>
            <w:vAlign w:val="bottom"/>
          </w:tcPr>
          <w:p>
            <w:pPr>
              <w:jc w:val="center"/>
              <w:ind w:left="41"/>
              <w:spacing w:after="0"/>
              <w:rPr>
                <w:sz w:val="20"/>
                <w:szCs w:val="20"/>
                <w:color w:val="auto"/>
              </w:rPr>
            </w:pPr>
            <w:r>
              <w:rPr>
                <w:rFonts w:ascii="Times New Roman" w:cs="Times New Roman" w:eastAsia="Times New Roman" w:hAnsi="Times New Roman"/>
                <w:sz w:val="12"/>
                <w:szCs w:val="12"/>
                <w:b w:val="1"/>
                <w:bCs w:val="1"/>
                <w:color w:val="auto"/>
                <w:w w:val="95"/>
              </w:rPr>
              <w:t>No.1 Jianguomenwai Avenue, Beijing,</w:t>
            </w:r>
          </w:p>
        </w:tc>
        <w:tc>
          <w:tcPr>
            <w:tcW w:w="640" w:type="dxa"/>
            <w:vAlign w:val="bottom"/>
          </w:tcPr>
          <w:p>
            <w:pPr>
              <w:spacing w:after="0"/>
              <w:rPr>
                <w:sz w:val="12"/>
                <w:szCs w:val="12"/>
                <w:color w:val="auto"/>
              </w:rPr>
            </w:pPr>
          </w:p>
        </w:tc>
        <w:tc>
          <w:tcPr>
            <w:tcW w:w="204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8 Connaught Place Central,</w:t>
            </w:r>
          </w:p>
        </w:tc>
        <w:tc>
          <w:tcPr>
            <w:tcW w:w="380" w:type="dxa"/>
            <w:vAlign w:val="bottom"/>
          </w:tcPr>
          <w:p>
            <w:pPr>
              <w:spacing w:after="0"/>
              <w:rPr>
                <w:sz w:val="12"/>
                <w:szCs w:val="12"/>
                <w:color w:val="auto"/>
              </w:rPr>
            </w:pPr>
          </w:p>
        </w:tc>
        <w:tc>
          <w:tcPr>
            <w:tcW w:w="2200" w:type="dxa"/>
            <w:vAlign w:val="bottom"/>
          </w:tcPr>
          <w:p>
            <w:pPr>
              <w:jc w:val="center"/>
              <w:ind w:left="162"/>
              <w:spacing w:after="0"/>
              <w:rPr>
                <w:sz w:val="20"/>
                <w:szCs w:val="20"/>
                <w:color w:val="auto"/>
              </w:rPr>
            </w:pPr>
            <w:r>
              <w:rPr>
                <w:rFonts w:ascii="Times New Roman" w:cs="Times New Roman" w:eastAsia="Times New Roman" w:hAnsi="Times New Roman"/>
                <w:sz w:val="12"/>
                <w:szCs w:val="12"/>
                <w:b w:val="1"/>
                <w:bCs w:val="1"/>
                <w:color w:val="auto"/>
                <w:w w:val="95"/>
              </w:rPr>
              <w:t>+1 202 776 2097</w:t>
            </w:r>
          </w:p>
        </w:tc>
        <w:tc>
          <w:tcPr>
            <w:tcW w:w="260" w:type="dxa"/>
            <w:vAlign w:val="bottom"/>
          </w:tcPr>
          <w:p>
            <w:pPr>
              <w:spacing w:after="0"/>
              <w:rPr>
                <w:sz w:val="12"/>
                <w:szCs w:val="12"/>
                <w:color w:val="auto"/>
              </w:rPr>
            </w:pPr>
          </w:p>
        </w:tc>
      </w:tr>
      <w:tr>
        <w:trPr>
          <w:trHeight w:val="138"/>
        </w:trPr>
        <w:tc>
          <w:tcPr>
            <w:tcW w:w="160" w:type="dxa"/>
            <w:vAlign w:val="bottom"/>
          </w:tcPr>
          <w:p>
            <w:pPr>
              <w:spacing w:after="0"/>
              <w:rPr>
                <w:sz w:val="12"/>
                <w:szCs w:val="12"/>
                <w:color w:val="auto"/>
              </w:rPr>
            </w:pPr>
          </w:p>
        </w:tc>
        <w:tc>
          <w:tcPr>
            <w:tcW w:w="2000" w:type="dxa"/>
            <w:vAlign w:val="bottom"/>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6"/>
              </w:rPr>
              <w:t>China 100004</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Hong Kong</w:t>
            </w:r>
          </w:p>
        </w:tc>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2000" w:type="dxa"/>
            <w:vAlign w:val="bottom"/>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6"/>
              </w:rPr>
              <w:t>The People’s Republic of China</w:t>
            </w:r>
          </w:p>
        </w:tc>
        <w:tc>
          <w:tcPr>
            <w:tcW w:w="640" w:type="dxa"/>
            <w:vAlign w:val="bottom"/>
          </w:tcPr>
          <w:p>
            <w:pPr>
              <w:spacing w:after="0"/>
              <w:rPr>
                <w:sz w:val="12"/>
                <w:szCs w:val="12"/>
                <w:color w:val="auto"/>
              </w:rPr>
            </w:pPr>
          </w:p>
        </w:tc>
        <w:tc>
          <w:tcPr>
            <w:tcW w:w="170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b w:val="1"/>
                <w:bCs w:val="1"/>
                <w:color w:val="auto"/>
                <w:w w:val="95"/>
              </w:rPr>
              <w:t>+852 3758-1200</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59"/>
        </w:trPr>
        <w:tc>
          <w:tcPr>
            <w:tcW w:w="160" w:type="dxa"/>
            <w:vAlign w:val="bottom"/>
          </w:tcPr>
          <w:p>
            <w:pPr>
              <w:spacing w:after="0"/>
              <w:rPr>
                <w:sz w:val="13"/>
                <w:szCs w:val="13"/>
                <w:color w:val="auto"/>
              </w:rPr>
            </w:pPr>
          </w:p>
        </w:tc>
        <w:tc>
          <w:tcPr>
            <w:tcW w:w="2000" w:type="dxa"/>
            <w:vAlign w:val="bottom"/>
          </w:tcPr>
          <w:p>
            <w:pPr>
              <w:jc w:val="center"/>
              <w:ind w:left="61"/>
              <w:spacing w:after="0"/>
              <w:rPr>
                <w:sz w:val="20"/>
                <w:szCs w:val="20"/>
                <w:color w:val="auto"/>
              </w:rPr>
            </w:pPr>
            <w:r>
              <w:rPr>
                <w:rFonts w:ascii="Times New Roman" w:cs="Times New Roman" w:eastAsia="Times New Roman" w:hAnsi="Times New Roman"/>
                <w:sz w:val="12"/>
                <w:szCs w:val="12"/>
                <w:b w:val="1"/>
                <w:bCs w:val="1"/>
                <w:color w:val="auto"/>
                <w:w w:val="95"/>
              </w:rPr>
              <w:t>+86 10 8540 0600</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2428240</wp:posOffset>
            </wp:positionH>
            <wp:positionV relativeFrom="paragraph">
              <wp:posOffset>64770</wp:posOffset>
            </wp:positionV>
            <wp:extent cx="86296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2965" cy="6985"/>
                    </a:xfrm>
                    <a:prstGeom prst="rect">
                      <a:avLst/>
                    </a:prstGeom>
                    <a:noFill/>
                  </pic:spPr>
                </pic:pic>
              </a:graphicData>
            </a:graphic>
          </wp:anchor>
        </w:drawing>
      </w:r>
    </w:p>
    <w:p>
      <w:pPr>
        <w:spacing w:after="0" w:line="161" w:lineRule="exact"/>
        <w:rPr>
          <w:sz w:val="24"/>
          <w:szCs w:val="24"/>
          <w:color w:val="auto"/>
        </w:rPr>
      </w:pPr>
    </w:p>
    <w:p>
      <w:pPr>
        <w:ind w:left="680"/>
        <w:spacing w:after="0"/>
        <w:tabs>
          <w:tab w:leader="none" w:pos="4060" w:val="left"/>
        </w:tabs>
        <w:rPr>
          <w:sz w:val="20"/>
          <w:szCs w:val="20"/>
          <w:color w:val="auto"/>
        </w:rPr>
      </w:pPr>
      <w:r>
        <w:rPr>
          <w:rFonts w:ascii="Times New Roman" w:cs="Times New Roman" w:eastAsia="Times New Roman" w:hAnsi="Times New Roman"/>
          <w:sz w:val="12"/>
          <w:szCs w:val="12"/>
          <w:b w:val="1"/>
          <w:bCs w:val="1"/>
          <w:color w:val="auto"/>
        </w:rPr>
        <w:t>Approximate date of commencement of proposed sale to the public</w:t>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From time to time after the effective date of this registration statement.</w:t>
      </w:r>
    </w:p>
    <w:p>
      <w:pPr>
        <w:spacing w:after="0" w:line="5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2"/>
          <w:szCs w:val="12"/>
          <w:color w:val="auto"/>
        </w:rPr>
        <w:t>If only securities being registered on this Form are being offered pursuant to dividend or interest reinvestment plans, please check the following box. </w:t>
      </w:r>
    </w:p>
    <w:p>
      <w:pPr>
        <w:spacing w:after="0" w:line="8" w:lineRule="exact"/>
        <w:rPr>
          <w:sz w:val="24"/>
          <w:szCs w:val="24"/>
          <w:color w:val="auto"/>
        </w:rPr>
      </w:pPr>
    </w:p>
    <w:p>
      <w:pPr>
        <w:ind w:left="680"/>
        <w:spacing w:after="0" w:line="121" w:lineRule="exact"/>
        <w:rPr>
          <w:sz w:val="20"/>
          <w:szCs w:val="20"/>
          <w:color w:val="auto"/>
        </w:rPr>
      </w:pPr>
      <w:r>
        <w:rPr>
          <w:rFonts w:ascii="MS PGothic" w:cs="MS PGothic" w:eastAsia="MS PGothic" w:hAnsi="MS PGothic"/>
          <w:sz w:val="12"/>
          <w:szCs w:val="12"/>
          <w:color w:val="auto"/>
        </w:rPr>
        <w:t>☐</w:t>
      </w:r>
    </w:p>
    <w:p>
      <w:pPr>
        <w:spacing w:after="0" w:line="64" w:lineRule="exact"/>
        <w:rPr>
          <w:sz w:val="24"/>
          <w:szCs w:val="24"/>
          <w:color w:val="auto"/>
        </w:rPr>
      </w:pPr>
    </w:p>
    <w:p>
      <w:pPr>
        <w:jc w:val="both"/>
        <w:ind w:left="680" w:right="679"/>
        <w:spacing w:after="0" w:line="156"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19" w:lineRule="exact"/>
        <w:rPr>
          <w:sz w:val="24"/>
          <w:szCs w:val="24"/>
          <w:color w:val="auto"/>
        </w:rPr>
      </w:pPr>
    </w:p>
    <w:p>
      <w:pPr>
        <w:jc w:val="both"/>
        <w:ind w:left="680" w:right="679"/>
        <w:spacing w:after="0" w:line="151"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8" w:lineRule="exact"/>
        <w:rPr>
          <w:sz w:val="24"/>
          <w:szCs w:val="24"/>
          <w:color w:val="auto"/>
        </w:rPr>
      </w:pPr>
    </w:p>
    <w:p>
      <w:pPr>
        <w:jc w:val="both"/>
        <w:ind w:left="680" w:right="699"/>
        <w:spacing w:after="0" w:line="156"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9" w:lineRule="exact"/>
        <w:rPr>
          <w:sz w:val="24"/>
          <w:szCs w:val="24"/>
          <w:color w:val="auto"/>
        </w:rPr>
      </w:pPr>
    </w:p>
    <w:p>
      <w:pPr>
        <w:jc w:val="both"/>
        <w:ind w:left="680" w:right="699"/>
        <w:spacing w:after="0" w:line="156"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I.C. or a post -effective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19" w:lineRule="exact"/>
        <w:rPr>
          <w:sz w:val="24"/>
          <w:szCs w:val="24"/>
          <w:color w:val="auto"/>
        </w:rPr>
      </w:pPr>
    </w:p>
    <w:p>
      <w:pPr>
        <w:jc w:val="both"/>
        <w:ind w:left="680" w:right="699"/>
        <w:spacing w:after="0" w:line="151"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18"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w:t>
      </w:r>
    </w:p>
    <w:p>
      <w:pPr>
        <w:spacing w:after="0" w:line="29" w:lineRule="exact"/>
        <w:rPr>
          <w:sz w:val="24"/>
          <w:szCs w:val="24"/>
          <w:color w:val="auto"/>
        </w:rPr>
      </w:pPr>
    </w:p>
    <w:p>
      <w:pPr>
        <w:ind w:left="68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77" w:lineRule="exact"/>
        <w:rPr>
          <w:sz w:val="24"/>
          <w:szCs w:val="24"/>
          <w:color w:val="auto"/>
        </w:rPr>
      </w:pPr>
    </w:p>
    <w:p>
      <w:pPr>
        <w:jc w:val="both"/>
        <w:ind w:left="680" w:right="679"/>
        <w:spacing w:after="0" w:line="150" w:lineRule="exact"/>
        <w:rPr>
          <w:sz w:val="20"/>
          <w:szCs w:val="20"/>
          <w:color w:val="auto"/>
        </w:rPr>
      </w:pPr>
      <w:r>
        <w:rPr>
          <w:rFonts w:ascii="Times New Roman" w:cs="Times New Roman" w:eastAsia="Times New Roman" w:hAnsi="Times New Roman"/>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2428240</wp:posOffset>
            </wp:positionH>
            <wp:positionV relativeFrom="paragraph">
              <wp:posOffset>33655</wp:posOffset>
            </wp:positionV>
            <wp:extent cx="86296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2965" cy="698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114300</wp:posOffset>
            </wp:positionV>
            <wp:extent cx="4318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1800" cy="6985"/>
                    </a:xfrm>
                    <a:prstGeom prst="rect">
                      <a:avLst/>
                    </a:prstGeom>
                    <a:noFill/>
                  </pic:spPr>
                </pic:pic>
              </a:graphicData>
            </a:graphic>
          </wp:anchor>
        </w:drawing>
      </w:r>
    </w:p>
    <w:p>
      <w:pPr>
        <w:spacing w:after="0" w:line="249" w:lineRule="exact"/>
        <w:rPr>
          <w:sz w:val="24"/>
          <w:szCs w:val="24"/>
          <w:color w:val="auto"/>
        </w:rPr>
      </w:pPr>
    </w:p>
    <w:p>
      <w:pPr>
        <w:ind w:left="960" w:right="699" w:hanging="288"/>
        <w:spacing w:after="0" w:line="280" w:lineRule="auto"/>
        <w:tabs>
          <w:tab w:leader="none" w:pos="96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425450</wp:posOffset>
            </wp:positionH>
            <wp:positionV relativeFrom="paragraph">
              <wp:posOffset>26035</wp:posOffset>
            </wp:positionV>
            <wp:extent cx="486854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68545" cy="6985"/>
                    </a:xfrm>
                    <a:prstGeom prst="rect">
                      <a:avLst/>
                    </a:prstGeom>
                    <a:noFill/>
                  </pic:spPr>
                </pic:pic>
              </a:graphicData>
            </a:graphic>
          </wp:anchor>
        </w:drawing>
      </w:r>
    </w:p>
    <w:p>
      <w:pPr>
        <w:spacing w:after="0" w:line="2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425450</wp:posOffset>
            </wp:positionH>
            <wp:positionV relativeFrom="paragraph">
              <wp:posOffset>1905</wp:posOffset>
            </wp:positionV>
            <wp:extent cx="4868545"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68545" cy="13335"/>
                    </a:xfrm>
                    <a:prstGeom prst="rect">
                      <a:avLst/>
                    </a:prstGeom>
                    <a:noFill/>
                  </pic:spPr>
                </pic:pic>
              </a:graphicData>
            </a:graphic>
          </wp:anchor>
        </w:drawing>
        <w:drawing>
          <wp:anchor simplePos="0" relativeHeight="251657728" behindDoc="1" locked="0" layoutInCell="0" allowOverlap="1">
            <wp:simplePos x="0" y="0"/>
            <wp:positionH relativeFrom="column">
              <wp:posOffset>170180</wp:posOffset>
            </wp:positionH>
            <wp:positionV relativeFrom="paragraph">
              <wp:posOffset>198755</wp:posOffset>
            </wp:positionV>
            <wp:extent cx="537972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sectPr>
      </w:pPr>
    </w:p>
    <w:bookmarkStart w:id="1" w:name="page2"/>
    <w:bookmarkEnd w:id="1"/>
    <w:p>
      <w:pPr>
        <w:ind w:left="280"/>
        <w:spacing w:after="0"/>
        <w:rPr>
          <w:sz w:val="20"/>
          <w:szCs w:val="20"/>
          <w:color w:val="auto"/>
        </w:rPr>
      </w:pPr>
      <w:r>
        <w:rPr>
          <w:rFonts w:ascii="Calibri" w:cs="Calibri" w:eastAsia="Calibri" w:hAnsi="Calibri"/>
          <w:sz w:val="11"/>
          <w:szCs w:val="11"/>
          <w:color w:val="003366"/>
        </w:rPr>
        <w:t>TABLE OF CONTENTS</w:t>
      </w:r>
    </w:p>
    <w:p>
      <w:pPr>
        <w:spacing w:after="0" w:line="3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107315</wp:posOffset>
            </wp:positionV>
            <wp:extent cx="1179830" cy="276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79830" cy="27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WeRide Inc.</w:t>
      </w:r>
    </w:p>
    <w:p>
      <w:pPr>
        <w:spacing w:after="0" w:line="10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Class A Ordinary Shares</w:t>
      </w:r>
    </w:p>
    <w:p>
      <w:pPr>
        <w:spacing w:after="0" w:line="2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American Depositary Shares representing Class A Ordinary Shares</w:t>
      </w:r>
    </w:p>
    <w:p>
      <w:pPr>
        <w:spacing w:after="0" w:line="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Class B Ordinary Shares</w:t>
      </w:r>
    </w:p>
    <w:p>
      <w:pPr>
        <w:ind w:left="3900"/>
        <w:spacing w:after="0"/>
        <w:rPr>
          <w:sz w:val="20"/>
          <w:szCs w:val="20"/>
          <w:color w:val="auto"/>
        </w:rPr>
      </w:pPr>
      <w:r>
        <w:rPr>
          <w:rFonts w:ascii="Times New Roman" w:cs="Times New Roman" w:eastAsia="Times New Roman" w:hAnsi="Times New Roman"/>
          <w:sz w:val="17"/>
          <w:szCs w:val="17"/>
          <w:b w:val="1"/>
          <w:bCs w:val="1"/>
          <w:color w:val="auto"/>
        </w:rPr>
        <w:t>Preferred Shares</w:t>
      </w:r>
    </w:p>
    <w:p>
      <w:pPr>
        <w:spacing w:after="0" w:line="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Warrants</w:t>
      </w:r>
    </w:p>
    <w:p>
      <w:pPr>
        <w:jc w:val="center"/>
        <w:spacing w:after="0"/>
        <w:rPr>
          <w:sz w:val="20"/>
          <w:szCs w:val="20"/>
          <w:color w:val="auto"/>
        </w:rPr>
      </w:pPr>
      <w:r>
        <w:rPr>
          <w:rFonts w:ascii="Times New Roman" w:cs="Times New Roman" w:eastAsia="Times New Roman" w:hAnsi="Times New Roman"/>
          <w:sz w:val="17"/>
          <w:szCs w:val="17"/>
          <w:b w:val="1"/>
          <w:bCs w:val="1"/>
          <w:color w:val="auto"/>
        </w:rPr>
        <w:t>Units</w:t>
      </w:r>
    </w:p>
    <w:p>
      <w:pPr>
        <w:spacing w:after="0" w:line="111"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We or any selling securityholders may from time to time in one or more offerings offer and sell the securities described in this prospectus, either individually or in any combination, in one or more offerings at prices and on terms that will be determined at the time of the offering.</w:t>
      </w:r>
    </w:p>
    <w:p>
      <w:pPr>
        <w:spacing w:after="0" w:line="73" w:lineRule="exact"/>
        <w:rPr>
          <w:sz w:val="20"/>
          <w:szCs w:val="20"/>
          <w:color w:val="auto"/>
        </w:rPr>
      </w:pPr>
    </w:p>
    <w:p>
      <w:pPr>
        <w:jc w:val="both"/>
        <w:ind w:left="1280" w:right="1299"/>
        <w:spacing w:after="0" w:line="257" w:lineRule="auto"/>
        <w:rPr>
          <w:sz w:val="20"/>
          <w:szCs w:val="20"/>
          <w:color w:val="auto"/>
        </w:rPr>
      </w:pPr>
      <w:r>
        <w:rPr>
          <w:rFonts w:ascii="Times New Roman" w:cs="Times New Roman" w:eastAsia="Times New Roman" w:hAnsi="Times New Roman"/>
          <w:sz w:val="14"/>
          <w:szCs w:val="14"/>
          <w:color w:val="auto"/>
        </w:rPr>
        <w:t>This prospectus describes the general terms of these securities and the general manner in which these securities will be offered. We will provide you with the specific terms of any offering in one or more supplements to this prospectus. We and/or our selling security holders may offer these securities in amounts, at prices and on terms determined at the time of offering. We and/or our selling security holders may sell the securities through public or private transactions directly to you, through agents, or through underwriters and dealers on or off the Nasdaq Stock Market, or Nasdaq.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264" w:lineRule="exact"/>
        <w:rPr>
          <w:sz w:val="20"/>
          <w:szCs w:val="20"/>
          <w:color w:val="auto"/>
        </w:rPr>
      </w:pPr>
    </w:p>
    <w:p>
      <w:pPr>
        <w:jc w:val="both"/>
        <w:ind w:left="1280" w:right="1299"/>
        <w:spacing w:after="0" w:line="258" w:lineRule="auto"/>
        <w:rPr>
          <w:sz w:val="20"/>
          <w:szCs w:val="20"/>
          <w:color w:val="auto"/>
        </w:rPr>
      </w:pPr>
      <w:r>
        <w:rPr>
          <w:rFonts w:ascii="Times New Roman" w:cs="Times New Roman" w:eastAsia="Times New Roman" w:hAnsi="Times New Roman"/>
          <w:sz w:val="14"/>
          <w:szCs w:val="14"/>
          <w:color w:val="auto"/>
        </w:rPr>
        <w:t>Our securities may be sold directly by us or any selling security holders to you, through agents designated from time to time or to or through underwriters or dealers, on a continuous or delayed basis. For additional information on the methods of sale, you should refer to the section 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or commissions and over-allotment options will be set forth in a prospectus supplement. The price to the public of such securities and the net proceeds that we expect to receive from such sale will also be set forth in a prospectus supplement.</w:t>
      </w:r>
    </w:p>
    <w:p>
      <w:pPr>
        <w:spacing w:after="0" w:line="92" w:lineRule="exact"/>
        <w:rPr>
          <w:sz w:val="20"/>
          <w:szCs w:val="20"/>
          <w:color w:val="auto"/>
        </w:rPr>
      </w:pPr>
    </w:p>
    <w:p>
      <w:pPr>
        <w:jc w:val="both"/>
        <w:ind w:left="1280" w:right="1299"/>
        <w:spacing w:after="0" w:line="261" w:lineRule="auto"/>
        <w:rPr>
          <w:sz w:val="20"/>
          <w:szCs w:val="20"/>
          <w:color w:val="auto"/>
        </w:rPr>
      </w:pPr>
      <w:r>
        <w:rPr>
          <w:rFonts w:ascii="Times New Roman" w:cs="Times New Roman" w:eastAsia="Times New Roman" w:hAnsi="Times New Roman"/>
          <w:sz w:val="14"/>
          <w:szCs w:val="14"/>
          <w:color w:val="auto"/>
        </w:rPr>
        <w:t>Our American Depositary Shares, or ADSs, are listed on the Nasdaq Global Market under the symbol “WRD.” Each ADS represents three Class A ordinary shares. On October 31, 2025, the last reported sale price of the ADSs on Nasdaq was $10.67 per ADS. The applicable prospectus supplement will contain information, where applicable, as to other listings, if any, on Nasdaq or any other securities exchange of the securities covered by the applicable prospectus supplement.</w:t>
      </w:r>
    </w:p>
    <w:p>
      <w:pPr>
        <w:spacing w:after="0" w:line="78" w:lineRule="exact"/>
        <w:rPr>
          <w:sz w:val="20"/>
          <w:szCs w:val="20"/>
          <w:color w:val="auto"/>
        </w:rPr>
      </w:pPr>
    </w:p>
    <w:p>
      <w:pPr>
        <w:jc w:val="both"/>
        <w:ind w:left="1280" w:right="1279"/>
        <w:spacing w:after="0" w:line="287" w:lineRule="auto"/>
        <w:rPr>
          <w:sz w:val="20"/>
          <w:szCs w:val="20"/>
          <w:color w:val="auto"/>
        </w:rPr>
      </w:pPr>
      <w:r>
        <w:rPr>
          <w:rFonts w:ascii="Times New Roman" w:cs="Times New Roman" w:eastAsia="Times New Roman" w:hAnsi="Times New Roman"/>
          <w:sz w:val="13"/>
          <w:szCs w:val="13"/>
          <w:b w:val="1"/>
          <w:bCs w:val="1"/>
          <w:color w:val="auto"/>
        </w:rPr>
        <w:t xml:space="preserve">Investing in these securities, including those represented by ADSs, involves a high degree of risk. Before deciding whether to invest in our securities, you should consider carefully the risks that we have described under the caption “Risk Factors” on page </w:t>
      </w:r>
      <w:r>
        <w:rPr>
          <w:rFonts w:ascii="Times New Roman" w:cs="Times New Roman" w:eastAsia="Times New Roman" w:hAnsi="Times New Roman"/>
          <w:sz w:val="13"/>
          <w:szCs w:val="13"/>
          <w:b w:val="1"/>
          <w:bCs w:val="1"/>
          <w:u w:val="single" w:color="auto"/>
          <w:color w:val="0000EE"/>
        </w:rPr>
        <w:t>17</w:t>
      </w:r>
      <w:r>
        <w:rPr>
          <w:rFonts w:ascii="Times New Roman" w:cs="Times New Roman" w:eastAsia="Times New Roman" w:hAnsi="Times New Roman"/>
          <w:sz w:val="13"/>
          <w:szCs w:val="13"/>
          <w:b w:val="1"/>
          <w:bCs w:val="1"/>
          <w:color w:val="auto"/>
        </w:rPr>
        <w:t xml:space="preserve"> of this prospectus and any other reports or documents incorporated by reference and those included in the accompanying prospectus and the documents incorporated by reference herein and therein to read about factors you should consider before investing in these securities.</w:t>
      </w:r>
    </w:p>
    <w:p>
      <w:pPr>
        <w:spacing w:after="0" w:line="73" w:lineRule="exact"/>
        <w:rPr>
          <w:sz w:val="20"/>
          <w:szCs w:val="20"/>
          <w:color w:val="auto"/>
        </w:rPr>
      </w:pPr>
    </w:p>
    <w:p>
      <w:pPr>
        <w:jc w:val="both"/>
        <w:ind w:left="1280" w:right="1279"/>
        <w:spacing w:after="0" w:line="302"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passed upon the accuracy or adequacy of the disclosures in this prospectus and the documents incorporated by reference. Any representation to the contrary is a criminal offense.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date of this prospectus is November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 w:name="page3"/>
    <w:bookmarkEnd w:id="2"/>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258445</wp:posOffset>
            </wp:positionV>
            <wp:extent cx="5379720" cy="6142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79720" cy="614235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 w:name="page4"/>
    <w:bookmarkEnd w:id="3"/>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258445</wp:posOffset>
            </wp:positionV>
            <wp:extent cx="5379720" cy="6277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79720" cy="627761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306070</wp:posOffset>
            </wp:positionV>
            <wp:extent cx="5379720" cy="6351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79720" cy="63512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306070</wp:posOffset>
            </wp:positionV>
            <wp:extent cx="5379720" cy="6351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79720" cy="635127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151130</wp:posOffset>
            </wp:positionV>
            <wp:extent cx="5379720" cy="6621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79720" cy="6621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 w:name="page8"/>
    <w:bookmarkEnd w:id="7"/>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12700</wp:posOffset>
            </wp:positionV>
            <wp:extent cx="4100195" cy="134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00195" cy="134620"/>
                    </a:xfrm>
                    <a:prstGeom prst="rect">
                      <a:avLst/>
                    </a:prstGeom>
                    <a:noFill/>
                  </pic:spPr>
                </pic:pic>
              </a:graphicData>
            </a:graphic>
          </wp:anchor>
        </w:drawing>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PROSPECTUS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15240</wp:posOffset>
            </wp:positionV>
            <wp:extent cx="410019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00195" cy="128270"/>
                    </a:xfrm>
                    <a:prstGeom prst="rect">
                      <a:avLst/>
                    </a:prstGeom>
                    <a:noFill/>
                  </pic:spPr>
                </pic:pic>
              </a:graphicData>
            </a:graphic>
          </wp:anchor>
        </w:drawing>
      </w:r>
    </w:p>
    <w:p>
      <w:pPr>
        <w:spacing w:after="0" w:line="21" w:lineRule="exact"/>
        <w:rPr>
          <w:sz w:val="20"/>
          <w:szCs w:val="20"/>
          <w:color w:val="auto"/>
        </w:rPr>
      </w:pPr>
    </w:p>
    <w:p>
      <w:pPr>
        <w:ind w:left="1280" w:right="980"/>
        <w:spacing w:after="0" w:line="308" w:lineRule="auto"/>
        <w:rPr>
          <w:sz w:val="20"/>
          <w:szCs w:val="20"/>
          <w:color w:val="auto"/>
        </w:rPr>
      </w:pPr>
      <w:r>
        <w:rPr>
          <w:rFonts w:ascii="Times New Roman" w:cs="Times New Roman" w:eastAsia="Times New Roman" w:hAnsi="Times New Roman"/>
          <w:sz w:val="14"/>
          <w:szCs w:val="14"/>
          <w:u w:val="single" w:color="auto"/>
          <w:color w:val="0000EE"/>
        </w:rPr>
        <w:t>SPECIAL NOTE REGARDING FORWARD-LOOKING STATEMENTS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-16510</wp:posOffset>
            </wp:positionV>
            <wp:extent cx="4100195"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00195" cy="13462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15240</wp:posOffset>
            </wp:positionV>
            <wp:extent cx="4100195"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0019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THE SECURITIES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15240</wp:posOffset>
            </wp:positionV>
            <wp:extent cx="4100195"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0019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PREFERRED SHARES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15240</wp:posOffset>
            </wp:positionV>
            <wp:extent cx="4100195" cy="134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0019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DEBT SECURITIES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15240</wp:posOffset>
            </wp:positionV>
            <wp:extent cx="4100195"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0019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UNITS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15240</wp:posOffset>
            </wp:positionV>
            <wp:extent cx="4100195"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0019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TAXATION</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ENFORCEABILITY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15240</wp:posOffset>
            </wp:positionV>
            <wp:extent cx="4100195"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0019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15240</wp:posOffset>
            </wp:positionV>
            <wp:extent cx="4100195"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00195" cy="134620"/>
                    </a:xfrm>
                    <a:prstGeom prst="rect">
                      <a:avLst/>
                    </a:prstGeom>
                    <a:noFill/>
                  </pic:spPr>
                </pic:pic>
              </a:graphicData>
            </a:graphic>
          </wp:anchor>
        </w:drawing>
      </w:r>
    </w:p>
    <w:p>
      <w:pPr>
        <w:spacing w:after="0" w:line="31" w:lineRule="exact"/>
        <w:rPr>
          <w:sz w:val="20"/>
          <w:szCs w:val="20"/>
          <w:color w:val="auto"/>
        </w:rPr>
      </w:pPr>
    </w:p>
    <w:p>
      <w:pPr>
        <w:ind w:left="1280" w:right="1440"/>
        <w:spacing w:after="0" w:line="351" w:lineRule="auto"/>
        <w:rPr>
          <w:sz w:val="20"/>
          <w:szCs w:val="20"/>
          <w:color w:val="auto"/>
        </w:rPr>
      </w:pPr>
      <w:r>
        <w:rPr>
          <w:rFonts w:ascii="Times New Roman" w:cs="Times New Roman" w:eastAsia="Times New Roman" w:hAnsi="Times New Roman"/>
          <w:sz w:val="14"/>
          <w:szCs w:val="14"/>
          <w:u w:val="single" w:color="auto"/>
          <w:color w:val="0000EE"/>
        </w:rPr>
        <w:t>WHERE YOU CAN FIND MORE INFORMATION ABOUT US INCORPORATION OF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45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60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61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62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63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ectPr>
          <w:pgSz w:w="11900" w:h="16838" w:orient="portrait"/>
          <w:cols w:equalWidth="0" w:num="2">
            <w:col w:w="6580" w:space="720"/>
            <w:col w:w="1719"/>
          </w:cols>
          <w:pgMar w:left="1440" w:top="108" w:right="1440" w:bottom="1440" w:gutter="0" w:footer="0" w:header="0"/>
        </w:sectPr>
      </w:pPr>
    </w:p>
    <w:bookmarkStart w:id="8" w:name="page9"/>
    <w:bookmarkEnd w:id="8"/>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8"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You should read this prospectus and any prospectus supplement together with the additional information described under the heading “Where You Can Find More Information about Us” and “Incorporation of Documents by Reference.”</w:t>
      </w:r>
    </w:p>
    <w:p>
      <w:pPr>
        <w:spacing w:after="0" w:line="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In this prospectus, unless otherwise indicated or unless the context otherwise requires, references to:</w:t>
      </w:r>
    </w:p>
    <w:p>
      <w:pPr>
        <w:spacing w:after="0" w:line="11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“ADRs” are to the American depositary receipts that may evidence the ADSs;</w:t>
      </w:r>
    </w:p>
    <w:p>
      <w:pPr>
        <w:spacing w:after="0" w:line="1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“ADSs” are to the American depositary shares, each of which represents three Class A ordinary shares;</w:t>
      </w:r>
    </w:p>
    <w:p>
      <w:pPr>
        <w:spacing w:after="0" w:line="126" w:lineRule="exact"/>
        <w:rPr>
          <w:sz w:val="20"/>
          <w:szCs w:val="20"/>
          <w:color w:val="auto"/>
        </w:rPr>
      </w:pPr>
    </w:p>
    <w:p>
      <w:pPr>
        <w:jc w:val="both"/>
        <w:ind w:left="1560" w:right="1299"/>
        <w:spacing w:after="0" w:line="287" w:lineRule="auto"/>
        <w:rPr>
          <w:sz w:val="20"/>
          <w:szCs w:val="20"/>
          <w:color w:val="auto"/>
        </w:rPr>
      </w:pPr>
      <w:r>
        <w:rPr>
          <w:rFonts w:ascii="Times New Roman" w:cs="Times New Roman" w:eastAsia="Times New Roman" w:hAnsi="Times New Roman"/>
          <w:sz w:val="14"/>
          <w:szCs w:val="14"/>
          <w:color w:val="auto"/>
        </w:rPr>
        <w:t>“Class A ordinary shares” are to our Class A ordinary shares of par value US$0.00001 per share, carrying one vote per share;</w:t>
      </w:r>
    </w:p>
    <w:p>
      <w:pPr>
        <w:spacing w:after="0" w:line="61" w:lineRule="exact"/>
        <w:rPr>
          <w:sz w:val="20"/>
          <w:szCs w:val="20"/>
          <w:color w:val="auto"/>
        </w:rPr>
      </w:pPr>
    </w:p>
    <w:p>
      <w:pPr>
        <w:jc w:val="both"/>
        <w:ind w:left="1560" w:right="1299"/>
        <w:spacing w:after="0" w:line="287" w:lineRule="auto"/>
        <w:rPr>
          <w:sz w:val="20"/>
          <w:szCs w:val="20"/>
          <w:color w:val="auto"/>
        </w:rPr>
      </w:pPr>
      <w:r>
        <w:rPr>
          <w:rFonts w:ascii="Times New Roman" w:cs="Times New Roman" w:eastAsia="Times New Roman" w:hAnsi="Times New Roman"/>
          <w:sz w:val="14"/>
          <w:szCs w:val="14"/>
          <w:color w:val="auto"/>
        </w:rPr>
        <w:t>“Class B ordinary shares” are to our Class B ordinary shares of par value US$0.00001 per share carrying 40 votes per share;</w:t>
      </w:r>
    </w:p>
    <w:p>
      <w:pPr>
        <w:spacing w:after="0" w:line="7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“Guangzhou Jingqi” are to Guangzhou Jingqi Technology Ltd.;</w:t>
      </w:r>
    </w:p>
    <w:p>
      <w:pPr>
        <w:spacing w:after="0" w:line="1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“US$,” “U.S. dollars,” “$,” and “dollars” are to the legal currency of the United States; and</w:t>
      </w:r>
    </w:p>
    <w:p>
      <w:pPr>
        <w:spacing w:after="0" w:line="115" w:lineRule="exact"/>
        <w:rPr>
          <w:sz w:val="20"/>
          <w:szCs w:val="20"/>
          <w:color w:val="auto"/>
        </w:rPr>
      </w:pPr>
    </w:p>
    <w:p>
      <w:pPr>
        <w:jc w:val="both"/>
        <w:ind w:left="1560" w:right="1299"/>
        <w:spacing w:after="0" w:line="264" w:lineRule="auto"/>
        <w:rPr>
          <w:sz w:val="20"/>
          <w:szCs w:val="20"/>
          <w:color w:val="auto"/>
        </w:rPr>
      </w:pPr>
      <w:r>
        <w:rPr>
          <w:rFonts w:ascii="Times New Roman" w:cs="Times New Roman" w:eastAsia="Times New Roman" w:hAnsi="Times New Roman"/>
          <w:sz w:val="14"/>
          <w:szCs w:val="14"/>
          <w:color w:val="auto"/>
        </w:rPr>
        <w:t>“We,” “us,” “our company” and “our” are to WeRide Inc., our Cayman Islands holding company and its subsidiaries, including WeRide, and “WeRide” are to Guangzhou Wenyuan Zhixing Technology Co., Ltd. and its subsidiaries in mainland China. Unless otherwise specified, in the context of describing business and operations, we are referring to the business and operations conducted by WeRide.</w:t>
      </w:r>
    </w:p>
    <w:p>
      <w:pPr>
        <w:spacing w:after="0" w:line="88" w:lineRule="exact"/>
        <w:rPr>
          <w:sz w:val="20"/>
          <w:szCs w:val="20"/>
          <w:color w:val="auto"/>
        </w:rPr>
      </w:pPr>
    </w:p>
    <w:p>
      <w:pPr>
        <w:jc w:val="both"/>
        <w:ind w:left="1280" w:right="1299"/>
        <w:spacing w:after="0" w:line="256" w:lineRule="auto"/>
        <w:rPr>
          <w:sz w:val="20"/>
          <w:szCs w:val="20"/>
          <w:color w:val="auto"/>
        </w:rPr>
      </w:pPr>
      <w:r>
        <w:rPr>
          <w:rFonts w:ascii="Times New Roman" w:cs="Times New Roman" w:eastAsia="Times New Roman" w:hAnsi="Times New Roman"/>
          <w:sz w:val="14"/>
          <w:szCs w:val="14"/>
          <w:color w:val="auto"/>
        </w:rPr>
        <w:t>This prospectus is part of an automatic registration statement on Form F-3 that we filed with the Securities and Exchange Commission (the “SEC”) using a shelf registration process available to us as a “well-known seasoned issuer,” as defined in Rule 405 under the Securities Act of 1933, as amended (the “Securities Act”). By using a shelf registration statement, we or any selling securityholders may sell any of our securities to the extent permitted in this prospectus and the applicable prospectus supplement, from time to time in one or more offerings on a continuous or delayed basis. There is no limit on the aggregate amount of the securities that we or selling securityholders may offer pursuant to the registration statement of which this prospectus is a part. This prospectus only provides you with a summary description of these securities. Each time we or any selling securityholders sell the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w:t>
      </w:r>
    </w:p>
    <w:p>
      <w:pPr>
        <w:spacing w:after="0" w:line="316" w:lineRule="exact"/>
        <w:rPr>
          <w:sz w:val="20"/>
          <w:szCs w:val="20"/>
          <w:color w:val="auto"/>
        </w:rPr>
      </w:pPr>
    </w:p>
    <w:p>
      <w:pPr>
        <w:jc w:val="both"/>
        <w:ind w:left="1280" w:right="1279"/>
        <w:spacing w:after="0" w:line="290" w:lineRule="auto"/>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70" w:lineRule="exact"/>
        <w:rPr>
          <w:sz w:val="20"/>
          <w:szCs w:val="20"/>
          <w:color w:val="auto"/>
        </w:rPr>
      </w:pPr>
    </w:p>
    <w:p>
      <w:pPr>
        <w:jc w:val="both"/>
        <w:ind w:left="1280" w:right="1299"/>
        <w:spacing w:after="0" w:line="257"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This prospectus is not an offer to sell the securities, and it is not soliciting an offer to buy the securities in any jurisdiction where the offer or sale is not permitted. You should assume that the information appearing in this prospectus and the applicable supplement to this prospectus is accurate as of the date on its respective cover, and that any information incorporated by reference is accurate only as of the date of the document incorporated by reference, unless we indicate otherwise. Our business, results of operations, financial condition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 w:name="page10"/>
    <w:bookmarkEnd w:id="9"/>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255905</wp:posOffset>
            </wp:positionV>
            <wp:extent cx="4342130" cy="63379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42130" cy="633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26" w:lineRule="exact"/>
        <w:rPr>
          <w:sz w:val="20"/>
          <w:szCs w:val="20"/>
          <w:color w:val="auto"/>
        </w:rPr>
      </w:pPr>
    </w:p>
    <w:p>
      <w:pPr>
        <w:jc w:val="both"/>
        <w:ind w:left="1280" w:right="1279"/>
        <w:spacing w:after="0" w:line="262" w:lineRule="auto"/>
        <w:rPr>
          <w:sz w:val="20"/>
          <w:szCs w:val="20"/>
          <w:color w:val="auto"/>
        </w:rPr>
      </w:pPr>
      <w:r>
        <w:rPr>
          <w:rFonts w:ascii="Times New Roman" w:cs="Times New Roman" w:eastAsia="Times New Roman" w:hAnsi="Times New Roman"/>
          <w:sz w:val="14"/>
          <w:szCs w:val="14"/>
          <w:i w:val="1"/>
          <w:iCs w:val="1"/>
          <w:color w:val="auto"/>
        </w:rPr>
        <w:t>This prospectus summary highlights selected information included elsewhere in or incorporated by reference into this prospectus and the accompanying prospectus and does not contain all the information that you should consider before making an investment decision. You should read this entire prospectus and the accompanying prospectus carefully, including the “Risk Factors” sections and the financial statements and related notes and other information incorporated by reference, before making an investment decision.</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8" w:lineRule="exact"/>
        <w:rPr>
          <w:sz w:val="20"/>
          <w:szCs w:val="20"/>
          <w:color w:val="auto"/>
        </w:rPr>
      </w:pPr>
    </w:p>
    <w:p>
      <w:pPr>
        <w:jc w:val="both"/>
        <w:ind w:left="1280" w:right="1279"/>
        <w:spacing w:after="0" w:line="260" w:lineRule="auto"/>
        <w:rPr>
          <w:sz w:val="20"/>
          <w:szCs w:val="20"/>
          <w:color w:val="auto"/>
        </w:rPr>
      </w:pPr>
      <w:r>
        <w:rPr>
          <w:rFonts w:ascii="Times New Roman" w:cs="Times New Roman" w:eastAsia="Times New Roman" w:hAnsi="Times New Roman"/>
          <w:sz w:val="14"/>
          <w:szCs w:val="14"/>
          <w:color w:val="auto"/>
        </w:rPr>
        <w:t>WeRide is a global pioneer in L4 autonomous driving. We have deployed autonomous driving products and solutions in over 30 cities across 11 countries, including China, the UAE, Saudi Arabia, Switzerland, France, Singapore and Japan, as of October 20, 2025. Our robotaxi services are among the first in the world to achieve scaled commercial operation in both China and the Middle East. In 2024, WeRide was ranked as the second- largest company globally in revenue from L4 and above autonomous driving on city roads capturing a 21.8% market share, according to CIC.</w:t>
      </w:r>
    </w:p>
    <w:p>
      <w:pPr>
        <w:spacing w:after="0" w:line="79" w:lineRule="exact"/>
        <w:rPr>
          <w:sz w:val="20"/>
          <w:szCs w:val="20"/>
          <w:color w:val="auto"/>
        </w:rPr>
      </w:pPr>
    </w:p>
    <w:p>
      <w:pPr>
        <w:jc w:val="both"/>
        <w:ind w:left="1280" w:right="1279"/>
        <w:spacing w:after="0" w:line="259" w:lineRule="auto"/>
        <w:rPr>
          <w:sz w:val="20"/>
          <w:szCs w:val="20"/>
          <w:color w:val="auto"/>
        </w:rPr>
      </w:pPr>
      <w:r>
        <w:rPr>
          <w:rFonts w:ascii="Times New Roman" w:cs="Times New Roman" w:eastAsia="Times New Roman" w:hAnsi="Times New Roman"/>
          <w:sz w:val="14"/>
          <w:szCs w:val="14"/>
          <w:color w:val="auto"/>
        </w:rPr>
        <w:t>We adopt a balanced growth strategy, prioritizing markets that demonstrate strong potential for autonomous driving adoption in the long run—both internationally and in China’s major cities—while focusing on regions where autonomous vehicles offer clear economic and operational advantages. As of October 20, 2025, we deployed a fleet of over 1,500 autonomous vehicles, comprising 1,108 self-operated vehicles and 415 vehicles deployed in partnership with third parties. For self-operated vehicles, 286 vehicles were used for commercial activities and 822 vehicles were used solely for testing purposes. All 415 vehicles deployed in partnership with third parties were used for commercial activities.</w:t>
      </w:r>
    </w:p>
    <w:p>
      <w:pPr>
        <w:spacing w:after="0" w:line="90" w:lineRule="exact"/>
        <w:rPr>
          <w:sz w:val="20"/>
          <w:szCs w:val="20"/>
          <w:color w:val="auto"/>
        </w:rPr>
      </w:pPr>
    </w:p>
    <w:p>
      <w:pPr>
        <w:jc w:val="both"/>
        <w:ind w:left="1280" w:right="1279"/>
        <w:spacing w:after="0" w:line="256" w:lineRule="auto"/>
        <w:rPr>
          <w:sz w:val="20"/>
          <w:szCs w:val="20"/>
          <w:color w:val="auto"/>
        </w:rPr>
      </w:pPr>
      <w:r>
        <w:rPr>
          <w:rFonts w:ascii="Times New Roman" w:cs="Times New Roman" w:eastAsia="Times New Roman" w:hAnsi="Times New Roman"/>
          <w:sz w:val="14"/>
          <w:szCs w:val="14"/>
          <w:color w:val="auto"/>
        </w:rPr>
        <w:t>We believe that securing a first-mover advantage in key overseas markets is critical to establishing our longterm global leadership and capturing early commercial opportunities as regulatory frameworks and market demand evolve. WeRide has established a leading international footprint with notable first-mover advantages in key overseas markets. In France, Switzerland and Belgium, WeRide is the only company that has successfully deployed L4 autonomous driving solutions to date, according to CIC. In Singapore, WeRide is the only autonomous driving company with a dual presence in both robotaxi and robobus deployment, maintaining a lead of at least 1.5 years ahead of the next market entrant in L4 development, according to CIC. In the UAE, WeRide is more than two years ahead of the second player in terms of L4 autonomous driving deployment and remains the first company in the world to commence a L4 fully driverless testing outside of China and the U.S., according to CIC. Similarly, in Saudi Arabia, WeRide leads by approximately two years in L4 autonomous driving implementation, according to CIC.</w:t>
      </w:r>
    </w:p>
    <w:p>
      <w:pPr>
        <w:spacing w:after="0" w:line="97" w:lineRule="exact"/>
        <w:rPr>
          <w:sz w:val="20"/>
          <w:szCs w:val="20"/>
          <w:color w:val="auto"/>
        </w:rPr>
      </w:pPr>
    </w:p>
    <w:p>
      <w:pPr>
        <w:jc w:val="both"/>
        <w:ind w:left="1280" w:right="1279"/>
        <w:spacing w:after="0" w:line="259" w:lineRule="auto"/>
        <w:rPr>
          <w:sz w:val="20"/>
          <w:szCs w:val="20"/>
          <w:color w:val="auto"/>
        </w:rPr>
      </w:pPr>
      <w:r>
        <w:rPr>
          <w:rFonts w:ascii="Times New Roman" w:cs="Times New Roman" w:eastAsia="Times New Roman" w:hAnsi="Times New Roman"/>
          <w:sz w:val="14"/>
          <w:szCs w:val="14"/>
          <w:color w:val="auto"/>
        </w:rPr>
        <w:t>Overseas markets, especially in Europe and the Middle East, present potentially higher penetration rates for the technology and more favorable cost-performance dynamics, making them ideal destinations for scaling our robotaxi services. For example, in Abu Dhabi, where we have already commercialized, riding fares are listed around more than four times higher than those in Tier 1 cities in China, according to CIC. We have over 100 robotaxis in the Middle East, where we believe our robotaxis deliver superior unit economics and higher profitability. We plan to continue to scale our current fleet and expand to more global cities, deploying tens of thousands of robotaxis in the coming years.</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Recent Development</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Continued Business and Revenue Growth</w:t>
      </w:r>
    </w:p>
    <w:p>
      <w:pPr>
        <w:spacing w:after="0" w:line="117" w:lineRule="exact"/>
        <w:rPr>
          <w:sz w:val="20"/>
          <w:szCs w:val="20"/>
          <w:color w:val="auto"/>
        </w:rPr>
      </w:pPr>
    </w:p>
    <w:p>
      <w:pPr>
        <w:jc w:val="both"/>
        <w:ind w:left="1280" w:right="1279"/>
        <w:spacing w:after="0" w:line="267" w:lineRule="auto"/>
        <w:rPr>
          <w:sz w:val="20"/>
          <w:szCs w:val="20"/>
          <w:color w:val="auto"/>
        </w:rPr>
      </w:pPr>
      <w:r>
        <w:rPr>
          <w:rFonts w:ascii="Times New Roman" w:cs="Times New Roman" w:eastAsia="Times New Roman" w:hAnsi="Times New Roman"/>
          <w:sz w:val="14"/>
          <w:szCs w:val="14"/>
          <w:color w:val="auto"/>
        </w:rPr>
        <w:t>Since June 30, 2025, we have continued to steadily expand our business. According to our unaudited management accounts, we recorded higher revenue for the three months ended September 30, 2025 compared to the three months ended June 30, 2025. This growth was driven by an increase in both product revenue and service revenue.</w:t>
      </w:r>
    </w:p>
    <w:p>
      <w:pPr>
        <w:spacing w:after="0" w:line="259" w:lineRule="exact"/>
        <w:rPr>
          <w:sz w:val="20"/>
          <w:szCs w:val="20"/>
          <w:color w:val="auto"/>
        </w:rPr>
      </w:pPr>
    </w:p>
    <w:p>
      <w:pPr>
        <w:jc w:val="both"/>
        <w:ind w:left="1280" w:right="1279"/>
        <w:spacing w:after="0" w:line="267" w:lineRule="auto"/>
        <w:rPr>
          <w:sz w:val="20"/>
          <w:szCs w:val="20"/>
          <w:color w:val="auto"/>
        </w:rPr>
      </w:pPr>
      <w:r>
        <w:rPr>
          <w:rFonts w:ascii="Times New Roman" w:cs="Times New Roman" w:eastAsia="Times New Roman" w:hAnsi="Times New Roman"/>
          <w:sz w:val="14"/>
          <w:szCs w:val="14"/>
          <w:color w:val="auto"/>
        </w:rPr>
        <w:t>Please note that the above information is prepared based on our unaudited management accounts, which are preliminary in nature and may be subject to change. See “Management’s Discussion and Analysis of Financial Condition and Results of Operations—Material Accounting Policies,” “Risk Factors—Risks Related to the</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 w:name="page11"/>
    <w:bookmarkEnd w:id="10"/>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255905</wp:posOffset>
            </wp:positionV>
            <wp:extent cx="4342130" cy="6290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42130" cy="6290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280" w:right="1279"/>
        <w:spacing w:after="0" w:line="287" w:lineRule="auto"/>
        <w:rPr>
          <w:sz w:val="20"/>
          <w:szCs w:val="20"/>
          <w:color w:val="auto"/>
        </w:rPr>
      </w:pPr>
      <w:r>
        <w:rPr>
          <w:rFonts w:ascii="Times New Roman" w:cs="Times New Roman" w:eastAsia="Times New Roman" w:hAnsi="Times New Roman"/>
          <w:sz w:val="14"/>
          <w:szCs w:val="14"/>
          <w:color w:val="auto"/>
        </w:rPr>
        <w:t>Commercialization of Our Products and Technologies,” and “Risk Factors—Risks Related to Our Financial Condition and Need for Additional Capital” and “Special Note Regarding Forward-Looking Statements.”</w:t>
      </w:r>
    </w:p>
    <w:p>
      <w:pPr>
        <w:spacing w:after="0" w:line="1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Continued International Expansion</w:t>
      </w:r>
    </w:p>
    <w:p>
      <w:pPr>
        <w:spacing w:after="0" w:line="128" w:lineRule="exact"/>
        <w:rPr>
          <w:sz w:val="20"/>
          <w:szCs w:val="20"/>
          <w:color w:val="auto"/>
        </w:rPr>
      </w:pPr>
    </w:p>
    <w:p>
      <w:pPr>
        <w:jc w:val="both"/>
        <w:ind w:left="1280" w:right="1279"/>
        <w:spacing w:after="0" w:line="246" w:lineRule="auto"/>
        <w:rPr>
          <w:sz w:val="20"/>
          <w:szCs w:val="20"/>
          <w:color w:val="auto"/>
        </w:rPr>
      </w:pPr>
      <w:r>
        <w:rPr>
          <w:rFonts w:ascii="Times New Roman" w:cs="Times New Roman" w:eastAsia="Times New Roman" w:hAnsi="Times New Roman"/>
          <w:sz w:val="14"/>
          <w:szCs w:val="14"/>
          <w:color w:val="auto"/>
        </w:rPr>
        <w:t>In April 2025, we announced that we are integrating our autonomous robotaxis into Dubai’s public transportation system through a partnership with Dubai’s Road and Transport Authority and Uber, which was formalized via a memorandum of understanding signed in March 2025. This latest launch in Dubai follows our successful robotaxi launch in Abu Dhabi in 2021, positioning us as a key player in autonomous mobility technology services in the Middle East. It also marks the second city in the region where we are collaborating with Uber to bring cutting-edge autonomous mobility solutions to the public. This collaboration represents a significant milestone in our mission to make autonomous mobility a global reality, reinforcing our position as a partner of choice in bringing innovative technology closer to people.</w:t>
      </w:r>
    </w:p>
    <w:p>
      <w:pPr>
        <w:spacing w:after="0" w:line="92" w:lineRule="exact"/>
        <w:rPr>
          <w:sz w:val="20"/>
          <w:szCs w:val="20"/>
          <w:color w:val="auto"/>
        </w:rPr>
      </w:pPr>
    </w:p>
    <w:p>
      <w:pPr>
        <w:jc w:val="both"/>
        <w:ind w:left="1280" w:right="1279"/>
        <w:spacing w:after="0" w:line="271" w:lineRule="auto"/>
        <w:rPr>
          <w:sz w:val="20"/>
          <w:szCs w:val="20"/>
          <w:color w:val="auto"/>
        </w:rPr>
      </w:pPr>
      <w:r>
        <w:rPr>
          <w:rFonts w:ascii="Times New Roman" w:cs="Times New Roman" w:eastAsia="Times New Roman" w:hAnsi="Times New Roman"/>
          <w:sz w:val="14"/>
          <w:szCs w:val="14"/>
          <w:color w:val="auto"/>
        </w:rPr>
        <w:t>In May 2025, we and Uber announced a significant expansion of our previously announced strategic partnership, adding 15 additional cities globally over the next five years, including in Europe.</w:t>
      </w:r>
    </w:p>
    <w:p>
      <w:pPr>
        <w:spacing w:after="0" w:line="72" w:lineRule="exact"/>
        <w:rPr>
          <w:sz w:val="20"/>
          <w:szCs w:val="20"/>
          <w:color w:val="auto"/>
        </w:rPr>
      </w:pPr>
    </w:p>
    <w:p>
      <w:pPr>
        <w:jc w:val="both"/>
        <w:ind w:left="1280" w:right="1279"/>
        <w:spacing w:after="0" w:line="270" w:lineRule="auto"/>
        <w:rPr>
          <w:sz w:val="20"/>
          <w:szCs w:val="20"/>
          <w:color w:val="auto"/>
        </w:rPr>
      </w:pPr>
      <w:r>
        <w:rPr>
          <w:rFonts w:ascii="Times New Roman" w:cs="Times New Roman" w:eastAsia="Times New Roman" w:hAnsi="Times New Roman"/>
          <w:sz w:val="14"/>
          <w:szCs w:val="14"/>
          <w:color w:val="auto"/>
        </w:rPr>
        <w:t>In June 2025, we announced that we are partnering with Renault Group for the second consecutive year, to provide a L4 autonomous minibus shuttle service during the 2025 Grand Slam tournament on the iconic clay courts.</w:t>
      </w:r>
    </w:p>
    <w:p>
      <w:pPr>
        <w:spacing w:after="0" w:line="2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In July 2025, our robotaxi was granted Saudi Arabia’s first robotaxi autonomous driving permit.</w:t>
      </w:r>
    </w:p>
    <w:p>
      <w:pPr>
        <w:spacing w:after="0" w:line="126" w:lineRule="exact"/>
        <w:rPr>
          <w:sz w:val="20"/>
          <w:szCs w:val="20"/>
          <w:color w:val="auto"/>
        </w:rPr>
      </w:pPr>
    </w:p>
    <w:p>
      <w:pPr>
        <w:jc w:val="both"/>
        <w:ind w:left="1280" w:right="1279"/>
        <w:spacing w:after="0" w:line="254" w:lineRule="auto"/>
        <w:rPr>
          <w:sz w:val="20"/>
          <w:szCs w:val="20"/>
          <w:color w:val="auto"/>
        </w:rPr>
      </w:pPr>
      <w:r>
        <w:rPr>
          <w:rFonts w:ascii="Times New Roman" w:cs="Times New Roman" w:eastAsia="Times New Roman" w:hAnsi="Times New Roman"/>
          <w:sz w:val="14"/>
          <w:szCs w:val="14"/>
          <w:color w:val="auto"/>
        </w:rPr>
        <w:t>In August 2025, we and Grab, Southeast Asia’s leading superapp, announced a strategic partnership between us to accelerate the deployment and commercialization of L4 robotaxis in Southeast Asia, and reflects a shared vision to seamlessly integrate WeRide vehicles into Grab’s network to enhance service level.</w:t>
      </w:r>
    </w:p>
    <w:p>
      <w:pPr>
        <w:spacing w:after="0" w:line="84" w:lineRule="exact"/>
        <w:rPr>
          <w:sz w:val="20"/>
          <w:szCs w:val="20"/>
          <w:color w:val="auto"/>
        </w:rPr>
      </w:pPr>
    </w:p>
    <w:p>
      <w:pPr>
        <w:jc w:val="both"/>
        <w:ind w:left="1280" w:right="1279"/>
        <w:spacing w:after="0" w:line="262" w:lineRule="auto"/>
        <w:rPr>
          <w:sz w:val="20"/>
          <w:szCs w:val="20"/>
          <w:color w:val="auto"/>
        </w:rPr>
      </w:pPr>
      <w:r>
        <w:rPr>
          <w:rFonts w:ascii="Times New Roman" w:cs="Times New Roman" w:eastAsia="Times New Roman" w:hAnsi="Times New Roman"/>
          <w:sz w:val="14"/>
          <w:szCs w:val="14"/>
          <w:color w:val="auto"/>
        </w:rPr>
        <w:t>In September 2025, our robobus was granted Belgium’s first federal test permit for a Level 4 autonomous shuttle, making us the only technology company in the world with products holding autonomous driving permits in seven countries: Belgium, China, France, the UAE, Saudi Arabia, Singapore, and the U.S.</w:t>
      </w:r>
    </w:p>
    <w:p>
      <w:pPr>
        <w:spacing w:after="0" w:line="1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Commitment to Equity Investment</w:t>
      </w:r>
    </w:p>
    <w:p>
      <w:pPr>
        <w:spacing w:after="0" w:line="128" w:lineRule="exact"/>
        <w:rPr>
          <w:sz w:val="20"/>
          <w:szCs w:val="20"/>
          <w:color w:val="auto"/>
        </w:rPr>
      </w:pPr>
    </w:p>
    <w:p>
      <w:pPr>
        <w:jc w:val="both"/>
        <w:ind w:left="1280" w:right="1279"/>
        <w:spacing w:after="0" w:line="246" w:lineRule="auto"/>
        <w:rPr>
          <w:sz w:val="20"/>
          <w:szCs w:val="20"/>
          <w:color w:val="auto"/>
        </w:rPr>
      </w:pPr>
      <w:r>
        <w:rPr>
          <w:rFonts w:ascii="Times New Roman" w:cs="Times New Roman" w:eastAsia="Times New Roman" w:hAnsi="Times New Roman"/>
          <w:sz w:val="14"/>
          <w:szCs w:val="14"/>
          <w:color w:val="auto"/>
        </w:rPr>
        <w:t>Uber has committed to an equity investment of US$100 million, in addition to its existing investment, in our company as part of the recently announced expanded cooperation. This investment is expected to be called by us and completed by the fourth quarter of 2025, with closing subject to customary conditions, unless extended at our option. Uber will invest at a price based on the volume-weighted average price of our ADSs prior to the closing. Additionally, Grab has committed to a strategic equity investment in our company as part of the recently announced strategic partnership. The foregoing summary of the terms of Uber’s commitment is qualified in its entirety by reference to the text of the Uber Commitment Letter, which is filed hereto as Exhibit 10.23 and is incorporated herein by reference.</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Potential Regulatory Development</w:t>
      </w:r>
    </w:p>
    <w:p>
      <w:pPr>
        <w:spacing w:after="0" w:line="117" w:lineRule="exact"/>
        <w:rPr>
          <w:sz w:val="20"/>
          <w:szCs w:val="20"/>
          <w:color w:val="auto"/>
        </w:rPr>
      </w:pPr>
    </w:p>
    <w:p>
      <w:pPr>
        <w:jc w:val="both"/>
        <w:ind w:left="1280" w:right="1279"/>
        <w:spacing w:after="0" w:line="254" w:lineRule="auto"/>
        <w:rPr>
          <w:sz w:val="20"/>
          <w:szCs w:val="20"/>
          <w:color w:val="auto"/>
        </w:rPr>
      </w:pPr>
      <w:r>
        <w:rPr>
          <w:rFonts w:ascii="Times New Roman" w:cs="Times New Roman" w:eastAsia="Times New Roman" w:hAnsi="Times New Roman"/>
          <w:sz w:val="14"/>
          <w:szCs w:val="14"/>
          <w:color w:val="auto"/>
        </w:rPr>
        <w:t>Chinese government may increase its scrutiny over the use of proceeds raised by domestic companies from Hong Kong share sales or their overseas investment. When we repatriate funds to the PRC from overseas financing activities, we may be required to complete certain filing or approval procedures to transfer funds out of the PRC for purposes such as investment, acquisition, or other capital account activities. Such requirements may negatively affect our ability to pursue overseas expansion.</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Continued Net Loss</w:t>
      </w:r>
    </w:p>
    <w:p>
      <w:pPr>
        <w:spacing w:after="0" w:line="128" w:lineRule="exact"/>
        <w:rPr>
          <w:sz w:val="20"/>
          <w:szCs w:val="20"/>
          <w:color w:val="auto"/>
        </w:rPr>
      </w:pPr>
    </w:p>
    <w:p>
      <w:pPr>
        <w:jc w:val="both"/>
        <w:ind w:left="1280" w:right="1279"/>
        <w:spacing w:after="0" w:line="247" w:lineRule="auto"/>
        <w:rPr>
          <w:sz w:val="20"/>
          <w:szCs w:val="20"/>
          <w:color w:val="auto"/>
        </w:rPr>
      </w:pPr>
      <w:r>
        <w:rPr>
          <w:rFonts w:ascii="Times New Roman" w:cs="Times New Roman" w:eastAsia="Times New Roman" w:hAnsi="Times New Roman"/>
          <w:sz w:val="14"/>
          <w:szCs w:val="14"/>
          <w:color w:val="auto"/>
        </w:rPr>
        <w:t>We expect to record net loss in 2025 primarily due to anticipated increases in our research and development expenses and selling expenses. We expect our research and development expenses to increase in 2025 as we continue to expand our R&amp;D team and invest in developing new technologies, products and solutions. We also expect our selling expenses to increase in absolute amount in 2025, as we continue accelerating market entry and global expansion through both zero-to -one expansion into new geographies and scaling in new markets once we have established operations. We may incur net loss, considering the initial fixed investments and preparation for scaled commercialization when entering new markets. See “Management’s Discussion and</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 w:name="page12"/>
    <w:bookmarkEnd w:id="11"/>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255905</wp:posOffset>
            </wp:positionV>
            <wp:extent cx="4342130" cy="6492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42130" cy="649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280" w:right="1279"/>
        <w:spacing w:after="0" w:line="287" w:lineRule="auto"/>
        <w:rPr>
          <w:sz w:val="20"/>
          <w:szCs w:val="20"/>
          <w:color w:val="auto"/>
        </w:rPr>
      </w:pPr>
      <w:r>
        <w:rPr>
          <w:rFonts w:ascii="Times New Roman" w:cs="Times New Roman" w:eastAsia="Times New Roman" w:hAnsi="Times New Roman"/>
          <w:sz w:val="14"/>
          <w:szCs w:val="14"/>
          <w:color w:val="auto"/>
        </w:rPr>
        <w:t>Analysis of Financial Condition and Results of Operations—Description of Key Components of Results of Operations—Operating Expenses” for more details.</w:t>
      </w:r>
    </w:p>
    <w:p>
      <w:pPr>
        <w:spacing w:after="0" w:line="72" w:lineRule="exact"/>
        <w:rPr>
          <w:sz w:val="20"/>
          <w:szCs w:val="20"/>
          <w:color w:val="auto"/>
        </w:rPr>
      </w:pPr>
    </w:p>
    <w:p>
      <w:pPr>
        <w:jc w:val="both"/>
        <w:ind w:left="1280" w:right="1279"/>
        <w:spacing w:after="0" w:line="261" w:lineRule="auto"/>
        <w:rPr>
          <w:sz w:val="20"/>
          <w:szCs w:val="20"/>
          <w:color w:val="auto"/>
        </w:rPr>
      </w:pPr>
      <w:r>
        <w:rPr>
          <w:rFonts w:ascii="Times New Roman" w:cs="Times New Roman" w:eastAsia="Times New Roman" w:hAnsi="Times New Roman"/>
          <w:sz w:val="14"/>
          <w:szCs w:val="14"/>
          <w:color w:val="auto"/>
        </w:rPr>
        <w:t>The information above is based on preliminary unaudited information and management estimates as of September 30, 2025, is not a comprehensive statement of our financial results nor predictive of our results for the year ending December 31, 2025, and is subject to completion of our financial closing procedures. Our independent registered public accounting firm has not conducted an audit or review of, and does not express an opinion or any other form of assurance with respect to, this preliminary estimate.</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28" w:lineRule="exact"/>
        <w:rPr>
          <w:sz w:val="20"/>
          <w:szCs w:val="20"/>
          <w:color w:val="auto"/>
        </w:rPr>
      </w:pPr>
    </w:p>
    <w:p>
      <w:pPr>
        <w:jc w:val="both"/>
        <w:ind w:left="1280" w:right="1279"/>
        <w:spacing w:after="0" w:line="267" w:lineRule="auto"/>
        <w:rPr>
          <w:sz w:val="20"/>
          <w:szCs w:val="20"/>
          <w:color w:val="auto"/>
        </w:rPr>
      </w:pPr>
      <w:r>
        <w:rPr>
          <w:rFonts w:ascii="Times New Roman" w:cs="Times New Roman" w:eastAsia="Times New Roman" w:hAnsi="Times New Roman"/>
          <w:sz w:val="14"/>
          <w:szCs w:val="14"/>
          <w:color w:val="auto"/>
        </w:rPr>
        <w:t>Investing in our Class A ordinary shares involves significant risks. You should carefully consider all of the information in this prospectus before making an investment decision. Below please find a summary of the principal risks we face, organized under relevant headings. These risks are discussed more fully in “Risk Factors.”</w:t>
      </w:r>
    </w:p>
    <w:p>
      <w:pPr>
        <w:spacing w:after="0" w:line="3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Business and Industry</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Risks and uncertainties related to our business and industry include, but are not limited to, the following:</w:t>
      </w:r>
    </w:p>
    <w:p>
      <w:pPr>
        <w:spacing w:after="0" w:line="105" w:lineRule="exact"/>
        <w:rPr>
          <w:sz w:val="20"/>
          <w:szCs w:val="20"/>
          <w:color w:val="auto"/>
        </w:rPr>
      </w:pPr>
    </w:p>
    <w:p>
      <w:pPr>
        <w:ind w:left="1720" w:right="1279" w:hanging="147"/>
        <w:spacing w:after="0" w:line="287"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company with a limited operating history and financial track record in the emerging and fast-evolving autonomous driving industry, which involves significant risks and uncertainties.</w:t>
      </w:r>
    </w:p>
    <w:p>
      <w:pPr>
        <w:spacing w:after="0" w:line="39" w:lineRule="exact"/>
        <w:rPr>
          <w:rFonts w:ascii="Times New Roman" w:cs="Times New Roman" w:eastAsia="Times New Roman" w:hAnsi="Times New Roman"/>
          <w:sz w:val="14"/>
          <w:szCs w:val="14"/>
          <w:color w:val="auto"/>
        </w:rPr>
      </w:pPr>
    </w:p>
    <w:p>
      <w:pPr>
        <w:jc w:val="both"/>
        <w:ind w:left="1720" w:right="1279" w:hanging="147"/>
        <w:spacing w:after="0" w:line="270"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making, and expect to continue to make in the foreseeable future, substantial investments in developing new offerings and technologies. These new initiatives are inherently risky, and we may not realize the expected benefits from them.</w:t>
      </w:r>
    </w:p>
    <w:p>
      <w:pPr>
        <w:spacing w:after="0" w:line="51" w:lineRule="exact"/>
        <w:rPr>
          <w:rFonts w:ascii="Times New Roman" w:cs="Times New Roman" w:eastAsia="Times New Roman" w:hAnsi="Times New Roman"/>
          <w:sz w:val="14"/>
          <w:szCs w:val="14"/>
          <w:color w:val="auto"/>
        </w:rPr>
      </w:pPr>
    </w:p>
    <w:p>
      <w:pPr>
        <w:jc w:val="both"/>
        <w:ind w:left="1720" w:right="1279" w:hanging="147"/>
        <w:spacing w:after="0" w:line="270"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Autonomous driving technology is an emerging technology, and we face significant challenges to develop and commercialize our technology. Our technology may not perform as well as we expect or may take us longer to commercialize than is currently projected.</w:t>
      </w:r>
    </w:p>
    <w:p>
      <w:pPr>
        <w:spacing w:after="0" w:line="51" w:lineRule="exact"/>
        <w:rPr>
          <w:rFonts w:ascii="Times New Roman" w:cs="Times New Roman" w:eastAsia="Times New Roman" w:hAnsi="Times New Roman"/>
          <w:sz w:val="14"/>
          <w:szCs w:val="14"/>
          <w:color w:val="auto"/>
        </w:rPr>
      </w:pPr>
    </w:p>
    <w:p>
      <w:pPr>
        <w:jc w:val="both"/>
        <w:ind w:left="1720" w:right="1279" w:hanging="147"/>
        <w:spacing w:after="0" w:line="26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market for autonomous driving products and services is relatively new and disruptive, if our autonomous driving products and services fail to gain acceptance from the general public, regulatory authorities, our target customers, users or other stakeholders, or fail to do so at the pace we expect, our business, prospects, operating results and financial condition could be materially harmed.</w:t>
      </w:r>
    </w:p>
    <w:p>
      <w:pPr>
        <w:spacing w:after="0" w:line="228" w:lineRule="exact"/>
        <w:rPr>
          <w:rFonts w:ascii="Times New Roman" w:cs="Times New Roman" w:eastAsia="Times New Roman" w:hAnsi="Times New Roman"/>
          <w:sz w:val="14"/>
          <w:szCs w:val="14"/>
          <w:color w:val="auto"/>
        </w:rPr>
      </w:pPr>
    </w:p>
    <w:p>
      <w:pPr>
        <w:jc w:val="both"/>
        <w:ind w:left="1720" w:right="1279" w:hanging="147"/>
        <w:spacing w:after="0" w:line="280"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model has yet to be tested, and any failure to commercialize our strategic plans, technologies, products or services would have an adverse effect on our operating results and business.</w:t>
      </w:r>
    </w:p>
    <w:p>
      <w:pPr>
        <w:spacing w:after="0" w:line="219" w:lineRule="exact"/>
        <w:rPr>
          <w:rFonts w:ascii="Times New Roman" w:cs="Times New Roman" w:eastAsia="Times New Roman" w:hAnsi="Times New Roman"/>
          <w:sz w:val="14"/>
          <w:szCs w:val="14"/>
          <w:color w:val="auto"/>
        </w:rPr>
      </w:pPr>
    </w:p>
    <w:p>
      <w:pPr>
        <w:jc w:val="both"/>
        <w:ind w:left="1720" w:right="1279" w:hanging="147"/>
        <w:spacing w:after="0" w:line="270"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autonomous driving technology products and services fail to meet evolving customer needs, respond to the industry evolution appropriately, tailor to developing use cases or to perform as expected, our ability to market or sell our products and services could be adversely affected.</w:t>
      </w:r>
    </w:p>
    <w:p>
      <w:pPr>
        <w:spacing w:after="0" w:line="51" w:lineRule="exact"/>
        <w:rPr>
          <w:rFonts w:ascii="Times New Roman" w:cs="Times New Roman" w:eastAsia="Times New Roman" w:hAnsi="Times New Roman"/>
          <w:sz w:val="14"/>
          <w:szCs w:val="14"/>
          <w:color w:val="auto"/>
        </w:rPr>
      </w:pPr>
    </w:p>
    <w:p>
      <w:pPr>
        <w:jc w:val="both"/>
        <w:ind w:left="1720" w:right="1279" w:hanging="147"/>
        <w:spacing w:after="0" w:line="280"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continue to attract and retain customers, manage our relationship with them or increase their reliance on our products and services could materially and adversely affect our business and prospects.</w:t>
      </w:r>
    </w:p>
    <w:p>
      <w:pPr>
        <w:spacing w:after="0" w:line="219" w:lineRule="exact"/>
        <w:rPr>
          <w:rFonts w:ascii="Times New Roman" w:cs="Times New Roman" w:eastAsia="Times New Roman" w:hAnsi="Times New Roman"/>
          <w:sz w:val="14"/>
          <w:szCs w:val="14"/>
          <w:color w:val="auto"/>
        </w:rPr>
      </w:pPr>
    </w:p>
    <w:p>
      <w:pPr>
        <w:jc w:val="both"/>
        <w:ind w:left="1720" w:right="1279" w:hanging="147"/>
        <w:spacing w:after="0" w:line="264"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autonomous driving technology and related software and hardware could have undetected defects or contain serious errors, which could create safety issues, reduce market adoption, damage our brand image, subject us to product recalls or expose us to product liability and other claims that could materially and adversely affect our business.</w:t>
      </w:r>
    </w:p>
    <w:p>
      <w:pPr>
        <w:spacing w:after="0" w:line="66" w:lineRule="exact"/>
        <w:rPr>
          <w:rFonts w:ascii="Times New Roman" w:cs="Times New Roman" w:eastAsia="Times New Roman" w:hAnsi="Times New Roman"/>
          <w:sz w:val="14"/>
          <w:szCs w:val="14"/>
          <w:color w:val="auto"/>
        </w:rPr>
      </w:pPr>
    </w:p>
    <w:p>
      <w:pPr>
        <w:jc w:val="both"/>
        <w:ind w:left="1720" w:right="1279" w:hanging="147"/>
        <w:spacing w:after="0" w:line="264"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generates and processes a large amount of data, and we are required to comply with PRC and other regions’ applicable laws relating to privacy and cybersecurity. The improper use or disclosure of data or failure to comply with applicable laws and regulations could have a material and adverse effect on our business and prospects.</w:t>
      </w:r>
    </w:p>
    <w:p>
      <w:pPr>
        <w:spacing w:after="0" w:line="56" w:lineRule="exact"/>
        <w:rPr>
          <w:rFonts w:ascii="Times New Roman" w:cs="Times New Roman" w:eastAsia="Times New Roman" w:hAnsi="Times New Roman"/>
          <w:sz w:val="14"/>
          <w:szCs w:val="14"/>
          <w:color w:val="auto"/>
        </w:rPr>
      </w:pPr>
    </w:p>
    <w:p>
      <w:pPr>
        <w:jc w:val="both"/>
        <w:ind w:left="1720" w:right="1279" w:hanging="147"/>
        <w:spacing w:after="0" w:line="264"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operations are subject to extensive and evolving governmental regulations and may be adversely affected by changes in automotive safety regulations that could impose substantial costs, legal prohibitions or unfavorable changes upon our operations, and we may incur material liabilities under, or costs in order to comply with, existing or future laws and regulations.</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 w:name="page13"/>
    <w:bookmarkEnd w:id="12"/>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255905</wp:posOffset>
            </wp:positionV>
            <wp:extent cx="4342130" cy="6499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42130" cy="6499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720" w:right="1279" w:hanging="147"/>
        <w:spacing w:after="0" w:line="270"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tensions in international trade and rising political tensions, particularly between the U.S. and China, the U.S. and the European Union, or the European Union and China may adversely impact our business, financial condition, and results of operations.</w:t>
      </w:r>
    </w:p>
    <w:p>
      <w:pPr>
        <w:spacing w:after="0" w:line="51" w:lineRule="exact"/>
        <w:rPr>
          <w:rFonts w:ascii="Times New Roman" w:cs="Times New Roman" w:eastAsia="Times New Roman" w:hAnsi="Times New Roman"/>
          <w:sz w:val="14"/>
          <w:szCs w:val="14"/>
          <w:color w:val="auto"/>
        </w:rPr>
      </w:pPr>
    </w:p>
    <w:p>
      <w:pPr>
        <w:jc w:val="both"/>
        <w:ind w:left="1720" w:right="1279" w:hanging="147"/>
        <w:spacing w:after="0" w:line="26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export control, sanctions, trade policies and similar laws and regulations, and non-compliance of such laws, regulations, policies and administrative orders can subject us to administrative, civil and criminal fines and penalties, collateral consequences, remedial measures and legal expenses, all of which could adversely affect our business, financial condition and results of operations.</w:t>
      </w:r>
    </w:p>
    <w:p>
      <w:pPr>
        <w:spacing w:after="0" w:line="3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Doing Business in Mainland China</w:t>
      </w:r>
    </w:p>
    <w:p>
      <w:pPr>
        <w:spacing w:after="0" w:line="96" w:lineRule="exact"/>
        <w:rPr>
          <w:sz w:val="20"/>
          <w:szCs w:val="20"/>
          <w:color w:val="auto"/>
        </w:rPr>
      </w:pPr>
    </w:p>
    <w:p>
      <w:pPr>
        <w:ind w:left="1720" w:right="1279" w:hanging="147"/>
        <w:spacing w:after="0" w:line="287"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and uncertainties related to doing business in mainland China in general, including, but not limited to, the following:</w:t>
      </w:r>
    </w:p>
    <w:p>
      <w:pPr>
        <w:spacing w:after="0" w:line="29" w:lineRule="exact"/>
        <w:rPr>
          <w:rFonts w:ascii="Times New Roman" w:cs="Times New Roman" w:eastAsia="Times New Roman" w:hAnsi="Times New Roman"/>
          <w:sz w:val="14"/>
          <w:szCs w:val="14"/>
          <w:color w:val="auto"/>
        </w:rPr>
      </w:pPr>
    </w:p>
    <w:p>
      <w:pPr>
        <w:ind w:left="1720" w:right="1279" w:hanging="147"/>
        <w:spacing w:after="0" w:line="287"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China’s economic, political or social conditions or government policies could have a material adverse effect on our business and operations.</w:t>
      </w:r>
    </w:p>
    <w:p>
      <w:pPr>
        <w:spacing w:after="0" w:line="39" w:lineRule="exact"/>
        <w:rPr>
          <w:rFonts w:ascii="Times New Roman" w:cs="Times New Roman" w:eastAsia="Times New Roman" w:hAnsi="Times New Roman"/>
          <w:sz w:val="14"/>
          <w:szCs w:val="14"/>
          <w:color w:val="auto"/>
        </w:rPr>
      </w:pPr>
    </w:p>
    <w:p>
      <w:pPr>
        <w:ind w:left="1720" w:hanging="147"/>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PCAOB had historically been unable to inspect our auditor in relation to their audit work.</w:t>
      </w:r>
    </w:p>
    <w:p>
      <w:pPr>
        <w:spacing w:after="0" w:line="83" w:lineRule="exact"/>
        <w:rPr>
          <w:rFonts w:ascii="Times New Roman" w:cs="Times New Roman" w:eastAsia="Times New Roman" w:hAnsi="Times New Roman"/>
          <w:sz w:val="14"/>
          <w:szCs w:val="14"/>
          <w:color w:val="auto"/>
        </w:rPr>
      </w:pPr>
    </w:p>
    <w:p>
      <w:pPr>
        <w:jc w:val="both"/>
        <w:ind w:left="1720" w:right="1279" w:hanging="147"/>
        <w:spacing w:after="0" w:line="264"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56" w:lineRule="exact"/>
        <w:rPr>
          <w:rFonts w:ascii="Times New Roman" w:cs="Times New Roman" w:eastAsia="Times New Roman" w:hAnsi="Times New Roman"/>
          <w:sz w:val="14"/>
          <w:szCs w:val="14"/>
          <w:color w:val="auto"/>
        </w:rPr>
      </w:pPr>
    </w:p>
    <w:p>
      <w:pPr>
        <w:jc w:val="both"/>
        <w:ind w:left="1720" w:right="1279" w:hanging="147"/>
        <w:spacing w:after="0" w:line="267"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changes from time to time in the interpretation and application of the laws of mainland China, and any failure to comply with laws and regulations could have a material adverse effect on our business, results of operations, financial condition and the value of our Class A ordinary shares and ADSs.</w:t>
      </w:r>
    </w:p>
    <w:p>
      <w:pPr>
        <w:spacing w:after="0" w:line="227" w:lineRule="exact"/>
        <w:rPr>
          <w:rFonts w:ascii="Times New Roman" w:cs="Times New Roman" w:eastAsia="Times New Roman" w:hAnsi="Times New Roman"/>
          <w:sz w:val="14"/>
          <w:szCs w:val="14"/>
          <w:color w:val="auto"/>
        </w:rPr>
      </w:pPr>
    </w:p>
    <w:p>
      <w:pPr>
        <w:jc w:val="both"/>
        <w:ind w:left="1720" w:right="1279" w:hanging="147"/>
        <w:spacing w:after="0" w:line="280"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PRC government’s significant oversight and discretion over our business operation could result in a material adverse change in our operations and the value of our Class A ordinary shares and ADSs.</w:t>
      </w:r>
    </w:p>
    <w:p>
      <w:pPr>
        <w:spacing w:after="0" w:line="208" w:lineRule="exact"/>
        <w:rPr>
          <w:rFonts w:ascii="Times New Roman" w:cs="Times New Roman" w:eastAsia="Times New Roman" w:hAnsi="Times New Roman"/>
          <w:sz w:val="14"/>
          <w:szCs w:val="14"/>
          <w:color w:val="auto"/>
        </w:rPr>
      </w:pPr>
    </w:p>
    <w:p>
      <w:pPr>
        <w:jc w:val="both"/>
        <w:ind w:left="1720" w:right="1279" w:hanging="147"/>
        <w:spacing w:after="0" w:line="270"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required to complete the filing procedure with the China Securities Regulatory Commission in connection with our future offerings. We cannot predict whether we will be able to complete such filing on a timely manner, or at all.</w:t>
      </w:r>
    </w:p>
    <w:p>
      <w:pPr>
        <w:spacing w:after="0" w:line="51" w:lineRule="exact"/>
        <w:rPr>
          <w:rFonts w:ascii="Times New Roman" w:cs="Times New Roman" w:eastAsia="Times New Roman" w:hAnsi="Times New Roman"/>
          <w:sz w:val="14"/>
          <w:szCs w:val="14"/>
          <w:color w:val="auto"/>
        </w:rPr>
      </w:pPr>
    </w:p>
    <w:p>
      <w:pPr>
        <w:jc w:val="both"/>
        <w:ind w:left="1720" w:right="1279" w:hanging="147"/>
        <w:spacing w:after="0" w:line="264"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w:t>
      </w:r>
    </w:p>
    <w:p>
      <w:pPr>
        <w:spacing w:after="0" w:line="45" w:lineRule="exact"/>
        <w:rPr>
          <w:rFonts w:ascii="Times New Roman" w:cs="Times New Roman" w:eastAsia="Times New Roman" w:hAnsi="Times New Roman"/>
          <w:sz w:val="14"/>
          <w:szCs w:val="14"/>
          <w:color w:val="auto"/>
        </w:rPr>
      </w:pPr>
    </w:p>
    <w:p>
      <w:pPr>
        <w:jc w:val="both"/>
        <w:ind w:left="1720" w:right="1279" w:hanging="147"/>
        <w:spacing w:after="0" w:line="26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PRC regulation of loans to and direct investment in PRC entities by offshore holding companies and governmental control of currency conversion may delay or prevent us from using the proceeds of our offshore offerings to make loans or additional capital contributions to our mainland China subsidiaries, which could materially and adversely affect our liquidity and our ability to fund and expand our business.</w:t>
      </w:r>
    </w:p>
    <w:p>
      <w:pPr>
        <w:spacing w:after="0" w:line="3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Class A Ordinary Shares and the ADSs</w:t>
      </w:r>
    </w:p>
    <w:p>
      <w:pPr>
        <w:spacing w:after="0" w:line="96" w:lineRule="exact"/>
        <w:rPr>
          <w:sz w:val="20"/>
          <w:szCs w:val="20"/>
          <w:color w:val="auto"/>
        </w:rPr>
      </w:pPr>
    </w:p>
    <w:p>
      <w:pPr>
        <w:ind w:left="1720" w:right="1279" w:hanging="147"/>
        <w:spacing w:after="0" w:line="287"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and uncertainties related to our Class A ordinary shares and the ADSs include, but are not limited to, the following:</w:t>
      </w:r>
    </w:p>
    <w:p>
      <w:pPr>
        <w:spacing w:after="0" w:line="39" w:lineRule="exact"/>
        <w:rPr>
          <w:rFonts w:ascii="Times New Roman" w:cs="Times New Roman" w:eastAsia="Times New Roman" w:hAnsi="Times New Roman"/>
          <w:sz w:val="14"/>
          <w:szCs w:val="14"/>
          <w:color w:val="auto"/>
        </w:rPr>
      </w:pPr>
    </w:p>
    <w:p>
      <w:pPr>
        <w:ind w:left="1720" w:right="1279" w:hanging="147"/>
        <w:spacing w:after="0" w:line="287"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price and trading volume of our Class A Ordinary Shares or ADSs may be volatile, which could lead to substantial losses to investors.</w:t>
      </w:r>
    </w:p>
    <w:p>
      <w:pPr>
        <w:spacing w:after="0" w:line="39" w:lineRule="exact"/>
        <w:rPr>
          <w:rFonts w:ascii="Times New Roman" w:cs="Times New Roman" w:eastAsia="Times New Roman" w:hAnsi="Times New Roman"/>
          <w:sz w:val="14"/>
          <w:szCs w:val="14"/>
          <w:color w:val="auto"/>
        </w:rPr>
      </w:pPr>
    </w:p>
    <w:p>
      <w:pPr>
        <w:ind w:left="1720" w:right="1279" w:hanging="147"/>
        <w:spacing w:after="0" w:line="287"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future sales or perceived potential sales of our Class A Ordinary Shares and ADSs in the public market could cause the price of our Class A Ordinary Shares and ADSs to decline.</w:t>
      </w:r>
    </w:p>
    <w:p>
      <w:pPr>
        <w:spacing w:after="0" w:line="29" w:lineRule="exact"/>
        <w:rPr>
          <w:rFonts w:ascii="Times New Roman" w:cs="Times New Roman" w:eastAsia="Times New Roman" w:hAnsi="Times New Roman"/>
          <w:sz w:val="14"/>
          <w:szCs w:val="14"/>
          <w:color w:val="auto"/>
        </w:rPr>
      </w:pPr>
    </w:p>
    <w:p>
      <w:pPr>
        <w:ind w:left="1720" w:hanging="147"/>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principal shareholders have substantial influence over our key corporate matters.</w:t>
      </w:r>
    </w:p>
    <w:p>
      <w:pPr>
        <w:spacing w:after="0" w:line="93" w:lineRule="exact"/>
        <w:rPr>
          <w:rFonts w:ascii="Times New Roman" w:cs="Times New Roman" w:eastAsia="Times New Roman" w:hAnsi="Times New Roman"/>
          <w:sz w:val="14"/>
          <w:szCs w:val="14"/>
          <w:color w:val="auto"/>
        </w:rPr>
      </w:pPr>
    </w:p>
    <w:p>
      <w:pPr>
        <w:jc w:val="both"/>
        <w:ind w:left="1720" w:right="1279" w:hanging="147"/>
        <w:spacing w:after="0" w:line="270"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204470</wp:posOffset>
            </wp:positionV>
            <wp:extent cx="537972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 w:name="page14"/>
    <w:bookmarkEnd w:id="13"/>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255905</wp:posOffset>
            </wp:positionV>
            <wp:extent cx="4342130" cy="6263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42130" cy="626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720" w:right="1279" w:hanging="147"/>
        <w:spacing w:after="0" w:line="264"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securities or industry analysts do not publish research or publish inaccurate or unfavorable research about our business, or if they adversely change their recommendations regarding our Class A ordinary shares and ADSs, the market price for our Class A ordinary shares and ADSs and trading volume could decline.</w:t>
      </w:r>
    </w:p>
    <w:p>
      <w:pPr>
        <w:spacing w:after="0" w:line="56" w:lineRule="exact"/>
        <w:rPr>
          <w:rFonts w:ascii="Times New Roman" w:cs="Times New Roman" w:eastAsia="Times New Roman" w:hAnsi="Times New Roman"/>
          <w:sz w:val="14"/>
          <w:szCs w:val="14"/>
          <w:color w:val="auto"/>
        </w:rPr>
      </w:pPr>
    </w:p>
    <w:p>
      <w:pPr>
        <w:ind w:left="1720" w:right="1279" w:hanging="147"/>
        <w:spacing w:after="0" w:line="287"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Techniques employed by short sellers may drive down the market price of our Class A ordinary shares and/or ADSs.</w:t>
      </w:r>
    </w:p>
    <w:p>
      <w:pPr>
        <w:spacing w:after="0" w:line="39" w:lineRule="exact"/>
        <w:rPr>
          <w:rFonts w:ascii="Times New Roman" w:cs="Times New Roman" w:eastAsia="Times New Roman" w:hAnsi="Times New Roman"/>
          <w:sz w:val="14"/>
          <w:szCs w:val="14"/>
          <w:color w:val="auto"/>
        </w:rPr>
      </w:pPr>
    </w:p>
    <w:p>
      <w:pPr>
        <w:ind w:left="1720" w:right="1279" w:hanging="147"/>
        <w:spacing w:after="0" w:line="287"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do not expect to pay dividends in the foreseeable future, you must rely on price appreciation of our Class A ordinary shares and ADSs for return on your investment.</w:t>
      </w:r>
    </w:p>
    <w:p>
      <w:pPr>
        <w:spacing w:after="0" w:line="39" w:lineRule="exact"/>
        <w:rPr>
          <w:rFonts w:ascii="Times New Roman" w:cs="Times New Roman" w:eastAsia="Times New Roman" w:hAnsi="Times New Roman"/>
          <w:sz w:val="14"/>
          <w:szCs w:val="14"/>
          <w:color w:val="auto"/>
        </w:rPr>
      </w:pPr>
    </w:p>
    <w:p>
      <w:pPr>
        <w:ind w:left="1720" w:right="1279" w:hanging="147"/>
        <w:spacing w:after="0" w:line="287"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management will have broad discretion over the use of the proceeds we receive in any offering and may not apply the proceeds in ways that increase the value of your investment.</w:t>
      </w:r>
    </w:p>
    <w:p>
      <w:pPr>
        <w:spacing w:after="0" w:line="39" w:lineRule="exact"/>
        <w:rPr>
          <w:rFonts w:ascii="Times New Roman" w:cs="Times New Roman" w:eastAsia="Times New Roman" w:hAnsi="Times New Roman"/>
          <w:sz w:val="14"/>
          <w:szCs w:val="14"/>
          <w:color w:val="auto"/>
        </w:rPr>
      </w:pPr>
    </w:p>
    <w:p>
      <w:pPr>
        <w:ind w:left="1720" w:right="1279" w:hanging="147"/>
        <w:spacing w:after="0" w:line="287"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rights of holders of ADSs are limited by the terms of the deposit agreement, and the holders of ADSs may not be able to exercise the same rights as our shareholders.</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Corporate History and Structure</w:t>
      </w:r>
    </w:p>
    <w:p>
      <w:pPr>
        <w:spacing w:after="0" w:line="128" w:lineRule="exact"/>
        <w:rPr>
          <w:sz w:val="20"/>
          <w:szCs w:val="20"/>
          <w:color w:val="auto"/>
        </w:rPr>
      </w:pPr>
    </w:p>
    <w:p>
      <w:pPr>
        <w:jc w:val="both"/>
        <w:ind w:left="1280" w:right="1279"/>
        <w:spacing w:after="0" w:line="264" w:lineRule="auto"/>
        <w:rPr>
          <w:sz w:val="20"/>
          <w:szCs w:val="20"/>
          <w:color w:val="auto"/>
        </w:rPr>
      </w:pPr>
      <w:r>
        <w:rPr>
          <w:rFonts w:ascii="Times New Roman" w:cs="Times New Roman" w:eastAsia="Times New Roman" w:hAnsi="Times New Roman"/>
          <w:sz w:val="14"/>
          <w:szCs w:val="14"/>
          <w:color w:val="auto"/>
        </w:rPr>
        <w:t>We commenced our business in February 2017. In March 2017, our Cayman Islands holding company, WeRide Inc., was incorporated, and later became the sole shareholder of WeRide Corp. Our Cayman Islands holding company further established WeRide HongKong Limited, or WeRide HK, formerly known as JingChi Hong Kong Limited, as its wholly-owned subsidiary in Hong Kong in May 2017.</w:t>
      </w:r>
    </w:p>
    <w:p>
      <w:pPr>
        <w:spacing w:after="0" w:line="88" w:lineRule="exact"/>
        <w:rPr>
          <w:sz w:val="20"/>
          <w:szCs w:val="20"/>
          <w:color w:val="auto"/>
        </w:rPr>
      </w:pPr>
    </w:p>
    <w:p>
      <w:pPr>
        <w:jc w:val="both"/>
        <w:ind w:left="1280" w:right="1279"/>
        <w:spacing w:after="0" w:line="257" w:lineRule="auto"/>
        <w:rPr>
          <w:sz w:val="20"/>
          <w:szCs w:val="20"/>
          <w:color w:val="auto"/>
        </w:rPr>
      </w:pPr>
      <w:r>
        <w:rPr>
          <w:rFonts w:ascii="Times New Roman" w:cs="Times New Roman" w:eastAsia="Times New Roman" w:hAnsi="Times New Roman"/>
          <w:sz w:val="14"/>
          <w:szCs w:val="14"/>
          <w:color w:val="auto"/>
        </w:rPr>
        <w:t>We commenced our operations in mainland China shortly after the establishment of our offshore structure. In December 2017, we selected Guangzhou as our global headquarters. In January 2018, WeRide HK established a wholly-owned subsidiary, Guangzhou Wenyuan Zhixing Technology Co., Ltd., or Wenyuan Guangzhou or the WFOE, in mainland China. In March 2018, our founder established Guangzhou Jingqi Technology Co., Ltd., or Guangzhou Jingqi, in mainland China. In July 2018, we started to direct the activities of and consolidate the financial results of Guangzhou Jingqi by entering into a series of contractual arrangements by and among Wenyuan Guangzhou, Guangzhou Jingqi and its nominee shareholders. In March 2023, we terminated such contractual arrangements and acquired Guangzhou Jingqi as a wholly-owned subsidiary of our company.</w:t>
      </w:r>
    </w:p>
    <w:p>
      <w:pPr>
        <w:spacing w:after="0" w:line="256" w:lineRule="exact"/>
        <w:rPr>
          <w:sz w:val="20"/>
          <w:szCs w:val="20"/>
          <w:color w:val="auto"/>
        </w:rPr>
      </w:pPr>
    </w:p>
    <w:p>
      <w:pPr>
        <w:jc w:val="both"/>
        <w:ind w:left="1280" w:right="1279"/>
        <w:spacing w:after="0" w:line="257" w:lineRule="auto"/>
        <w:rPr>
          <w:sz w:val="20"/>
          <w:szCs w:val="20"/>
          <w:color w:val="auto"/>
        </w:rPr>
      </w:pPr>
      <w:r>
        <w:rPr>
          <w:rFonts w:ascii="Times New Roman" w:cs="Times New Roman" w:eastAsia="Times New Roman" w:hAnsi="Times New Roman"/>
          <w:sz w:val="14"/>
          <w:szCs w:val="14"/>
          <w:color w:val="auto"/>
        </w:rPr>
        <w:t>In August 2019, for the operation of our robotaxi business, Guangzhou Jingqi, WeRide HK, and two investors jointly established Wenyuan Yuexing (Guangdong) Travel Technology Co., Ltd., in which Guangzhou Jingqi currently holds 69% equity interests. In order to conduct test driving in Nanjing, Guangzhou Jingqi further established Wenyuan Suxing (Jiangsu) Technology Co., Ltd., its wholly-owned subsidiary. In addition, Guangzhou Jingqi established wholly-owned subsidiaries, Shenzhen Wenyuan Zhixing Intelligent Technology Co., Ltd. and Wenyuan Jingxing (Beijing) Technology Co., Ltd., for business operation and research and development center in Shenzhen and Beijing, respectively. From June 2022 to the date of this prospectus, Wenyuan Guangzhou further established wholly-owned subsidiaries in various cities, including Guangzhou, Shenzhen, Wuhan, Nanjing, Beijing, Shanghai, Zhengzhou, Wuxi, Xi’an, Anqing, Qionghai, Dongguan and Zhuhai.</w:t>
      </w:r>
    </w:p>
    <w:p>
      <w:pPr>
        <w:spacing w:after="0" w:line="92" w:lineRule="exact"/>
        <w:rPr>
          <w:sz w:val="20"/>
          <w:szCs w:val="20"/>
          <w:color w:val="auto"/>
        </w:rPr>
      </w:pPr>
    </w:p>
    <w:p>
      <w:pPr>
        <w:jc w:val="both"/>
        <w:ind w:left="1280" w:right="1279"/>
        <w:spacing w:after="0" w:line="287" w:lineRule="auto"/>
        <w:rPr>
          <w:sz w:val="20"/>
          <w:szCs w:val="20"/>
          <w:color w:val="auto"/>
        </w:rPr>
      </w:pPr>
      <w:r>
        <w:rPr>
          <w:rFonts w:ascii="Times New Roman" w:cs="Times New Roman" w:eastAsia="Times New Roman" w:hAnsi="Times New Roman"/>
          <w:sz w:val="14"/>
          <w:szCs w:val="14"/>
          <w:color w:val="auto"/>
        </w:rPr>
        <w:t>We are a global provider of L4 autonomous driving products and solutions, including commercial robotaxi services, around the world. In October 2024, our ADSs were listed on Nasdaq under the symbol “WRD.”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 w:name="page15"/>
    <w:bookmarkEnd w:id="14"/>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255905</wp:posOffset>
            </wp:positionV>
            <wp:extent cx="4342130" cy="6473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42130" cy="647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280" w:right="1279"/>
        <w:spacing w:after="0" w:line="287" w:lineRule="auto"/>
        <w:rPr>
          <w:sz w:val="20"/>
          <w:szCs w:val="20"/>
          <w:color w:val="auto"/>
        </w:rPr>
      </w:pPr>
      <w:r>
        <w:rPr>
          <w:rFonts w:ascii="Times New Roman" w:cs="Times New Roman" w:eastAsia="Times New Roman" w:hAnsi="Times New Roman"/>
          <w:sz w:val="14"/>
          <w:szCs w:val="14"/>
          <w:color w:val="auto"/>
        </w:rPr>
        <w:t>The following diagram illustrates our corporate structure, including our principal subsidiaries,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1280" w:right="1279"/>
        <w:spacing w:after="0" w:line="244" w:lineRule="auto"/>
        <w:rPr>
          <w:sz w:val="20"/>
          <w:szCs w:val="20"/>
          <w:color w:val="auto"/>
        </w:rPr>
      </w:pPr>
      <w:r>
        <w:rPr>
          <w:rFonts w:ascii="Times New Roman" w:cs="Times New Roman" w:eastAsia="Times New Roman" w:hAnsi="Times New Roman"/>
          <w:sz w:val="14"/>
          <w:szCs w:val="14"/>
          <w:color w:val="auto"/>
        </w:rPr>
        <w:t>Pursuant to our eighth amended and restated memorandum and articles of association, for so long as Tonyhan Limited and Yanli Holdings Limited, which we refer to as the Founder Entities, or their affiliates remain as shareholders of our company, such shareholders shall together be entitled to appoint, remove and replace at least two directors, which we refer to as the Founder Entity Appointed Directors, by delivering a written notice to us. There is no minimum share ownership threshold for Founder Entities or their affiliates to retain their director nomination rights. Pursuant to a nominating and support agreement dated July 26, 2024 with Alliance Ventures, B.V., Dr. Tony Xu Han and Dr. Yan Li, Alliance Ventures, B.V. is entitled to appoint, remove, and replace two directors by delivering a written notice to us. In the event Alliance Ventures, B.V. sells our shares equal to between 1% and 2% of our then current fully diluted shares, it shall lose the right to nominate one director, and in the event Alliance Ventures, B.V. sells our shares equal to 2% or more of our then current fully diluted shares, it shall lose all the right to nominate directors. In order to keep Alliance Ventures, B.V.’s nomination rights, Dr. Tony Xu Han and Dr. Yan Li shall exercise their director appointment right through the Founder Entities and appoint the nominees from Alliance Ventures, B.V. as Founder Entity Appointed Directors. As advised by our Cayman Islands counsel, these entities together would not be entitled to appoint more than two directors.</w:t>
      </w:r>
    </w:p>
    <w:p>
      <w:pPr>
        <w:spacing w:after="0" w:line="30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Our Holding Company Structure and Risks Related to Doing Business in Mainland China</w:t>
      </w:r>
    </w:p>
    <w:p>
      <w:pPr>
        <w:spacing w:after="0" w:line="128" w:lineRule="exact"/>
        <w:rPr>
          <w:sz w:val="20"/>
          <w:szCs w:val="20"/>
          <w:color w:val="auto"/>
        </w:rPr>
      </w:pPr>
    </w:p>
    <w:p>
      <w:pPr>
        <w:jc w:val="both"/>
        <w:ind w:left="1280" w:right="1279"/>
        <w:spacing w:after="0" w:line="256" w:lineRule="auto"/>
        <w:rPr>
          <w:sz w:val="20"/>
          <w:szCs w:val="20"/>
          <w:color w:val="auto"/>
        </w:rPr>
      </w:pPr>
      <w:r>
        <w:rPr>
          <w:rFonts w:ascii="Times New Roman" w:cs="Times New Roman" w:eastAsia="Times New Roman" w:hAnsi="Times New Roman"/>
          <w:sz w:val="14"/>
          <w:szCs w:val="14"/>
          <w:color w:val="auto"/>
        </w:rPr>
        <w:t>WeRide Inc. is not an operating company in China, but a Cayman Islands holding company with operations mainly conducted by its subsidiaries in mainland China. As used in this prospectus, “we,” “us,” “our company,” “the Company” or “our” refers to WeRide Inc., our Cayman Islands holding company, and its subsidiaries.</w:t>
      </w:r>
    </w:p>
    <w:p>
      <w:pPr>
        <w:spacing w:after="0" w:line="249" w:lineRule="exact"/>
        <w:rPr>
          <w:sz w:val="20"/>
          <w:szCs w:val="20"/>
          <w:color w:val="auto"/>
        </w:rPr>
      </w:pPr>
    </w:p>
    <w:p>
      <w:pPr>
        <w:jc w:val="both"/>
        <w:ind w:left="1280" w:right="1279"/>
        <w:spacing w:after="0" w:line="247" w:lineRule="auto"/>
        <w:rPr>
          <w:sz w:val="20"/>
          <w:szCs w:val="20"/>
          <w:color w:val="auto"/>
        </w:rPr>
      </w:pPr>
      <w:r>
        <w:rPr>
          <w:rFonts w:ascii="Times New Roman" w:cs="Times New Roman" w:eastAsia="Times New Roman" w:hAnsi="Times New Roman"/>
          <w:sz w:val="14"/>
          <w:szCs w:val="14"/>
          <w:color w:val="auto"/>
        </w:rPr>
        <w:t>We face various legal and operational risks and uncertainties associated with being based in or having our operations primarily in mainland China and the complex and evolving PRC laws and regulations. For example, we face risks associated with the fact that the PRC government has significant authority in regulating our operations and may influence or intervene in our operations at any time, regulatory approvals on offerings conducted overseas by, and foreign investment in, China-based issuers, anti-monopoly regulatory actions, and oversight on data security. These risks could result in a material adverse change in our operations and the value of our ADSs, significantly limit or completely hinder our ability to offer or continue to offer securities to investors, or cause the value of such securities to significantly decline or become of little or no value. For a</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 w:name="page16"/>
    <w:bookmarkEnd w:id="15"/>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255905</wp:posOffset>
            </wp:positionV>
            <wp:extent cx="4342130" cy="6398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42130" cy="639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280" w:right="1279"/>
        <w:spacing w:after="0" w:line="287" w:lineRule="auto"/>
        <w:rPr>
          <w:sz w:val="20"/>
          <w:szCs w:val="20"/>
          <w:color w:val="auto"/>
        </w:rPr>
      </w:pPr>
      <w:r>
        <w:rPr>
          <w:rFonts w:ascii="Times New Roman" w:cs="Times New Roman" w:eastAsia="Times New Roman" w:hAnsi="Times New Roman"/>
          <w:sz w:val="14"/>
          <w:szCs w:val="14"/>
          <w:color w:val="auto"/>
        </w:rPr>
        <w:t>detailed description of risks related to doing business in mainland China, see “Risk Factors—Risks Related to Doing Business in mainland China.”</w:t>
      </w:r>
    </w:p>
    <w:p>
      <w:pPr>
        <w:spacing w:after="0" w:line="61" w:lineRule="exact"/>
        <w:rPr>
          <w:sz w:val="20"/>
          <w:szCs w:val="20"/>
          <w:color w:val="auto"/>
        </w:rPr>
      </w:pPr>
    </w:p>
    <w:p>
      <w:pPr>
        <w:jc w:val="both"/>
        <w:ind w:left="1280" w:right="1279"/>
        <w:spacing w:after="0" w:line="248" w:lineRule="auto"/>
        <w:rPr>
          <w:sz w:val="20"/>
          <w:szCs w:val="20"/>
          <w:color w:val="auto"/>
        </w:rPr>
      </w:pPr>
      <w:r>
        <w:rPr>
          <w:rFonts w:ascii="Times New Roman" w:cs="Times New Roman" w:eastAsia="Times New Roman" w:hAnsi="Times New Roman"/>
          <w:sz w:val="14"/>
          <w:szCs w:val="14"/>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 -wide regulations in this nature may cause the value of such securities to significantly decline or become of little or no value. For more details, see “Risk Factors—Risks Related to Doing Business in mainland China—The​ PRC government’s significant oversight and discretion over our business operation could result in a material adverse change in our operations and the value of our ADSs.”</w:t>
      </w:r>
    </w:p>
    <w:p>
      <w:pPr>
        <w:spacing w:after="0" w:line="89" w:lineRule="exact"/>
        <w:rPr>
          <w:sz w:val="20"/>
          <w:szCs w:val="20"/>
          <w:color w:val="auto"/>
        </w:rPr>
      </w:pPr>
    </w:p>
    <w:p>
      <w:pPr>
        <w:jc w:val="both"/>
        <w:ind w:left="1280" w:right="1279"/>
        <w:spacing w:after="0" w:line="248" w:lineRule="auto"/>
        <w:rPr>
          <w:sz w:val="20"/>
          <w:szCs w:val="20"/>
          <w:color w:val="auto"/>
        </w:rPr>
      </w:pPr>
      <w:r>
        <w:rPr>
          <w:rFonts w:ascii="Times New Roman" w:cs="Times New Roman" w:eastAsia="Times New Roman" w:hAnsi="Times New Roman"/>
          <w:sz w:val="14"/>
          <w:szCs w:val="14"/>
          <w:color w:val="auto"/>
        </w:rPr>
        <w:t>Risks and uncertainties arising from the legal system in mainland China, including risks and uncertainties regarding the enforcement of laws and quickly evolving rules and regulations in China, which may also exist in other jurisdictions, could result in a material adverse change in our operations and the value of our ADSs. For more details, see “Risk Factors—Risks Related to Doing Business in mainland China—There may be changes from time to time in the interpretation and application of the laws of mainland China, and any failure to comply with laws and regulations could have a material adverse effect on our business, results of operations, financial condition and the value of our ADSs.”</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Permissions Required from the PRC Authorities for Our Operations</w:t>
      </w:r>
    </w:p>
    <w:p>
      <w:pPr>
        <w:spacing w:after="0" w:line="128" w:lineRule="exact"/>
        <w:rPr>
          <w:sz w:val="20"/>
          <w:szCs w:val="20"/>
          <w:color w:val="auto"/>
        </w:rPr>
      </w:pPr>
    </w:p>
    <w:p>
      <w:pPr>
        <w:jc w:val="both"/>
        <w:ind w:left="1280" w:right="1279"/>
        <w:spacing w:after="0" w:line="244" w:lineRule="auto"/>
        <w:rPr>
          <w:sz w:val="20"/>
          <w:szCs w:val="20"/>
          <w:color w:val="auto"/>
        </w:rPr>
      </w:pPr>
      <w:r>
        <w:rPr>
          <w:rFonts w:ascii="Times New Roman" w:cs="Times New Roman" w:eastAsia="Times New Roman" w:hAnsi="Times New Roman"/>
          <w:sz w:val="14"/>
          <w:szCs w:val="14"/>
          <w:color w:val="auto"/>
        </w:rPr>
        <w:t>We conduct our business primarily through our subsidiaries in mainland China. Our operations in mainland China are governed by PRC laws and regulations. As of the date of this prospectus, as advised by Commerce &amp; Finance Law Offices, we have obtained all of the requisite licenses and permits from the PRC government authorities that are material for our business operations, including, among others, a license for ride hailing operations for the WeRide Go app, four urban solid waste licenses and several road testing permits held by our mainland China subsidiaries. However, we may be required to obtain additional licenses, permits, filings or approvals for our products and services in the future. If (i) we fail to obtain, maintain or renew the relevant licenses, permits, filings or approvals, (ii) we inadvertently conclude that such licenses, permits, filings or approvals are not required, while they actually are required, or (iii) we are required to obtain the relevant approval or complete other filing procedures as a result of changes of applicable laws, regulations or interpretations thereof but fail to do so, as the case may be, the competent PRC government authorities may have the power to, among other things, levy fines, confiscate our income, revoke our licenses, and require us to discontinue our relevant business or impose restrictions on the affected portion of our business. Any of these actions by government authorities may have a material and adverse effect on our business, financial condition, results of operations, reputation and prospects, as well as the trading price of our ADSs. See “Risk Factors—Risks​ Related to Our Business and Industry—Any lack of requisite approvals, licenses or permits applicable to our business operation may have a material and adverse impact on our business and results of operations.”</w:t>
      </w:r>
    </w:p>
    <w:p>
      <w:pPr>
        <w:spacing w:after="0" w:line="3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The Holding Foreign Companies Accountable Act</w:t>
      </w:r>
    </w:p>
    <w:p>
      <w:pPr>
        <w:spacing w:after="0" w:line="117" w:lineRule="exact"/>
        <w:rPr>
          <w:sz w:val="20"/>
          <w:szCs w:val="20"/>
          <w:color w:val="auto"/>
        </w:rPr>
      </w:pPr>
    </w:p>
    <w:p>
      <w:pPr>
        <w:jc w:val="both"/>
        <w:ind w:left="1280" w:right="1279"/>
        <w:spacing w:after="0" w:line="255" w:lineRule="auto"/>
        <w:rPr>
          <w:sz w:val="20"/>
          <w:szCs w:val="20"/>
          <w:color w:val="auto"/>
        </w:rPr>
      </w:pPr>
      <w:r>
        <w:rPr>
          <w:rFonts w:ascii="Times New Roman" w:cs="Times New Roman" w:eastAsia="Times New Roman" w:hAnsi="Times New Roman"/>
          <w:sz w:val="14"/>
          <w:szCs w:val="14"/>
          <w:color w:val="auto"/>
        </w:rPr>
        <w:t>Pursuant to the Holding Foreign Companies Accountable Act, which was enacted on December 18, 2020 and further amended by the Consolidated Appropriations Act, 2023, signed into law on December 29, 2022, or the HFCAA, if the SEC determines that we have filed audit reports issued by a registered public accounting firm that has not been subject to inspections by the Public Company Accounting Oversight Board, or the PCAOB, because of a position taken by an authority in the foreign jurisdiction for two consecutive years, the SEC will prohibit our shares or the ADSs from being traded on a national securities exchange or in the over-the- 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 w:name="page17"/>
    <w:bookmarkEnd w:id="16"/>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255905</wp:posOffset>
            </wp:positionV>
            <wp:extent cx="4342130" cy="6263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42130" cy="626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280" w:right="1239"/>
        <w:spacing w:after="0" w:line="269" w:lineRule="auto"/>
        <w:rPr>
          <w:sz w:val="20"/>
          <w:szCs w:val="20"/>
          <w:color w:val="auto"/>
        </w:rPr>
      </w:pPr>
      <w:r>
        <w:rPr>
          <w:rFonts w:ascii="Times New Roman" w:cs="Times New Roman" w:eastAsia="Times New Roman" w:hAnsi="Times New Roman"/>
          <w:sz w:val="14"/>
          <w:szCs w:val="14"/>
          <w:color w:val="auto"/>
        </w:rPr>
        <w:t>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“Risk Factors—Risks Related to Our Business and Industry—​ The PCAOB had historically been unable to inspect our auditor in relation to their audit work” and “Risk Factors—Risks Related to Our Business and Industry—Our ADSs may be prohibited from trading in the United States under the HFCAA in the future if the PCAOB is unable to inspect or investigate completely auditors located in China. The delisting or prohibited from trading of the ADSs, or the threat of their being delisted or prohibited from trading, may materially and adversely affect the value of your investment.”</w:t>
      </w:r>
    </w:p>
    <w:p>
      <w:pPr>
        <w:spacing w:after="0" w:line="1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Cash Flows through Our Organization</w:t>
      </w:r>
    </w:p>
    <w:p>
      <w:pPr>
        <w:spacing w:after="0" w:line="128" w:lineRule="exact"/>
        <w:rPr>
          <w:sz w:val="20"/>
          <w:szCs w:val="20"/>
          <w:color w:val="auto"/>
        </w:rPr>
      </w:pPr>
    </w:p>
    <w:p>
      <w:pPr>
        <w:jc w:val="both"/>
        <w:ind w:left="1280" w:right="1279"/>
        <w:spacing w:after="0" w:line="265" w:lineRule="auto"/>
        <w:rPr>
          <w:sz w:val="20"/>
          <w:szCs w:val="20"/>
          <w:color w:val="auto"/>
        </w:rPr>
      </w:pPr>
      <w:r>
        <w:rPr>
          <w:rFonts w:ascii="Times New Roman" w:cs="Times New Roman" w:eastAsia="Times New Roman" w:hAnsi="Times New Roman"/>
          <w:sz w:val="14"/>
          <w:szCs w:val="14"/>
          <w:color w:val="auto"/>
        </w:rPr>
        <w:t>WeRide Inc., our Cayman Islands holding company may transfer cash to WeRide HongKong Limited, the wholly-owned Hong Kong subsidiary of WeRide Inc., by making capital contributions or providing intra-group loans. WeRide HongKong Limited, in turn, may transfer cash to its wholly- owned subsidiary in mainland China by making capital contributions or providing intra-group loans to them. Our subsidiaries may also provide intra- group loans to WeRide Inc. If our existing PRC subsidiaries or any newly formed ones incur debt on their own behalf in the future, the instruments governing their debt may restrict their ability to pay dividends to WeRide HongKong Limited. In addition, our wholly foreign-owned subsidiaries in China are permitted to pay dividends to WeRide HongKong Limited only out of its retained earnings, if any, as determined in accordance with PRC accounting standards and regulations. Under the PRC Company Law, each of our PRC subsidiary is required to set aside at least 10% of its after-tax profits each year, if any, to fund certain statutory reserve funds until such reserve funds reach 50% of their registered capital. In addition, our wholly foreign-owned subsidiaries in mainland China may allocate a portion of their after-tax profits based on PRC accounting standards to enterprise expansion funds, staff bonus and welfare funds at their discretion, and their subsidiaries may allocate a portion of their after-tax profits based on PRC accounting standards to a surplus fund at their discretion. The statutory reserve funds and the discretionary funds are not distributable as cash dividends. Remittance of dividends by a wholly foreign-owned company out of mainland China is subject to examination by the banks designated by SAFE. Upon satisfaction of the aforementioned statutory conditions and procedures, if our wholly-owned subsidiaries in mainland China generate accumulated profits and meet the requirements for statutory reserve funds, they may pay dividends or distribute earnings to WeRide HongKong Limited. WeRide HongKong Limited, in turn, may transfer cash to WeRide Inc. through dividends or other distributions. With necessary funds, WeRide Inc. may pay dividends or make other distributions to U.S. investors and service any debt it may have incurred outside of mainland China. As of the date of this prospectus, our wholly- owned subsidiaries in mainland China have not paid any dividends to WeRide HongKong Limited or other entities outside of mainland China.</w:t>
      </w:r>
    </w:p>
    <w:p>
      <w:pPr>
        <w:spacing w:after="0" w:line="266" w:lineRule="exact"/>
        <w:rPr>
          <w:sz w:val="20"/>
          <w:szCs w:val="20"/>
          <w:color w:val="auto"/>
        </w:rPr>
      </w:pPr>
    </w:p>
    <w:p>
      <w:pPr>
        <w:jc w:val="both"/>
        <w:ind w:left="1280" w:right="1279"/>
        <w:spacing w:after="0" w:line="267" w:lineRule="auto"/>
        <w:rPr>
          <w:sz w:val="20"/>
          <w:szCs w:val="20"/>
          <w:color w:val="auto"/>
        </w:rPr>
      </w:pPr>
      <w:r>
        <w:rPr>
          <w:rFonts w:ascii="Times New Roman" w:cs="Times New Roman" w:eastAsia="Times New Roman" w:hAnsi="Times New Roman"/>
          <w:sz w:val="14"/>
          <w:szCs w:val="14"/>
          <w:color w:val="auto"/>
        </w:rPr>
        <w:t>We have established stringent controls and procedures for monitoring cash flows within our organization. The cash of our group is under the unified management of our finance department. Each cash requirement, after raised by the business department of an operating entity, is required to go through a two-to-five-level review process, depending on the relevant business department making such request and the amount of cash involved. A single employee is not permitted to complete all requisite reviews of a cash transfer, but rather only portions of the whole procedure. For special cash requirements that are out of the ordinary course of our business, additional review may be required to ensure the cash transfer is compliant with our internal policies and procedures. After such cash requirement is approved by the responsible persons in the finance department, the treasury department makes the cash transfer to the relevant operating entities. We strictly follow the foregoing controls and procedures to ensure that each transfer of cash among our Cayman Islands holding company and our subsidiaries is subject to internal approval. To date, we have not had any difficulty in transferring cash among our Cayman Islands holding company and our subsidiaries. In the future, we plan to continue to transfer cash within our organization based on the working capital needs of each operating entity within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204470</wp:posOffset>
            </wp:positionV>
            <wp:extent cx="537972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 w:name="page18"/>
    <w:bookmarkEnd w:id="17"/>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255905</wp:posOffset>
            </wp:positionV>
            <wp:extent cx="4342130" cy="6378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42130" cy="637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following table sets forth the amount of the transfers for the periods presented.</w:t>
      </w:r>
    </w:p>
    <w:p>
      <w:pPr>
        <w:spacing w:after="0" w:line="142" w:lineRule="exact"/>
        <w:rPr>
          <w:sz w:val="20"/>
          <w:szCs w:val="20"/>
          <w:color w:val="auto"/>
        </w:rPr>
      </w:pPr>
    </w:p>
    <w:tbl>
      <w:tblPr>
        <w:tblLayout w:type="fixed"/>
        <w:tblInd w:w="1280" w:type="dxa"/>
        <w:tblCellMar>
          <w:top w:w="0" w:type="dxa"/>
          <w:left w:w="0" w:type="dxa"/>
          <w:bottom w:w="0" w:type="dxa"/>
          <w:right w:w="0" w:type="dxa"/>
        </w:tblCellMar>
      </w:tblPr>
      <w:tr>
        <w:trPr>
          <w:trHeight w:val="179"/>
        </w:trPr>
        <w:tc>
          <w:tcPr>
            <w:tcW w:w="2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500" w:type="dxa"/>
            <w:vAlign w:val="bottom"/>
          </w:tcPr>
          <w:p>
            <w:pPr>
              <w:ind w:left="24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82"/>
        </w:trPr>
        <w:tc>
          <w:tcPr>
            <w:tcW w:w="2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500" w:type="dxa"/>
            <w:vAlign w:val="bottom"/>
          </w:tcPr>
          <w:p>
            <w:pPr>
              <w:spacing w:after="0"/>
              <w:rPr>
                <w:sz w:val="15"/>
                <w:szCs w:val="15"/>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5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20" w:type="dxa"/>
            <w:vAlign w:val="bottom"/>
            <w:tcBorders>
              <w:bottom w:val="single" w:sz="8" w:color="auto"/>
            </w:tcBorders>
          </w:tcPr>
          <w:p>
            <w:pPr>
              <w:ind w:left="120"/>
              <w:spacing w:after="0" w:line="182"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2023</w:t>
            </w:r>
            <w:r>
              <w:rPr>
                <w:rFonts w:ascii="Times New Roman" w:cs="Times New Roman" w:eastAsia="Times New Roman" w:hAnsi="Times New Roman"/>
                <w:sz w:val="13"/>
                <w:szCs w:val="13"/>
                <w:b w:val="1"/>
                <w:bCs w:val="1"/>
                <w:color w:val="auto"/>
                <w:vertAlign w:val="superscript"/>
              </w:rPr>
              <w:t>(2)</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84"/>
        </w:trPr>
        <w:tc>
          <w:tcPr>
            <w:tcW w:w="2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500" w:type="dxa"/>
            <w:vAlign w:val="bottom"/>
          </w:tcPr>
          <w:p>
            <w:pPr>
              <w:ind w:left="24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(RMB in thousands)</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bl>
    <w:p>
      <w:pPr>
        <w:spacing w:after="0" w:line="15" w:lineRule="exact"/>
        <w:rPr>
          <w:sz w:val="20"/>
          <w:szCs w:val="20"/>
          <w:color w:val="auto"/>
        </w:rPr>
      </w:pPr>
    </w:p>
    <w:p>
      <w:pPr>
        <w:sectPr>
          <w:pgSz w:w="11900" w:h="16838" w:orient="portrait"/>
          <w:cols w:equalWidth="0" w:num="1">
            <w:col w:w="9019"/>
          </w:cols>
          <w:pgMar w:left="1440" w:top="108" w:right="1440" w:bottom="1440" w:gutter="0" w:footer="0" w:header="0"/>
        </w:sectPr>
      </w:pPr>
    </w:p>
    <w:p>
      <w:pPr>
        <w:ind w:left="1280"/>
        <w:spacing w:after="0"/>
        <w:rPr>
          <w:sz w:val="20"/>
          <w:szCs w:val="20"/>
          <w:color w:val="auto"/>
        </w:rPr>
      </w:pPr>
      <w:r>
        <w:rPr>
          <w:rFonts w:ascii="Times New Roman" w:cs="Times New Roman" w:eastAsia="Times New Roman" w:hAnsi="Times New Roman"/>
          <w:sz w:val="14"/>
          <w:szCs w:val="14"/>
          <w:color w:val="auto"/>
        </w:rPr>
        <w:t>Loans from WeRide Inc. to subsidiaries</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Repayment from subsidiaries to WeRide Inc.</w:t>
      </w:r>
      <w:r>
        <w:rPr>
          <w:rFonts w:ascii="Times New Roman" w:cs="Times New Roman" w:eastAsia="Times New Roman" w:hAnsi="Times New Roman"/>
          <w:sz w:val="18"/>
          <w:szCs w:val="18"/>
          <w:color w:val="auto"/>
          <w:vertAlign w:val="superscript"/>
        </w:rPr>
        <w:t>(1)</w:t>
      </w:r>
    </w:p>
    <w:p>
      <w:pPr>
        <w:spacing w:after="0" w:line="36" w:lineRule="exact"/>
        <w:rPr>
          <w:sz w:val="20"/>
          <w:szCs w:val="20"/>
          <w:color w:val="auto"/>
        </w:rPr>
      </w:pPr>
    </w:p>
    <w:p>
      <w:pPr>
        <w:ind w:left="1280"/>
        <w:spacing w:after="0" w:line="275" w:lineRule="auto"/>
        <w:rPr>
          <w:sz w:val="20"/>
          <w:szCs w:val="20"/>
          <w:color w:val="auto"/>
        </w:rPr>
      </w:pPr>
      <w:r>
        <w:rPr>
          <w:rFonts w:ascii="Times New Roman" w:cs="Times New Roman" w:eastAsia="Times New Roman" w:hAnsi="Times New Roman"/>
          <w:sz w:val="14"/>
          <w:szCs w:val="14"/>
          <w:color w:val="auto"/>
        </w:rPr>
        <w:t>Capital contributions from HK subsidiary to mainland China subsidiaries Amounts paid by Guangzhou Jingqi and its subsidiaries to WFOE under intra-</w:t>
      </w:r>
    </w:p>
    <w:p>
      <w:pPr>
        <w:ind w:left="1440"/>
        <w:spacing w:after="0"/>
        <w:rPr>
          <w:sz w:val="20"/>
          <w:szCs w:val="20"/>
          <w:color w:val="auto"/>
        </w:rPr>
      </w:pPr>
      <w:r>
        <w:rPr>
          <w:rFonts w:ascii="Times New Roman" w:cs="Times New Roman" w:eastAsia="Times New Roman" w:hAnsi="Times New Roman"/>
          <w:sz w:val="14"/>
          <w:szCs w:val="14"/>
          <w:color w:val="auto"/>
        </w:rPr>
        <w:t>group transactions</w:t>
      </w:r>
    </w:p>
    <w:p>
      <w:pPr>
        <w:spacing w:after="0" w:line="27" w:lineRule="exact"/>
        <w:rPr>
          <w:sz w:val="20"/>
          <w:szCs w:val="20"/>
          <w:color w:val="auto"/>
        </w:rPr>
      </w:pPr>
    </w:p>
    <w:p>
      <w:pPr>
        <w:ind w:left="1440" w:hanging="141"/>
        <w:spacing w:after="0" w:line="284" w:lineRule="auto"/>
        <w:rPr>
          <w:sz w:val="20"/>
          <w:szCs w:val="20"/>
          <w:color w:val="auto"/>
        </w:rPr>
      </w:pPr>
      <w:r>
        <w:rPr>
          <w:rFonts w:ascii="Times New Roman" w:cs="Times New Roman" w:eastAsia="Times New Roman" w:hAnsi="Times New Roman"/>
          <w:sz w:val="14"/>
          <w:szCs w:val="14"/>
          <w:color w:val="auto"/>
        </w:rPr>
        <w:t>Amounts paid by WFOE to Guangzhou Jingqi and its subsidiaries under intra-group transactions</w:t>
      </w:r>
    </w:p>
    <w:p>
      <w:pPr>
        <w:spacing w:after="0" w:line="1" w:lineRule="exact"/>
        <w:rPr>
          <w:sz w:val="20"/>
          <w:szCs w:val="20"/>
          <w:color w:val="auto"/>
        </w:rPr>
      </w:pPr>
    </w:p>
    <w:p>
      <w:pPr>
        <w:ind w:left="1280" w:right="1080"/>
        <w:spacing w:after="0" w:line="335" w:lineRule="auto"/>
        <w:rPr>
          <w:sz w:val="20"/>
          <w:szCs w:val="20"/>
          <w:color w:val="auto"/>
        </w:rPr>
      </w:pPr>
      <w:r>
        <w:rPr>
          <w:rFonts w:ascii="Times New Roman" w:cs="Times New Roman" w:eastAsia="Times New Roman" w:hAnsi="Times New Roman"/>
          <w:sz w:val="14"/>
          <w:szCs w:val="14"/>
          <w:color w:val="auto"/>
        </w:rPr>
        <w:t>Loans from WFOE to Guangzhou Jingqi and its subsidiaries Loans from Guangzhou Jingqi and its subsidiaries to WFOE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​​2,836,263​​ ​​2,362,772​</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708,391​</w:t>
            </w:r>
          </w:p>
        </w:tc>
      </w:tr>
      <w:tr>
        <w:trPr>
          <w:trHeight w:val="205"/>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518,406​​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986,020​</w:t>
            </w:r>
          </w:p>
        </w:tc>
      </w:tr>
      <w:tr>
        <w:trPr>
          <w:trHeight w:val="35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61,821​​ ​</w:t>
            </w: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w:t>
            </w:r>
          </w:p>
        </w:tc>
      </w:tr>
      <w:tr>
        <w:trPr>
          <w:trHeight w:val="372"/>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129,631​​ ​</w:t>
            </w: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162,044​</w:t>
            </w:r>
          </w:p>
        </w:tc>
      </w:tr>
      <w:tr>
        <w:trPr>
          <w:trHeight w:val="21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195,100​​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251,142​</w:t>
            </w:r>
          </w:p>
        </w:tc>
      </w:tr>
      <w:tr>
        <w:trPr>
          <w:trHeight w:val="205"/>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10,028​​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45,544​</w:t>
            </w:r>
          </w:p>
        </w:tc>
      </w:tr>
    </w:tbl>
    <w:p>
      <w:pPr>
        <w:spacing w:after="0" w:line="217" w:lineRule="exact"/>
        <w:rPr>
          <w:sz w:val="20"/>
          <w:szCs w:val="20"/>
          <w:color w:val="auto"/>
        </w:rPr>
      </w:pPr>
    </w:p>
    <w:p>
      <w:pPr>
        <w:sectPr>
          <w:pgSz w:w="11900" w:h="16838" w:orient="portrait"/>
          <w:cols w:equalWidth="0" w:num="2">
            <w:col w:w="5940" w:space="340"/>
            <w:col w:w="2739"/>
          </w:cols>
          <w:pgMar w:left="1440" w:top="108"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1"/>
          <w:szCs w:val="11"/>
          <w:color w:val="auto"/>
        </w:rPr>
        <w:t>Note:</w:t>
      </w:r>
    </w:p>
    <w:p>
      <w:pPr>
        <w:spacing w:after="0" w:line="54" w:lineRule="exact"/>
        <w:rPr>
          <w:sz w:val="20"/>
          <w:szCs w:val="20"/>
          <w:color w:val="auto"/>
        </w:rPr>
      </w:pPr>
    </w:p>
    <w:p>
      <w:pPr>
        <w:ind w:left="1580" w:hanging="290"/>
        <w:spacing w:after="0"/>
        <w:tabs>
          <w:tab w:leader="none" w:pos="15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WeRide Corp., our subsidiary in the United States, was the only subsidiary that provided repayment in 2023.</w:t>
      </w:r>
    </w:p>
    <w:p>
      <w:pPr>
        <w:spacing w:after="0" w:line="64" w:lineRule="exact"/>
        <w:rPr>
          <w:rFonts w:ascii="Times New Roman" w:cs="Times New Roman" w:eastAsia="Times New Roman" w:hAnsi="Times New Roman"/>
          <w:sz w:val="11"/>
          <w:szCs w:val="11"/>
          <w:color w:val="auto"/>
        </w:rPr>
      </w:pPr>
    </w:p>
    <w:p>
      <w:pPr>
        <w:ind w:left="1580" w:right="1279" w:hanging="290"/>
        <w:spacing w:after="0" w:line="280" w:lineRule="auto"/>
        <w:tabs>
          <w:tab w:leader="none" w:pos="15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March 21, 2023, we completed the unwinding of the VIE structure by terminating the contractual arrangements and acquiring the VIE as our wholly-owned subsidiary.</w:t>
      </w:r>
    </w:p>
    <w:p>
      <w:pPr>
        <w:spacing w:after="0" w:line="69" w:lineRule="exact"/>
        <w:rPr>
          <w:sz w:val="20"/>
          <w:szCs w:val="20"/>
          <w:color w:val="auto"/>
        </w:rPr>
      </w:pPr>
    </w:p>
    <w:p>
      <w:pPr>
        <w:jc w:val="both"/>
        <w:ind w:left="1280" w:right="1279"/>
        <w:spacing w:after="0" w:line="256" w:lineRule="auto"/>
        <w:rPr>
          <w:sz w:val="20"/>
          <w:szCs w:val="20"/>
          <w:color w:val="auto"/>
        </w:rPr>
      </w:pPr>
      <w:r>
        <w:rPr>
          <w:rFonts w:ascii="Times New Roman" w:cs="Times New Roman" w:eastAsia="Times New Roman" w:hAnsi="Times New Roman"/>
          <w:sz w:val="14"/>
          <w:szCs w:val="14"/>
          <w:color w:val="auto"/>
        </w:rPr>
        <w:t>For the year ended December 31, 2024, we provided loans to our subsidiaries totaling RMB3,574.5 million; our subsidiaries repaid RMB242.8 million to us, and our Hong Kong subsidiary contributed capital of RMB1,434.7 million to our mainland China subsidiaries. For the six months ended June 30, 2025, we provided loans to our subsidiaries totaling RMB316.1 million; our subsidiaries did not repay to us, and our Hong Kong subsidiary contributed capital of RMB431.0 million to our mainland China subsidiaries. For the years ended December 31, 2022, 2023 and 2024 and the six months ended June 30, 2025, no assets other than cash were transferred between the Cayman Islands holding company and its subsidiaries. As of the date of this prospectus, no subsidiary has paid dividends or made other distributions to the Cayman Islands holding company, and no dividends or distributions have been paid or made to U.S. investors. We currently intend to retain most, if not all, of our available funds and any future earnings to operate and expand our business. See “Dividend Policy.”</w:t>
      </w:r>
    </w:p>
    <w:p>
      <w:pPr>
        <w:spacing w:after="0" w:line="269" w:lineRule="exact"/>
        <w:rPr>
          <w:sz w:val="20"/>
          <w:szCs w:val="20"/>
          <w:color w:val="auto"/>
        </w:rPr>
      </w:pPr>
    </w:p>
    <w:p>
      <w:pPr>
        <w:jc w:val="both"/>
        <w:ind w:left="1280" w:right="1279"/>
        <w:spacing w:after="0" w:line="254" w:lineRule="auto"/>
        <w:rPr>
          <w:sz w:val="20"/>
          <w:szCs w:val="20"/>
          <w:color w:val="auto"/>
        </w:rPr>
      </w:pPr>
      <w:r>
        <w:rPr>
          <w:rFonts w:ascii="Times New Roman" w:cs="Times New Roman" w:eastAsia="Times New Roman" w:hAnsi="Times New Roman"/>
          <w:sz w:val="14"/>
          <w:szCs w:val="14"/>
          <w:color w:val="auto"/>
        </w:rPr>
        <w:t>In light of our holding company structure as well as our substantive operation in mainland China, our ability to pay dividends to the shareholders, including the investors in the ADSs, and to service any debt we may incur, may highly depend upon dividends paid by our WFOE to us, despite that we may obtain financing at the Cayman Islands holding company level through other methods. However, under PRC laws and regulations, our mainland China subsidiaries are subject to certain restrictions with respect to paying dividends or otherwise transferring any of their net assets to us and the investors in the ADS. Remittance of dividends by a wholly foreign-owned enterprise out of mainland China is also subject to examination by the banks designated by SAFE. The amounts restricted, which represents the paid-in capital and additional paid-in capital of our WFOE, Guangzhou Jingqi and its subsidiaries, totaled RMB1,647.2 million, RMB2,352.2 million, RMB3,989.2 million (US$546.5 million) and RMB5,120.8 million (US$714.8 million) as of December 31, 2022, 2023 and 2024 and as of June 30, 2025, respectively. Furthermore, cash transfers from our mainland China subsidiaries to entities outside of mainland China are subject to PRC government control of currency conversion. Shortages in the availability of foreign currency may temporarily delay the ability of our mainland China subsidiaries to remit sufficient foreign currency to pay dividends or other payments to us, or otherwise satisfy their foreign currency denominated obligations. For risks relating to the fund flows of our operations in mainland China, see “Risk Factors—Risks Related to Doing Business in Mainland China—We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 and “Risk Factors—Risks Related to Doing Business in Mainland China—PRC regulations of loans to and direct investment in PRC entities by offshore holding companies and governmental control of currency conversion may delay or prevent us from using the proceeds of our offshore offerings to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18" w:name="page19"/>
    <w:bookmarkEnd w:id="18"/>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255905</wp:posOffset>
            </wp:positionV>
            <wp:extent cx="4342130" cy="638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42130" cy="638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280" w:right="1279"/>
        <w:spacing w:after="0" w:line="287" w:lineRule="auto"/>
        <w:rPr>
          <w:sz w:val="20"/>
          <w:szCs w:val="20"/>
          <w:color w:val="auto"/>
        </w:rPr>
      </w:pPr>
      <w:r>
        <w:rPr>
          <w:rFonts w:ascii="Times New Roman" w:cs="Times New Roman" w:eastAsia="Times New Roman" w:hAnsi="Times New Roman"/>
          <w:sz w:val="14"/>
          <w:szCs w:val="14"/>
          <w:color w:val="auto"/>
        </w:rPr>
        <w:t>make loans or additional capital contributions to our mainland China subsidiaries, which could materially and adversely affect our liquidity and our ability to fund and expand our business.”</w:t>
      </w:r>
    </w:p>
    <w:p>
      <w:pPr>
        <w:spacing w:after="0" w:line="61" w:lineRule="exact"/>
        <w:rPr>
          <w:sz w:val="20"/>
          <w:szCs w:val="20"/>
          <w:color w:val="auto"/>
        </w:rPr>
      </w:pPr>
    </w:p>
    <w:p>
      <w:pPr>
        <w:jc w:val="both"/>
        <w:ind w:left="1280" w:right="1279"/>
        <w:spacing w:after="0" w:line="246" w:lineRule="auto"/>
        <w:rPr>
          <w:sz w:val="20"/>
          <w:szCs w:val="20"/>
          <w:color w:val="auto"/>
        </w:rPr>
      </w:pPr>
      <w:r>
        <w:rPr>
          <w:rFonts w:ascii="Times New Roman" w:cs="Times New Roman" w:eastAsia="Times New Roman" w:hAnsi="Times New Roman"/>
          <w:sz w:val="14"/>
          <w:szCs w:val="14"/>
          <w:color w:val="auto"/>
        </w:rPr>
        <w:t>For the Cayman Islands, PRC and U.S. federal income tax considerations applicable to an investment in our securities, see the section titled “Taxation” herein, as may be supplemented by any amendments or prospectus supplements hereto. If any dividend is paid by our mainland China subsidiaries to us in the future, under the PRC Enterprise Income Tax Law, or the EIT Law, and its implementation rules, dividends from our PRC subsidiaries to its non- PRC shareholders may be subject to a 10% withholding tax if such dividends are derived from profits. If WeRide Inc. or our offshore subsidiaries are deemed to be a PRC resident enterprise (we do not currently consider WeRide Inc. or our offshore subsidiaries to be PRC resident enterprises), the withholding tax may be exempted, but WeRide Inc. or our offshore subsidiaries will be subject to a 25% tax on our worldwide income, and our non-PRC enterprise investors may be subject to PRC income tax withholding at a rate of 10%.</w:t>
      </w:r>
    </w:p>
    <w:p>
      <w:pPr>
        <w:spacing w:after="0" w:line="30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VIE Consolidation Schedule</w:t>
      </w:r>
    </w:p>
    <w:p>
      <w:pPr>
        <w:spacing w:after="0" w:line="128" w:lineRule="exact"/>
        <w:rPr>
          <w:sz w:val="20"/>
          <w:szCs w:val="20"/>
          <w:color w:val="auto"/>
        </w:rPr>
      </w:pPr>
    </w:p>
    <w:p>
      <w:pPr>
        <w:jc w:val="both"/>
        <w:ind w:left="1280" w:right="1279"/>
        <w:spacing w:after="0" w:line="250" w:lineRule="auto"/>
        <w:rPr>
          <w:sz w:val="20"/>
          <w:szCs w:val="20"/>
          <w:color w:val="auto"/>
        </w:rPr>
      </w:pPr>
      <w:r>
        <w:rPr>
          <w:rFonts w:ascii="Times New Roman" w:cs="Times New Roman" w:eastAsia="Times New Roman" w:hAnsi="Times New Roman"/>
          <w:sz w:val="14"/>
          <w:szCs w:val="14"/>
          <w:color w:val="auto"/>
        </w:rPr>
        <w:t>We had historically relied on contractual arrangements among our WFOE, Guangzhou Jingqi, or the VIE, and the former shareholders of the VIE to direct the business operations of the VIE. On March 21, 2023, we completed the unwinding of the VIE structure by terminating the contractual arrangements and acquiring the VIE as our wholly-owned subsidiary. We do not believe that a VIE structure is necessary for our operations under PRC laws and regulations.</w:t>
      </w:r>
    </w:p>
    <w:p>
      <w:pPr>
        <w:spacing w:after="0" w:line="85" w:lineRule="exact"/>
        <w:rPr>
          <w:sz w:val="20"/>
          <w:szCs w:val="20"/>
          <w:color w:val="auto"/>
        </w:rPr>
      </w:pPr>
    </w:p>
    <w:p>
      <w:pPr>
        <w:jc w:val="both"/>
        <w:ind w:left="1280" w:right="1279"/>
        <w:spacing w:after="0" w:line="245" w:lineRule="auto"/>
        <w:rPr>
          <w:sz w:val="20"/>
          <w:szCs w:val="20"/>
          <w:color w:val="auto"/>
        </w:rPr>
      </w:pPr>
      <w:r>
        <w:rPr>
          <w:rFonts w:ascii="Times New Roman" w:cs="Times New Roman" w:eastAsia="Times New Roman" w:hAnsi="Times New Roman"/>
          <w:sz w:val="14"/>
          <w:szCs w:val="14"/>
          <w:color w:val="auto"/>
        </w:rPr>
        <w:t>We terminated the VIE primarily due to economic reasons and the increased regulatory scrutiny over VIE structure. Before the unwinding of the VIE structure, the VIE historically held an ICP License and a surveying and mapping certificate, both of which are subject to foreign investment restrictions. The VIE obtained the ICP License because we believed that an ICP license might be required for our online ride-hailing platform. However, as subsequently confirmed with the relevant authorities, if the online ride-hailing platform only engages in the publication of information related to online ride-hailing, it does not need an ICP license. Maintaining the ICP License incurs incremental costs without bringing any material benefits. As a result, the VIE completed the deregistration of the ICP License. While the VIE historically conducted our surveying and mapping business, we have since been cooperating with Guangzhou Yuji Technology Co., Ltd., or Guangzhou Yuji, a service provider that possesses a navigation electronic map production and surveying license, for such functions. Based on our communications with investors, we believe that investors may prefer a simpler corporate structure that does not involve a VIE. Compared to relying on the VIE structure, our cooperation with Guangzhou Yuji for surveying and mapping presents better corporate governance, involves less burdensome disclosure requirements, and is more accepted by the investor community.</w:t>
      </w:r>
    </w:p>
    <w:p>
      <w:pPr>
        <w:spacing w:after="0" w:line="259" w:lineRule="exact"/>
        <w:rPr>
          <w:sz w:val="20"/>
          <w:szCs w:val="20"/>
          <w:color w:val="auto"/>
        </w:rPr>
      </w:pPr>
    </w:p>
    <w:p>
      <w:pPr>
        <w:jc w:val="both"/>
        <w:ind w:left="1280" w:right="1279"/>
        <w:spacing w:after="0" w:line="244" w:lineRule="auto"/>
        <w:rPr>
          <w:sz w:val="20"/>
          <w:szCs w:val="20"/>
          <w:color w:val="auto"/>
        </w:rPr>
      </w:pPr>
      <w:r>
        <w:rPr>
          <w:rFonts w:ascii="Times New Roman" w:cs="Times New Roman" w:eastAsia="Times New Roman" w:hAnsi="Times New Roman"/>
          <w:sz w:val="14"/>
          <w:szCs w:val="14"/>
          <w:color w:val="auto"/>
        </w:rPr>
        <w:t>Guangzhou Yuji is a related party in which a substantial interest in the voting power is owned by a sibling of Dr. Tony Xu Han, our chairman and chief executive officer. On February 28, 2022, we, through Guangzhou Jingqi, entered into a Framework Agreement for the Procurement and Services of High-definition Maps with Guangzhou Yuji, pursuant to which Guangzhou Yuji provides us with the high definition maps to be used by our autonomous vehicles in China based on our requirements. The initial term of the agreement was set for one year, with the option to renew upon mutual consent. The agreement has since been renewed and is currently valid until December 31, 2025. We make quarterly service fee payments to Guangzhou Yuji under the agreement. Both parties are subject to a strict confidentiality clause under the Framework Agreement for the Procurement and Services of High-definition Maps. On October 8, 2022, we entered into a Data Service Framework Agreement with Guangzhou Yuji through our WFOE to further expand our cooperation scope with Guangzhou Yuji. Pursuant to the Data Service Framework Agreement, Guangzhou Yuji provides data collection, labeling and compliance services to our WFOE with an indefinite term. Specifically, Guangzhou Yuji provides services for the collection, storage, transmission and labelling of the surveying and mapping data used by our autonomous vehicles in China pursuant to the requirement of relevant PRC laws. Our WFOE pays Guangzhou Yuji for the services provided on a monthly basis. Both parties are subject to a strict confidentiality clause under the Data Service Framework Agreement.</w:t>
      </w:r>
    </w:p>
    <w:p>
      <w:pPr>
        <w:spacing w:after="0" w:line="89" w:lineRule="exact"/>
        <w:rPr>
          <w:sz w:val="20"/>
          <w:szCs w:val="20"/>
          <w:color w:val="auto"/>
        </w:rPr>
      </w:pPr>
    </w:p>
    <w:p>
      <w:pPr>
        <w:jc w:val="both"/>
        <w:ind w:left="1280" w:right="1279"/>
        <w:spacing w:after="0" w:line="254" w:lineRule="auto"/>
        <w:rPr>
          <w:sz w:val="20"/>
          <w:szCs w:val="20"/>
          <w:color w:val="auto"/>
        </w:rPr>
      </w:pPr>
      <w:r>
        <w:rPr>
          <w:rFonts w:ascii="Times New Roman" w:cs="Times New Roman" w:eastAsia="Times New Roman" w:hAnsi="Times New Roman"/>
          <w:sz w:val="14"/>
          <w:szCs w:val="14"/>
          <w:color w:val="auto"/>
        </w:rPr>
        <w:t>The Foreign Investment Law grants national treatment to foreign-invested entities, except for those foreign invested entities that operate in industries specified as either “restricted” or “prohibited” from foreign investment in the Special Administrative Measures (Negative List) for the Access of Foreign Investment (2021 Edition), or the Negative List 2021. Any industry not listed on the Negative List 2021, including autonomous</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 w:name="page20"/>
    <w:bookmarkEnd w:id="19"/>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255905</wp:posOffset>
            </wp:positionV>
            <wp:extent cx="4342130" cy="6263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42130" cy="626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280" w:right="1279"/>
        <w:spacing w:after="0" w:line="243" w:lineRule="auto"/>
        <w:rPr>
          <w:sz w:val="20"/>
          <w:szCs w:val="20"/>
          <w:color w:val="auto"/>
        </w:rPr>
      </w:pPr>
      <w:r>
        <w:rPr>
          <w:rFonts w:ascii="Times New Roman" w:cs="Times New Roman" w:eastAsia="Times New Roman" w:hAnsi="Times New Roman"/>
          <w:sz w:val="14"/>
          <w:szCs w:val="14"/>
          <w:color w:val="auto"/>
        </w:rPr>
        <w:t>driving, is a permitted industry and generally accessible to foreign investment unless specifically prohibited or restricted by any PRC laws or regulations. Our PRC subsidiaries do not engage in any business activities that are prohibited or restricted for foreign investment under the Negative List 2021. As a result, we do not need a VIE structure to operate the business of our PRC subsidiaries.</w:t>
      </w:r>
    </w:p>
    <w:p>
      <w:pPr>
        <w:spacing w:after="0" w:line="102" w:lineRule="exact"/>
        <w:rPr>
          <w:sz w:val="20"/>
          <w:szCs w:val="20"/>
          <w:color w:val="auto"/>
        </w:rPr>
      </w:pPr>
    </w:p>
    <w:p>
      <w:pPr>
        <w:jc w:val="both"/>
        <w:ind w:left="1280" w:right="1279"/>
        <w:spacing w:after="0" w:line="247" w:lineRule="auto"/>
        <w:rPr>
          <w:sz w:val="20"/>
          <w:szCs w:val="20"/>
          <w:color w:val="auto"/>
        </w:rPr>
      </w:pPr>
      <w:r>
        <w:rPr>
          <w:rFonts w:ascii="Times New Roman" w:cs="Times New Roman" w:eastAsia="Times New Roman" w:hAnsi="Times New Roman"/>
          <w:sz w:val="14"/>
          <w:szCs w:val="14"/>
          <w:color w:val="auto"/>
        </w:rPr>
        <w:t>We had historically entered into a series of contractual agreements with the VIE and its former shareholders, pursuant to which we had (i) the power to direct the management, financial and operating policies of the VIE, and (ii) exposure or rights to variable returns from our involvement with the VIE and the ability to use our power over the VIE to affect the amount of the returns. As a result, we treated the VIE and its subsidiaries as our consolidated entities under IFRS, and we consolidated the financial results of the VIE and its subsidiaries in our consolidated financial statements in accordance with IFRS before March 21, 2023. Revenue contributed by the VIE and its subsidiaries accounted for 7.2% of our total revenue for the year ended December 31, 2022.</w:t>
      </w:r>
    </w:p>
    <w:p>
      <w:pPr>
        <w:spacing w:after="0" w:line="253" w:lineRule="exact"/>
        <w:rPr>
          <w:sz w:val="20"/>
          <w:szCs w:val="20"/>
          <w:color w:val="auto"/>
        </w:rPr>
      </w:pPr>
    </w:p>
    <w:p>
      <w:pPr>
        <w:jc w:val="both"/>
        <w:ind w:left="1280" w:right="1279"/>
        <w:spacing w:after="0" w:line="262" w:lineRule="auto"/>
        <w:rPr>
          <w:sz w:val="20"/>
          <w:szCs w:val="20"/>
          <w:color w:val="auto"/>
        </w:rPr>
      </w:pPr>
      <w:r>
        <w:rPr>
          <w:rFonts w:ascii="Times New Roman" w:cs="Times New Roman" w:eastAsia="Times New Roman" w:hAnsi="Times New Roman"/>
          <w:sz w:val="14"/>
          <w:szCs w:val="14"/>
          <w:color w:val="auto"/>
        </w:rPr>
        <w:t>The following table presents the condensed consolidating schedule of WeRide Inc. depicting the consolidated statement of profit or loss for the year ended December 31, 2022 of WeRide Inc., WFOE, other subsidiaries, the VIE and its subsidiaries, and the corresponding eliminating adjustments separately.</w:t>
      </w:r>
    </w:p>
    <w:p>
      <w:pPr>
        <w:spacing w:after="0" w:line="84" w:lineRule="exact"/>
        <w:rPr>
          <w:sz w:val="20"/>
          <w:szCs w:val="20"/>
          <w:color w:val="auto"/>
        </w:rPr>
      </w:pPr>
    </w:p>
    <w:tbl>
      <w:tblPr>
        <w:tblLayout w:type="fixed"/>
        <w:tblInd w:w="280" w:type="dxa"/>
        <w:tblCellMar>
          <w:top w:w="0" w:type="dxa"/>
          <w:left w:w="0" w:type="dxa"/>
          <w:bottom w:w="0" w:type="dxa"/>
          <w:right w:w="0" w:type="dxa"/>
        </w:tblCellMar>
      </w:tblPr>
      <w:tr>
        <w:trPr>
          <w:trHeight w:val="168"/>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Year Ended December 31, 2022</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3"/>
          </w:tcPr>
          <w:p>
            <w:pPr>
              <w:jc w:val="center"/>
              <w:ind w:right="182"/>
              <w:spacing w:after="0" w:line="99" w:lineRule="exact"/>
              <w:rPr>
                <w:sz w:val="20"/>
                <w:szCs w:val="20"/>
                <w:color w:val="auto"/>
              </w:rPr>
            </w:pPr>
            <w:r>
              <w:rPr>
                <w:rFonts w:ascii="Times New Roman" w:cs="Times New Roman" w:eastAsia="Times New Roman" w:hAnsi="Times New Roman"/>
                <w:sz w:val="11"/>
                <w:szCs w:val="11"/>
                <w:b w:val="1"/>
                <w:bCs w:val="1"/>
                <w:color w:val="auto"/>
                <w:w w:val="94"/>
              </w:rPr>
              <w:t>WeRide</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ind w:left="20"/>
              <w:spacing w:after="0" w:line="99" w:lineRule="exact"/>
              <w:rPr>
                <w:sz w:val="20"/>
                <w:szCs w:val="20"/>
                <w:color w:val="auto"/>
              </w:rPr>
            </w:pPr>
            <w:r>
              <w:rPr>
                <w:rFonts w:ascii="Times New Roman" w:cs="Times New Roman" w:eastAsia="Times New Roman" w:hAnsi="Times New Roman"/>
                <w:sz w:val="11"/>
                <w:szCs w:val="11"/>
                <w:b w:val="1"/>
                <w:bCs w:val="1"/>
                <w:color w:val="auto"/>
              </w:rPr>
              <w:t>VIE and its</w:t>
            </w:r>
          </w:p>
        </w:tc>
        <w:tc>
          <w:tcPr>
            <w:tcW w:w="100" w:type="dxa"/>
            <w:vAlign w:val="bottom"/>
          </w:tcPr>
          <w:p>
            <w:pPr>
              <w:spacing w:after="0"/>
              <w:rPr>
                <w:sz w:val="8"/>
                <w:szCs w:val="8"/>
                <w:color w:val="auto"/>
              </w:rPr>
            </w:pPr>
          </w:p>
        </w:tc>
        <w:tc>
          <w:tcPr>
            <w:tcW w:w="700" w:type="dxa"/>
            <w:vAlign w:val="bottom"/>
            <w:gridSpan w:val="3"/>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Consolidated</w:t>
            </w: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w w:val="99"/>
              </w:rPr>
              <w:t>Inc.</w:t>
            </w:r>
          </w:p>
        </w:tc>
        <w:tc>
          <w:tcPr>
            <w:tcW w:w="18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WFOE  ​</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 subsidiaries ​</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 Eliminations ​</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 subsidiaries ​</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2"/>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(RMB 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18"/>
                <w:szCs w:val="18"/>
                <w:color w:val="auto"/>
                <w:vertAlign w:val="superscript"/>
              </w:rPr>
              <w:t>(1)</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spacing w:after="0"/>
              <w:rPr>
                <w:sz w:val="16"/>
                <w:szCs w:val="16"/>
                <w:color w:val="auto"/>
              </w:rPr>
            </w:pPr>
          </w:p>
        </w:tc>
        <w:tc>
          <w:tcPr>
            <w:tcW w:w="114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546,255​​ ​ </w:t>
            </w:r>
            <w:r>
              <w:rPr>
                <w:rFonts w:ascii="Times New Roman" w:cs="Times New Roman" w:eastAsia="Times New Roman" w:hAnsi="Times New Roman"/>
                <w:sz w:val="14"/>
                <w:szCs w:val="14"/>
                <w:b w:val="1"/>
                <w:bCs w:val="1"/>
                <w:color w:val="auto"/>
              </w:rPr>
              <w:t>​</w:t>
            </w:r>
          </w:p>
        </w:tc>
        <w:tc>
          <w:tcPr>
            <w:tcW w:w="2240" w:type="dxa"/>
            <w:vAlign w:val="bottom"/>
            <w:gridSpan w:val="1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76,821 ​​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181,539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(277,072​​)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527,543​</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spacing w:after="0" w:line="191" w:lineRule="exact"/>
              <w:rPr>
                <w:sz w:val="20"/>
                <w:szCs w:val="20"/>
                <w:color w:val="auto"/>
              </w:rPr>
            </w:pPr>
            <w:r>
              <w:rPr>
                <w:rFonts w:ascii="Times New Roman" w:cs="Times New Roman" w:eastAsia="Times New Roman" w:hAnsi="Times New Roman"/>
                <w:sz w:val="14"/>
                <w:szCs w:val="14"/>
                <w:color w:val="auto"/>
              </w:rPr>
              <w:t>Cost of revenue</w:t>
            </w:r>
            <w:r>
              <w:rPr>
                <w:rFonts w:ascii="Times New Roman" w:cs="Times New Roman" w:eastAsia="Times New Roman" w:hAnsi="Times New Roman"/>
                <w:sz w:val="18"/>
                <w:szCs w:val="18"/>
                <w:color w:val="auto"/>
                <w:vertAlign w:val="superscript"/>
              </w:rPr>
              <w:t>(1)</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2660" w:type="dxa"/>
            <w:vAlign w:val="bottom"/>
            <w:gridSpan w:val="15"/>
          </w:tcPr>
          <w:p>
            <w:pPr>
              <w:jc w:val="right"/>
              <w:ind w:right="23"/>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(298,644​​)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(84,207)​​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(86,965)​​ ​</w:t>
            </w: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174,818​​ ​</w:t>
            </w: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85"/>
              <w:spacing w:after="0"/>
              <w:rPr>
                <w:sz w:val="20"/>
                <w:szCs w:val="20"/>
                <w:color w:val="auto"/>
              </w:rPr>
            </w:pPr>
            <w:r>
              <w:rPr>
                <w:rFonts w:ascii="Times New Roman" w:cs="Times New Roman" w:eastAsia="Times New Roman" w:hAnsi="Times New Roman"/>
                <w:sz w:val="14"/>
                <w:szCs w:val="14"/>
                <w:color w:val="auto"/>
              </w:rPr>
              <w:t>(294,998​)</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profit/(loss)</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247,611​​</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(7,386)</w:t>
            </w: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13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94,574 </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 (102,254</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232,545</w:t>
            </w:r>
          </w:p>
        </w:tc>
        <w:tc>
          <w:tcPr>
            <w:tcW w:w="200" w:type="dxa"/>
            <w:vAlign w:val="bottom"/>
          </w:tcPr>
          <w:p>
            <w:pPr>
              <w:jc w:val="right"/>
              <w:ind w:right="105"/>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spacing w:after="0" w:line="191" w:lineRule="exact"/>
              <w:rPr>
                <w:sz w:val="20"/>
                <w:szCs w:val="20"/>
                <w:color w:val="auto"/>
              </w:rPr>
            </w:pPr>
            <w:r>
              <w:rPr>
                <w:rFonts w:ascii="Times New Roman" w:cs="Times New Roman" w:eastAsia="Times New Roman" w:hAnsi="Times New Roman"/>
                <w:sz w:val="14"/>
                <w:szCs w:val="14"/>
                <w:color w:val="auto"/>
              </w:rPr>
              <w:t>Other net income</w:t>
            </w:r>
            <w:r>
              <w:rPr>
                <w:rFonts w:ascii="Times New Roman" w:cs="Times New Roman" w:eastAsia="Times New Roman" w:hAnsi="Times New Roman"/>
                <w:sz w:val="18"/>
                <w:szCs w:val="18"/>
                <w:color w:val="auto"/>
                <w:vertAlign w:val="superscript"/>
              </w:rPr>
              <w:t>(1)</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15,932​​ ​ </w:t>
            </w:r>
            <w:r>
              <w:rPr>
                <w:rFonts w:ascii="Times New Roman" w:cs="Times New Roman" w:eastAsia="Times New Roman" w:hAnsi="Times New Roman"/>
                <w:sz w:val="14"/>
                <w:szCs w:val="14"/>
                <w:b w:val="1"/>
                <w:bCs w:val="1"/>
                <w:color w:val="auto"/>
              </w:rPr>
              <w:t>​</w:t>
            </w: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59 ​​ ​ </w:t>
            </w:r>
            <w:r>
              <w:rPr>
                <w:rFonts w:ascii="Times New Roman" w:cs="Times New Roman" w:eastAsia="Times New Roman" w:hAnsi="Times New Roman"/>
                <w:sz w:val="14"/>
                <w:szCs w:val="14"/>
                <w:b w:val="1"/>
                <w:bCs w:val="1"/>
                <w:color w:val="auto"/>
              </w:rPr>
              <w:t>​</w:t>
            </w:r>
          </w:p>
        </w:tc>
        <w:tc>
          <w:tcPr>
            <w:tcW w:w="760" w:type="dxa"/>
            <w:vAlign w:val="bottom"/>
            <w:gridSpan w:val="4"/>
          </w:tcPr>
          <w:p>
            <w:pPr>
              <w:jc w:val="right"/>
              <w:ind w:right="23"/>
              <w:spacing w:after="0"/>
              <w:rPr>
                <w:sz w:val="20"/>
                <w:szCs w:val="20"/>
                <w:color w:val="auto"/>
              </w:rPr>
            </w:pPr>
            <w:r>
              <w:rPr>
                <w:rFonts w:ascii="Times New Roman" w:cs="Times New Roman" w:eastAsia="Times New Roman" w:hAnsi="Times New Roman"/>
                <w:sz w:val="14"/>
                <w:szCs w:val="14"/>
                <w:color w:val="auto"/>
              </w:rPr>
              <w:t>80,290 ​​ ​</w:t>
            </w: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(76,985​​) ​</w:t>
            </w: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105"/>
              <w:spacing w:after="0"/>
              <w:rPr>
                <w:sz w:val="20"/>
                <w:szCs w:val="20"/>
                <w:color w:val="auto"/>
              </w:rPr>
            </w:pPr>
            <w:r>
              <w:rPr>
                <w:rFonts w:ascii="Times New Roman" w:cs="Times New Roman" w:eastAsia="Times New Roman" w:hAnsi="Times New Roman"/>
                <w:sz w:val="14"/>
                <w:szCs w:val="14"/>
                <w:color w:val="auto"/>
              </w:rPr>
              <w:t>19,296​</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4"/>
                <w:szCs w:val="14"/>
                <w:color w:val="auto"/>
              </w:rPr>
              <w:t>expenses</w:t>
            </w:r>
            <w:r>
              <w:rPr>
                <w:rFonts w:ascii="Times New Roman" w:cs="Times New Roman" w:eastAsia="Times New Roman" w:hAnsi="Times New Roman"/>
                <w:sz w:val="18"/>
                <w:szCs w:val="18"/>
                <w:color w:val="auto"/>
                <w:vertAlign w:val="superscript"/>
              </w:rPr>
              <w:t>(1)</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spacing w:after="0"/>
              <w:rPr>
                <w:sz w:val="17"/>
                <w:szCs w:val="17"/>
                <w:color w:val="auto"/>
              </w:rPr>
            </w:pPr>
          </w:p>
        </w:tc>
        <w:tc>
          <w:tcPr>
            <w:tcW w:w="2660" w:type="dxa"/>
            <w:vAlign w:val="bottom"/>
            <w:gridSpan w:val="15"/>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(290,279​​)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(329,423)​​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(241,508)​​ ​</w:t>
            </w:r>
            <w:r>
              <w:rPr>
                <w:rFonts w:ascii="Times New Roman" w:cs="Times New Roman" w:eastAsia="Times New Roman" w:hAnsi="Times New Roman"/>
                <w:sz w:val="14"/>
                <w:szCs w:val="14"/>
                <w:b w:val="1"/>
                <w:bCs w:val="1"/>
                <w:color w:val="auto"/>
              </w:rPr>
              <w:t>​</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102,645​​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(758,565​)</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Administrative expenses</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3020" w:type="dxa"/>
            <w:vAlign w:val="bottom"/>
            <w:gridSpan w:val="16"/>
          </w:tcPr>
          <w:p>
            <w:pPr>
              <w:jc w:val="right"/>
              <w:ind w:right="23"/>
              <w:spacing w:after="0"/>
              <w:rPr>
                <w:sz w:val="20"/>
                <w:szCs w:val="20"/>
                <w:color w:val="auto"/>
              </w:rPr>
            </w:pPr>
            <w:r>
              <w:rPr>
                <w:rFonts w:ascii="Times New Roman" w:cs="Times New Roman" w:eastAsia="Times New Roman" w:hAnsi="Times New Roman"/>
                <w:sz w:val="14"/>
                <w:szCs w:val="14"/>
                <w:color w:val="auto"/>
              </w:rPr>
              <w:t>(16,440​​)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(64,430​​)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(33,308)​​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(123,058)​​ ​</w:t>
            </w: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85"/>
              <w:spacing w:after="0"/>
              <w:rPr>
                <w:sz w:val="20"/>
                <w:szCs w:val="20"/>
                <w:color w:val="auto"/>
              </w:rPr>
            </w:pPr>
            <w:r>
              <w:rPr>
                <w:rFonts w:ascii="Times New Roman" w:cs="Times New Roman" w:eastAsia="Times New Roman" w:hAnsi="Times New Roman"/>
                <w:sz w:val="14"/>
                <w:szCs w:val="14"/>
                <w:color w:val="auto"/>
              </w:rPr>
              <w:t>(237,236​)</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expenses</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spacing w:after="0"/>
              <w:rPr>
                <w:sz w:val="14"/>
                <w:szCs w:val="14"/>
                <w:color w:val="auto"/>
              </w:rPr>
            </w:pPr>
          </w:p>
        </w:tc>
        <w:tc>
          <w:tcPr>
            <w:tcW w:w="114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(15,663​​) ​ </w:t>
            </w:r>
            <w:r>
              <w:rPr>
                <w:rFonts w:ascii="Times New Roman" w:cs="Times New Roman" w:eastAsia="Times New Roman" w:hAnsi="Times New Roman"/>
                <w:sz w:val="14"/>
                <w:szCs w:val="14"/>
                <w:b w:val="1"/>
                <w:bCs w:val="1"/>
                <w:color w:val="auto"/>
              </w:rPr>
              <w:t>​</w:t>
            </w: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(152)​​ ​ </w:t>
            </w:r>
            <w:r>
              <w:rPr>
                <w:rFonts w:ascii="Times New Roman" w:cs="Times New Roman" w:eastAsia="Times New Roman" w:hAnsi="Times New Roman"/>
                <w:sz w:val="14"/>
                <w:szCs w:val="14"/>
                <w:b w:val="1"/>
                <w:bCs w:val="1"/>
                <w:color w:val="auto"/>
              </w:rPr>
              <w:t>​</w:t>
            </w:r>
          </w:p>
        </w:tc>
        <w:tc>
          <w:tcPr>
            <w:tcW w:w="760" w:type="dxa"/>
            <w:vAlign w:val="bottom"/>
            <w:gridSpan w:val="4"/>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(7,759)​​ ​</w:t>
            </w:r>
            <w:r>
              <w:rPr>
                <w:rFonts w:ascii="Times New Roman" w:cs="Times New Roman" w:eastAsia="Times New Roman" w:hAnsi="Times New Roman"/>
                <w:sz w:val="14"/>
                <w:szCs w:val="14"/>
                <w:b w:val="1"/>
                <w:bCs w:val="1"/>
                <w:color w:val="auto"/>
              </w:rPr>
              <w:t>​</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(23,574​)</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Impairment loss on receivables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and contract assets</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(9,412​​) ​ </w:t>
            </w:r>
            <w:r>
              <w:rPr>
                <w:rFonts w:ascii="Times New Roman" w:cs="Times New Roman" w:eastAsia="Times New Roman" w:hAnsi="Times New Roman"/>
                <w:sz w:val="14"/>
                <w:szCs w:val="14"/>
                <w:b w:val="1"/>
                <w:bCs w:val="1"/>
                <w:color w:val="auto"/>
              </w:rPr>
              <w:t>​</w:t>
            </w: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(1,323)​​ ​ </w:t>
            </w:r>
            <w:r>
              <w:rPr>
                <w:rFonts w:ascii="Times New Roman" w:cs="Times New Roman" w:eastAsia="Times New Roman" w:hAnsi="Times New Roman"/>
                <w:sz w:val="14"/>
                <w:szCs w:val="14"/>
                <w:b w:val="1"/>
                <w:bCs w:val="1"/>
                <w:color w:val="auto"/>
              </w:rPr>
              <w:t>​</w:t>
            </w:r>
          </w:p>
        </w:tc>
        <w:tc>
          <w:tcPr>
            <w:tcW w:w="760" w:type="dxa"/>
            <w:vAlign w:val="bottom"/>
            <w:gridSpan w:val="4"/>
          </w:tcPr>
          <w:p>
            <w:pPr>
              <w:jc w:val="right"/>
              <w:ind w:right="23"/>
              <w:spacing w:after="0"/>
              <w:rPr>
                <w:sz w:val="20"/>
                <w:szCs w:val="20"/>
                <w:color w:val="auto"/>
              </w:rPr>
            </w:pPr>
            <w:r>
              <w:rPr>
                <w:rFonts w:ascii="Times New Roman" w:cs="Times New Roman" w:eastAsia="Times New Roman" w:hAnsi="Times New Roman"/>
                <w:sz w:val="14"/>
                <w:szCs w:val="14"/>
                <w:color w:val="auto"/>
              </w:rPr>
              <w:t>(961)​​ ​</w:t>
            </w: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85"/>
              <w:spacing w:after="0"/>
              <w:rPr>
                <w:sz w:val="20"/>
                <w:szCs w:val="20"/>
                <w:color w:val="auto"/>
              </w:rPr>
            </w:pPr>
            <w:r>
              <w:rPr>
                <w:rFonts w:ascii="Times New Roman" w:cs="Times New Roman" w:eastAsia="Times New Roman" w:hAnsi="Times New Roman"/>
                <w:sz w:val="14"/>
                <w:szCs w:val="14"/>
                <w:color w:val="auto"/>
              </w:rPr>
              <w:t>(11,696​)</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020" w:type="dxa"/>
            <w:vAlign w:val="bottom"/>
            <w:gridSpan w:val="16"/>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(16,440​​) ​​(116,241​​) ​ ​(371,533​​) ​ ​(198,422)​​ ​​</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(76,594​​)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(779,230​)</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Net foreign exchange gain</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29,879​​ ​ </w:t>
            </w:r>
            <w:r>
              <w:rPr>
                <w:rFonts w:ascii="Times New Roman" w:cs="Times New Roman" w:eastAsia="Times New Roman" w:hAnsi="Times New Roman"/>
                <w:sz w:val="14"/>
                <w:szCs w:val="14"/>
                <w:b w:val="1"/>
                <w:bCs w:val="1"/>
                <w:color w:val="auto"/>
              </w:rPr>
              <w:t>​</w:t>
            </w: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 ​​ ​ </w:t>
            </w:r>
            <w:r>
              <w:rPr>
                <w:rFonts w:ascii="Times New Roman" w:cs="Times New Roman" w:eastAsia="Times New Roman" w:hAnsi="Times New Roman"/>
                <w:sz w:val="14"/>
                <w:szCs w:val="14"/>
                <w:b w:val="1"/>
                <w:bCs w:val="1"/>
                <w:color w:val="auto"/>
              </w:rPr>
              <w:t>​</w:t>
            </w:r>
          </w:p>
        </w:tc>
        <w:tc>
          <w:tcPr>
            <w:tcW w:w="760" w:type="dxa"/>
            <w:vAlign w:val="bottom"/>
            <w:gridSpan w:val="4"/>
          </w:tcPr>
          <w:p>
            <w:pPr>
              <w:jc w:val="right"/>
              <w:ind w:right="23"/>
              <w:spacing w:after="0"/>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(9,670​​) ​</w:t>
            </w: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105"/>
              <w:spacing w:after="0"/>
              <w:rPr>
                <w:sz w:val="20"/>
                <w:szCs w:val="20"/>
                <w:color w:val="auto"/>
              </w:rPr>
            </w:pPr>
            <w:r>
              <w:rPr>
                <w:rFonts w:ascii="Times New Roman" w:cs="Times New Roman" w:eastAsia="Times New Roman" w:hAnsi="Times New Roman"/>
                <w:sz w:val="14"/>
                <w:szCs w:val="14"/>
                <w:color w:val="auto"/>
              </w:rPr>
              <w:t>20,209​</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7,191​​ ​ </w:t>
            </w:r>
            <w:r>
              <w:rPr>
                <w:rFonts w:ascii="Times New Roman" w:cs="Times New Roman" w:eastAsia="Times New Roman" w:hAnsi="Times New Roman"/>
                <w:sz w:val="14"/>
                <w:szCs w:val="14"/>
                <w:b w:val="1"/>
                <w:bCs w:val="1"/>
                <w:color w:val="auto"/>
              </w:rPr>
              <w:t>​</w:t>
            </w: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17,934 ​​ ​ </w:t>
            </w:r>
            <w:r>
              <w:rPr>
                <w:rFonts w:ascii="Times New Roman" w:cs="Times New Roman" w:eastAsia="Times New Roman" w:hAnsi="Times New Roman"/>
                <w:sz w:val="14"/>
                <w:szCs w:val="14"/>
                <w:b w:val="1"/>
                <w:bCs w:val="1"/>
                <w:color w:val="auto"/>
              </w:rPr>
              <w:t>​</w:t>
            </w:r>
          </w:p>
        </w:tc>
        <w:tc>
          <w:tcPr>
            <w:tcW w:w="760" w:type="dxa"/>
            <w:vAlign w:val="bottom"/>
            <w:gridSpan w:val="4"/>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10,986 ​​ ​</w:t>
            </w:r>
            <w:r>
              <w:rPr>
                <w:rFonts w:ascii="Times New Roman" w:cs="Times New Roman" w:eastAsia="Times New Roman" w:hAnsi="Times New Roman"/>
                <w:sz w:val="14"/>
                <w:szCs w:val="14"/>
                <w:b w:val="1"/>
                <w:bCs w:val="1"/>
                <w:color w:val="auto"/>
              </w:rPr>
              <w:t>​</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36,111​</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Fair value changes of financial</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assets at fair value through</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profit or loss (“FVTPL”)</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7,731 ​​ ​ </w:t>
            </w:r>
            <w:r>
              <w:rPr>
                <w:rFonts w:ascii="Times New Roman" w:cs="Times New Roman" w:eastAsia="Times New Roman" w:hAnsi="Times New Roman"/>
                <w:sz w:val="14"/>
                <w:szCs w:val="14"/>
                <w:b w:val="1"/>
                <w:bCs w:val="1"/>
                <w:color w:val="auto"/>
              </w:rPr>
              <w:t>​</w:t>
            </w:r>
          </w:p>
        </w:tc>
        <w:tc>
          <w:tcPr>
            <w:tcW w:w="760" w:type="dxa"/>
            <w:vAlign w:val="bottom"/>
            <w:gridSpan w:val="4"/>
          </w:tcPr>
          <w:p>
            <w:pPr>
              <w:jc w:val="right"/>
              <w:ind w:right="23"/>
              <w:spacing w:after="0"/>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105"/>
              <w:spacing w:after="0"/>
              <w:rPr>
                <w:sz w:val="20"/>
                <w:szCs w:val="20"/>
                <w:color w:val="auto"/>
              </w:rPr>
            </w:pPr>
            <w:r>
              <w:rPr>
                <w:rFonts w:ascii="Times New Roman" w:cs="Times New Roman" w:eastAsia="Times New Roman" w:hAnsi="Times New Roman"/>
                <w:sz w:val="14"/>
                <w:szCs w:val="14"/>
                <w:color w:val="auto"/>
              </w:rPr>
              <w:t>7,731​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finance costs</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(1,692​​) ​ </w:t>
            </w:r>
            <w:r>
              <w:rPr>
                <w:rFonts w:ascii="Times New Roman" w:cs="Times New Roman" w:eastAsia="Times New Roman" w:hAnsi="Times New Roman"/>
                <w:sz w:val="14"/>
                <w:szCs w:val="14"/>
                <w:b w:val="1"/>
                <w:bCs w:val="1"/>
                <w:color w:val="auto"/>
              </w:rPr>
              <w:t>​</w:t>
            </w: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(985)​​ ​ </w:t>
            </w:r>
            <w:r>
              <w:rPr>
                <w:rFonts w:ascii="Times New Roman" w:cs="Times New Roman" w:eastAsia="Times New Roman" w:hAnsi="Times New Roman"/>
                <w:sz w:val="14"/>
                <w:szCs w:val="14"/>
                <w:b w:val="1"/>
                <w:bCs w:val="1"/>
                <w:color w:val="auto"/>
              </w:rPr>
              <w:t>​</w:t>
            </w:r>
          </w:p>
        </w:tc>
        <w:tc>
          <w:tcPr>
            <w:tcW w:w="760" w:type="dxa"/>
            <w:vAlign w:val="bottom"/>
            <w:gridSpan w:val="4"/>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(1,525)​​ ​</w:t>
            </w:r>
            <w:r>
              <w:rPr>
                <w:rFonts w:ascii="Times New Roman" w:cs="Times New Roman" w:eastAsia="Times New Roman" w:hAnsi="Times New Roman"/>
                <w:sz w:val="14"/>
                <w:szCs w:val="14"/>
                <w:b w:val="1"/>
                <w:bCs w:val="1"/>
                <w:color w:val="auto"/>
              </w:rPr>
              <w:t>​</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(4,202​)</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Inducement charges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(125,213​​) ​</w:t>
            </w:r>
            <w:r>
              <w:rPr>
                <w:rFonts w:ascii="Times New Roman" w:cs="Times New Roman" w:eastAsia="Times New Roman" w:hAnsi="Times New Roman"/>
                <w:sz w:val="14"/>
                <w:szCs w:val="14"/>
                <w:b w:val="1"/>
                <w:bCs w:val="1"/>
                <w:color w:val="auto"/>
              </w:rPr>
              <w:t>​</w:t>
            </w:r>
          </w:p>
        </w:tc>
        <w:tc>
          <w:tcPr>
            <w:tcW w:w="2240" w:type="dxa"/>
            <w:vAlign w:val="bottom"/>
            <w:gridSpan w:val="12"/>
          </w:tcPr>
          <w:p>
            <w:pPr>
              <w:jc w:val="right"/>
              <w:ind w:right="23"/>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(125,213)​​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(125,213)​​ ​</w:t>
            </w: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85"/>
              <w:spacing w:after="0"/>
              <w:rPr>
                <w:sz w:val="20"/>
                <w:szCs w:val="20"/>
                <w:color w:val="auto"/>
              </w:rPr>
            </w:pPr>
            <w:r>
              <w:rPr>
                <w:rFonts w:ascii="Times New Roman" w:cs="Times New Roman" w:eastAsia="Times New Roman" w:hAnsi="Times New Roman"/>
                <w:sz w:val="14"/>
                <w:szCs w:val="14"/>
                <w:color w:val="auto"/>
              </w:rPr>
              <w:t>(125,213​)</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Fair value changes of financial</w:t>
            </w:r>
          </w:p>
        </w:tc>
        <w:tc>
          <w:tcPr>
            <w:tcW w:w="14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liabilities measured at</w:t>
            </w:r>
          </w:p>
        </w:tc>
        <w:tc>
          <w:tcPr>
            <w:tcW w:w="1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FVTPL</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25,308​​ ​</w:t>
            </w:r>
            <w:r>
              <w:rPr>
                <w:rFonts w:ascii="Times New Roman" w:cs="Times New Roman" w:eastAsia="Times New Roman" w:hAnsi="Times New Roman"/>
                <w:sz w:val="14"/>
                <w:szCs w:val="14"/>
                <w:b w:val="1"/>
                <w:bCs w:val="1"/>
                <w:color w:val="auto"/>
              </w:rPr>
              <w:t>​</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25,308 ​​ ​ </w:t>
            </w:r>
            <w:r>
              <w:rPr>
                <w:rFonts w:ascii="Times New Roman" w:cs="Times New Roman" w:eastAsia="Times New Roman" w:hAnsi="Times New Roman"/>
                <w:sz w:val="14"/>
                <w:szCs w:val="14"/>
                <w:b w:val="1"/>
                <w:bCs w:val="1"/>
                <w:color w:val="auto"/>
              </w:rPr>
              <w:t>​</w:t>
            </w:r>
          </w:p>
        </w:tc>
        <w:tc>
          <w:tcPr>
            <w:tcW w:w="760" w:type="dxa"/>
            <w:vAlign w:val="bottom"/>
            <w:gridSpan w:val="4"/>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25,308 ​​ ​</w:t>
            </w:r>
            <w:r>
              <w:rPr>
                <w:rFonts w:ascii="Times New Roman" w:cs="Times New Roman" w:eastAsia="Times New Roman" w:hAnsi="Times New Roman"/>
                <w:sz w:val="14"/>
                <w:szCs w:val="14"/>
                <w:b w:val="1"/>
                <w:bCs w:val="1"/>
                <w:color w:val="auto"/>
              </w:rPr>
              <w:t>​</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25,308​</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Changes in the carrying</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amounts of preferred 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and other financial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instruments subject to</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redemption and other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preferential rights</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(479,210​​) ​</w:t>
            </w: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 ​​ ​ </w:t>
            </w:r>
            <w:r>
              <w:rPr>
                <w:rFonts w:ascii="Times New Roman" w:cs="Times New Roman" w:eastAsia="Times New Roman" w:hAnsi="Times New Roman"/>
                <w:sz w:val="14"/>
                <w:szCs w:val="14"/>
                <w:b w:val="1"/>
                <w:bCs w:val="1"/>
                <w:color w:val="auto"/>
              </w:rPr>
              <w:t>​</w:t>
            </w:r>
          </w:p>
        </w:tc>
        <w:tc>
          <w:tcPr>
            <w:tcW w:w="760" w:type="dxa"/>
            <w:vAlign w:val="bottom"/>
            <w:gridSpan w:val="4"/>
          </w:tcPr>
          <w:p>
            <w:pPr>
              <w:jc w:val="right"/>
              <w:ind w:right="23"/>
              <w:spacing w:after="0"/>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85"/>
              <w:spacing w:after="0"/>
              <w:rPr>
                <w:sz w:val="20"/>
                <w:szCs w:val="20"/>
                <w:color w:val="auto"/>
              </w:rPr>
            </w:pPr>
            <w:r>
              <w:rPr>
                <w:rFonts w:ascii="Times New Roman" w:cs="Times New Roman" w:eastAsia="Times New Roman" w:hAnsi="Times New Roman"/>
                <w:sz w:val="14"/>
                <w:szCs w:val="14"/>
                <w:color w:val="auto"/>
              </w:rPr>
              <w:t>(479,210​)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Share of loss from</w:t>
            </w:r>
          </w:p>
        </w:tc>
        <w:tc>
          <w:tcPr>
            <w:tcW w:w="14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subsidiaries, the VIE and its</w:t>
            </w:r>
          </w:p>
        </w:tc>
        <w:tc>
          <w:tcPr>
            <w:tcW w:w="1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4"/>
                <w:szCs w:val="14"/>
                <w:color w:val="auto"/>
              </w:rPr>
              <w:t>subsidiaries</w:t>
            </w:r>
            <w:r>
              <w:rPr>
                <w:rFonts w:ascii="Times New Roman" w:cs="Times New Roman" w:eastAsia="Times New Roman" w:hAnsi="Times New Roman"/>
                <w:sz w:val="18"/>
                <w:szCs w:val="18"/>
                <w:color w:val="auto"/>
                <w:vertAlign w:val="superscript"/>
              </w:rPr>
              <w:t>(2)</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2260" w:type="dxa"/>
            <w:vAlign w:val="bottom"/>
            <w:gridSpan w:val="1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(702,941​​)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(190,964​​)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(356,088)​​ ​ </w:t>
            </w:r>
            <w:r>
              <w:rPr>
                <w:rFonts w:ascii="Times New Roman" w:cs="Times New Roman" w:eastAsia="Times New Roman" w:hAnsi="Times New Roman"/>
                <w:sz w:val="14"/>
                <w:szCs w:val="14"/>
                <w:b w:val="1"/>
                <w:bCs w:val="1"/>
                <w:color w:val="auto"/>
              </w:rPr>
              <w:t>​</w:t>
            </w:r>
          </w:p>
        </w:tc>
        <w:tc>
          <w:tcPr>
            <w:tcW w:w="1480" w:type="dxa"/>
            <w:vAlign w:val="bottom"/>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1,249,993​​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tcBorders>
              <w:left w:val="single" w:sz="8" w:color="CCEEFF"/>
            </w:tcBorders>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Loss before taxation</w:t>
            </w:r>
          </w:p>
        </w:tc>
        <w:tc>
          <w:tcPr>
            <w:tcW w:w="4740" w:type="dxa"/>
            <w:vAlign w:val="bottom"/>
            <w:gridSpan w:val="24"/>
          </w:tcPr>
          <w:p>
            <w:pPr>
              <w:ind w:left="60"/>
              <w:spacing w:after="0"/>
              <w:rPr>
                <w:sz w:val="20"/>
                <w:szCs w:val="20"/>
                <w:color w:val="auto"/>
              </w:rPr>
            </w:pPr>
            <w:r>
              <w:rPr>
                <w:rFonts w:ascii="Times New Roman" w:cs="Times New Roman" w:eastAsia="Times New Roman" w:hAnsi="Times New Roman"/>
                <w:sz w:val="14"/>
                <w:szCs w:val="14"/>
                <w:b w:val="1"/>
                <w:bCs w:val="1"/>
                <w:color w:val="auto"/>
              </w:rPr>
              <w:t>​ ​​(1,298,496​​) ​​(271,827​​) ​ ​(702,941​​) ​ ​(188,961)​​ ​​1,163,729​​ ​​(1,298,496​)</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 ​​ ​ </w:t>
            </w:r>
            <w:r>
              <w:rPr>
                <w:rFonts w:ascii="Times New Roman" w:cs="Times New Roman" w:eastAsia="Times New Roman" w:hAnsi="Times New Roman"/>
                <w:sz w:val="14"/>
                <w:szCs w:val="14"/>
                <w:b w:val="1"/>
                <w:bCs w:val="1"/>
                <w:color w:val="auto"/>
              </w:rPr>
              <w:t>​</w:t>
            </w:r>
          </w:p>
        </w:tc>
        <w:tc>
          <w:tcPr>
            <w:tcW w:w="760" w:type="dxa"/>
            <w:vAlign w:val="bottom"/>
            <w:gridSpan w:val="4"/>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 ​​ ​​</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105"/>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tcBorders>
              <w:lef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Loss for the year</w:t>
            </w:r>
          </w:p>
        </w:tc>
        <w:tc>
          <w:tcPr>
            <w:tcW w:w="140" w:type="dxa"/>
            <w:vAlign w:val="bottom"/>
          </w:tcPr>
          <w:p>
            <w:pPr>
              <w:spacing w:after="0"/>
              <w:rPr>
                <w:sz w:val="12"/>
                <w:szCs w:val="12"/>
                <w:color w:val="auto"/>
              </w:rPr>
            </w:pPr>
          </w:p>
        </w:tc>
        <w:tc>
          <w:tcPr>
            <w:tcW w:w="780" w:type="dxa"/>
            <w:vAlign w:val="bottom"/>
            <w:gridSpan w:val="4"/>
          </w:tcPr>
          <w:p>
            <w:pPr>
              <w:jc w:val="right"/>
              <w:ind w:right="22"/>
              <w:spacing w:after="0" w:line="139" w:lineRule="exact"/>
              <w:rPr>
                <w:sz w:val="20"/>
                <w:szCs w:val="20"/>
                <w:color w:val="auto"/>
              </w:rPr>
            </w:pPr>
            <w:r>
              <w:rPr>
                <w:rFonts w:ascii="Times New Roman" w:cs="Times New Roman" w:eastAsia="Times New Roman" w:hAnsi="Times New Roman"/>
                <w:sz w:val="14"/>
                <w:szCs w:val="14"/>
                <w:b w:val="1"/>
                <w:bCs w:val="1"/>
                <w:color w:val="auto"/>
              </w:rPr>
              <w:t>(1,298,496)</w:t>
            </w:r>
          </w:p>
        </w:tc>
        <w:tc>
          <w:tcPr>
            <w:tcW w:w="680" w:type="dxa"/>
            <w:vAlign w:val="bottom"/>
            <w:gridSpan w:val="3"/>
          </w:tcPr>
          <w:p>
            <w:pPr>
              <w:jc w:val="right"/>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(271,827)</w:t>
            </w:r>
          </w:p>
        </w:tc>
        <w:tc>
          <w:tcPr>
            <w:tcW w:w="720" w:type="dxa"/>
            <w:vAlign w:val="bottom"/>
            <w:gridSpan w:val="4"/>
          </w:tcPr>
          <w:p>
            <w:pPr>
              <w:jc w:val="right"/>
              <w:ind w:right="60"/>
              <w:spacing w:after="0" w:line="139" w:lineRule="exact"/>
              <w:rPr>
                <w:sz w:val="20"/>
                <w:szCs w:val="20"/>
                <w:color w:val="auto"/>
              </w:rPr>
            </w:pPr>
            <w:r>
              <w:rPr>
                <w:rFonts w:ascii="Times New Roman" w:cs="Times New Roman" w:eastAsia="Times New Roman" w:hAnsi="Times New Roman"/>
                <w:sz w:val="14"/>
                <w:szCs w:val="14"/>
                <w:b w:val="1"/>
                <w:bCs w:val="1"/>
                <w:color w:val="auto"/>
              </w:rPr>
              <w:t>(702,941)</w:t>
            </w:r>
          </w:p>
        </w:tc>
        <w:tc>
          <w:tcPr>
            <w:tcW w:w="760" w:type="dxa"/>
            <w:vAlign w:val="bottom"/>
            <w:gridSpan w:val="4"/>
          </w:tcPr>
          <w:p>
            <w:pPr>
              <w:jc w:val="right"/>
              <w:ind w:right="60"/>
              <w:spacing w:after="0" w:line="139" w:lineRule="exact"/>
              <w:rPr>
                <w:sz w:val="20"/>
                <w:szCs w:val="20"/>
                <w:color w:val="auto"/>
              </w:rPr>
            </w:pPr>
            <w:r>
              <w:rPr>
                <w:rFonts w:ascii="Times New Roman" w:cs="Times New Roman" w:eastAsia="Times New Roman" w:hAnsi="Times New Roman"/>
                <w:sz w:val="14"/>
                <w:szCs w:val="14"/>
                <w:b w:val="1"/>
                <w:bCs w:val="1"/>
                <w:color w:val="auto"/>
              </w:rPr>
              <w:t>(188,961)</w:t>
            </w:r>
          </w:p>
        </w:tc>
        <w:tc>
          <w:tcPr>
            <w:tcW w:w="660" w:type="dxa"/>
            <w:vAlign w:val="bottom"/>
            <w:gridSpan w:val="3"/>
          </w:tcPr>
          <w:p>
            <w:pPr>
              <w:ind w:left="100"/>
              <w:spacing w:after="0" w:line="139" w:lineRule="exact"/>
              <w:rPr>
                <w:sz w:val="20"/>
                <w:szCs w:val="20"/>
                <w:color w:val="auto"/>
              </w:rPr>
            </w:pPr>
            <w:r>
              <w:rPr>
                <w:rFonts w:ascii="Times New Roman" w:cs="Times New Roman" w:eastAsia="Times New Roman" w:hAnsi="Times New Roman"/>
                <w:sz w:val="14"/>
                <w:szCs w:val="14"/>
                <w:b w:val="1"/>
                <w:bCs w:val="1"/>
                <w:color w:val="auto"/>
                <w:w w:val="96"/>
              </w:rPr>
              <w:t>1,163,729</w:t>
            </w:r>
          </w:p>
        </w:tc>
        <w:tc>
          <w:tcPr>
            <w:tcW w:w="100" w:type="dxa"/>
            <w:vAlign w:val="bottom"/>
          </w:tcPr>
          <w:p>
            <w:pPr>
              <w:spacing w:after="0"/>
              <w:rPr>
                <w:sz w:val="12"/>
                <w:szCs w:val="12"/>
                <w:color w:val="auto"/>
              </w:rPr>
            </w:pPr>
          </w:p>
        </w:tc>
        <w:tc>
          <w:tcPr>
            <w:tcW w:w="900" w:type="dxa"/>
            <w:vAlign w:val="bottom"/>
            <w:gridSpan w:val="4"/>
          </w:tcPr>
          <w:p>
            <w:pPr>
              <w:jc w:val="right"/>
              <w:ind w:right="85"/>
              <w:spacing w:after="0" w:line="139" w:lineRule="exact"/>
              <w:rPr>
                <w:sz w:val="20"/>
                <w:szCs w:val="20"/>
                <w:color w:val="auto"/>
              </w:rPr>
            </w:pPr>
            <w:r>
              <w:rPr>
                <w:rFonts w:ascii="Times New Roman" w:cs="Times New Roman" w:eastAsia="Times New Roman" w:hAnsi="Times New Roman"/>
                <w:sz w:val="14"/>
                <w:szCs w:val="14"/>
                <w:b w:val="1"/>
                <w:bCs w:val="1"/>
                <w:color w:val="auto"/>
              </w:rPr>
              <w:t>(1,298,496)</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20" w:type="dxa"/>
            <w:vAlign w:val="bottom"/>
            <w:vMerge w:val="continue"/>
          </w:tcPr>
          <w:p>
            <w:pPr>
              <w:spacing w:after="0"/>
              <w:rPr>
                <w:sz w:val="3"/>
                <w:szCs w:val="3"/>
                <w:color w:val="auto"/>
              </w:rPr>
            </w:pPr>
          </w:p>
        </w:tc>
        <w:tc>
          <w:tcPr>
            <w:tcW w:w="260" w:type="dxa"/>
            <w:vAlign w:val="bottom"/>
            <w:gridSpan w:val="2"/>
          </w:tcPr>
          <w:p>
            <w:pPr>
              <w:ind w:left="60"/>
              <w:spacing w:after="0" w:line="43" w:lineRule="exact"/>
              <w:rPr>
                <w:sz w:val="20"/>
                <w:szCs w:val="20"/>
                <w:color w:val="auto"/>
              </w:rPr>
            </w:pPr>
            <w:r>
              <w:rPr>
                <w:rFonts w:ascii="Times New Roman" w:cs="Times New Roman" w:eastAsia="Times New Roman" w:hAnsi="Times New Roman"/>
                <w:sz w:val="4"/>
                <w:szCs w:val="4"/>
                <w:b w:val="1"/>
                <w:bCs w:val="1"/>
                <w:color w:val="auto"/>
              </w:rPr>
              <w:t>​ ​​</w:t>
            </w: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gridSpan w:val="2"/>
          </w:tcPr>
          <w:p>
            <w:pPr>
              <w:jc w:val="right"/>
              <w:spacing w:after="0" w:line="43" w:lineRule="exact"/>
              <w:rPr>
                <w:sz w:val="20"/>
                <w:szCs w:val="20"/>
                <w:color w:val="auto"/>
              </w:rPr>
            </w:pPr>
            <w:r>
              <w:rPr>
                <w:rFonts w:ascii="Times New Roman" w:cs="Times New Roman" w:eastAsia="Times New Roman" w:hAnsi="Times New Roman"/>
                <w:sz w:val="4"/>
                <w:szCs w:val="4"/>
                <w:b w:val="1"/>
                <w:bCs w:val="1"/>
                <w:color w:val="auto"/>
              </w:rPr>
              <w:t>​​ ​​</w:t>
            </w:r>
          </w:p>
        </w:tc>
        <w:tc>
          <w:tcPr>
            <w:tcW w:w="460" w:type="dxa"/>
            <w:vAlign w:val="bottom"/>
          </w:tcPr>
          <w:p>
            <w:pPr>
              <w:spacing w:after="0"/>
              <w:rPr>
                <w:sz w:val="3"/>
                <w:szCs w:val="3"/>
                <w:color w:val="auto"/>
              </w:rPr>
            </w:pPr>
          </w:p>
        </w:tc>
        <w:tc>
          <w:tcPr>
            <w:tcW w:w="260" w:type="dxa"/>
            <w:vAlign w:val="bottom"/>
            <w:gridSpan w:val="3"/>
          </w:tcPr>
          <w:p>
            <w:pPr>
              <w:jc w:val="right"/>
              <w:ind w:right="40"/>
              <w:spacing w:after="0" w:line="43" w:lineRule="exact"/>
              <w:rPr>
                <w:sz w:val="20"/>
                <w:szCs w:val="20"/>
                <w:color w:val="auto"/>
              </w:rPr>
            </w:pPr>
            <w:r>
              <w:rPr>
                <w:rFonts w:ascii="Times New Roman" w:cs="Times New Roman" w:eastAsia="Times New Roman" w:hAnsi="Times New Roman"/>
                <w:sz w:val="4"/>
                <w:szCs w:val="4"/>
                <w:b w:val="1"/>
                <w:bCs w:val="1"/>
                <w:color w:val="auto"/>
              </w:rPr>
              <w:t>​​ ​ ​</w:t>
            </w:r>
          </w:p>
        </w:tc>
        <w:tc>
          <w:tcPr>
            <w:tcW w:w="440" w:type="dxa"/>
            <w:vAlign w:val="bottom"/>
          </w:tcPr>
          <w:p>
            <w:pPr>
              <w:spacing w:after="0"/>
              <w:rPr>
                <w:sz w:val="3"/>
                <w:szCs w:val="3"/>
                <w:color w:val="auto"/>
              </w:rPr>
            </w:pPr>
          </w:p>
        </w:tc>
        <w:tc>
          <w:tcPr>
            <w:tcW w:w="320" w:type="dxa"/>
            <w:vAlign w:val="bottom"/>
            <w:gridSpan w:val="3"/>
          </w:tcPr>
          <w:p>
            <w:pPr>
              <w:jc w:val="right"/>
              <w:ind w:right="60"/>
              <w:spacing w:after="0" w:line="43" w:lineRule="exact"/>
              <w:rPr>
                <w:sz w:val="20"/>
                <w:szCs w:val="20"/>
                <w:color w:val="auto"/>
              </w:rPr>
            </w:pPr>
            <w:r>
              <w:rPr>
                <w:rFonts w:ascii="Times New Roman" w:cs="Times New Roman" w:eastAsia="Times New Roman" w:hAnsi="Times New Roman"/>
                <w:sz w:val="4"/>
                <w:szCs w:val="4"/>
                <w:b w:val="1"/>
                <w:bCs w:val="1"/>
                <w:color w:val="auto"/>
              </w:rPr>
              <w:t>​​ ​ ​</w:t>
            </w:r>
          </w:p>
        </w:tc>
        <w:tc>
          <w:tcPr>
            <w:tcW w:w="420" w:type="dxa"/>
            <w:vAlign w:val="bottom"/>
          </w:tcPr>
          <w:p>
            <w:pPr>
              <w:spacing w:after="0"/>
              <w:rPr>
                <w:sz w:val="3"/>
                <w:szCs w:val="3"/>
                <w:color w:val="auto"/>
              </w:rPr>
            </w:pPr>
          </w:p>
        </w:tc>
        <w:tc>
          <w:tcPr>
            <w:tcW w:w="340" w:type="dxa"/>
            <w:vAlign w:val="bottom"/>
            <w:gridSpan w:val="3"/>
          </w:tcPr>
          <w:p>
            <w:pPr>
              <w:jc w:val="right"/>
              <w:ind w:right="23"/>
              <w:spacing w:after="0" w:line="43" w:lineRule="exact"/>
              <w:rPr>
                <w:sz w:val="20"/>
                <w:szCs w:val="20"/>
                <w:color w:val="auto"/>
              </w:rPr>
            </w:pPr>
            <w:r>
              <w:rPr>
                <w:rFonts w:ascii="Times New Roman" w:cs="Times New Roman" w:eastAsia="Times New Roman" w:hAnsi="Times New Roman"/>
                <w:sz w:val="4"/>
                <w:szCs w:val="4"/>
                <w:b w:val="1"/>
                <w:bCs w:val="1"/>
                <w:color w:val="auto"/>
              </w:rPr>
              <w:t>​​ ​​</w:t>
            </w:r>
          </w:p>
        </w:tc>
        <w:tc>
          <w:tcPr>
            <w:tcW w:w="460" w:type="dxa"/>
            <w:vAlign w:val="bottom"/>
          </w:tcPr>
          <w:p>
            <w:pPr>
              <w:spacing w:after="0"/>
              <w:rPr>
                <w:sz w:val="3"/>
                <w:szCs w:val="3"/>
                <w:color w:val="auto"/>
              </w:rPr>
            </w:pPr>
          </w:p>
        </w:tc>
        <w:tc>
          <w:tcPr>
            <w:tcW w:w="260" w:type="dxa"/>
            <w:vAlign w:val="bottom"/>
            <w:gridSpan w:val="3"/>
          </w:tcPr>
          <w:p>
            <w:pPr>
              <w:jc w:val="right"/>
              <w:ind w:right="40"/>
              <w:spacing w:after="0" w:line="43" w:lineRule="exact"/>
              <w:rPr>
                <w:sz w:val="20"/>
                <w:szCs w:val="20"/>
                <w:color w:val="auto"/>
              </w:rPr>
            </w:pPr>
            <w:r>
              <w:rPr>
                <w:rFonts w:ascii="Times New Roman" w:cs="Times New Roman" w:eastAsia="Times New Roman" w:hAnsi="Times New Roman"/>
                <w:sz w:val="4"/>
                <w:szCs w:val="4"/>
                <w:b w:val="1"/>
                <w:bCs w:val="1"/>
                <w:color w:val="auto"/>
              </w:rPr>
              <w:t>​​ ​​</w:t>
            </w:r>
          </w:p>
        </w:tc>
        <w:tc>
          <w:tcPr>
            <w:tcW w:w="540" w:type="dxa"/>
            <w:vAlign w:val="bottom"/>
          </w:tcPr>
          <w:p>
            <w:pPr>
              <w:spacing w:after="0"/>
              <w:rPr>
                <w:sz w:val="3"/>
                <w:szCs w:val="3"/>
                <w:color w:val="auto"/>
              </w:rPr>
            </w:pPr>
          </w:p>
        </w:tc>
        <w:tc>
          <w:tcPr>
            <w:tcW w:w="200" w:type="dxa"/>
            <w:vAlign w:val="bottom"/>
          </w:tcPr>
          <w:p>
            <w:pPr>
              <w:jc w:val="right"/>
              <w:ind w:right="105"/>
              <w:spacing w:after="0" w:line="43" w:lineRule="exact"/>
              <w:rPr>
                <w:sz w:val="20"/>
                <w:szCs w:val="20"/>
                <w:color w:val="auto"/>
              </w:rPr>
            </w:pPr>
            <w:r>
              <w:rPr>
                <w:rFonts w:ascii="Times New Roman" w:cs="Times New Roman" w:eastAsia="Times New Roman" w:hAnsi="Times New Roman"/>
                <w:sz w:val="4"/>
                <w:szCs w:val="4"/>
                <w:b w:val="1"/>
                <w:bCs w:val="1"/>
                <w:color w:val="auto"/>
              </w:rPr>
              <w:t>​</w:t>
            </w: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170180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0" w:name="page21"/>
    <w:bookmarkEnd w:id="20"/>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255905</wp:posOffset>
            </wp:positionV>
            <wp:extent cx="4342130" cy="6290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42130" cy="6290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Notes:</w:t>
      </w:r>
    </w:p>
    <w:p>
      <w:pPr>
        <w:spacing w:after="0" w:line="54" w:lineRule="exact"/>
        <w:rPr>
          <w:sz w:val="20"/>
          <w:szCs w:val="20"/>
          <w:color w:val="auto"/>
        </w:rPr>
      </w:pPr>
    </w:p>
    <w:p>
      <w:pPr>
        <w:jc w:val="both"/>
        <w:ind w:left="1580" w:right="1279" w:hanging="290"/>
        <w:spacing w:after="0" w:line="256" w:lineRule="auto"/>
        <w:tabs>
          <w:tab w:leader="none" w:pos="15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elimination of the intercompany services fees and intercompany sales. The service fees between the WFOE and the VIE and its subsidiaries amounted to RMB143.1 million for the year ended December 31, 2022. Other than service fees, the intercompany revenue and expenses between the WFOE and the VIE and its subsidiaries are nil for the year ended December 31, 2022.</w:t>
      </w:r>
    </w:p>
    <w:p>
      <w:pPr>
        <w:spacing w:after="0" w:line="158" w:lineRule="exact"/>
        <w:rPr>
          <w:rFonts w:ascii="Times New Roman" w:cs="Times New Roman" w:eastAsia="Times New Roman" w:hAnsi="Times New Roman"/>
          <w:sz w:val="11"/>
          <w:szCs w:val="11"/>
          <w:color w:val="auto"/>
        </w:rPr>
      </w:pPr>
    </w:p>
    <w:p>
      <w:pPr>
        <w:ind w:left="1580" w:right="1279" w:hanging="290"/>
        <w:spacing w:after="0" w:line="280" w:lineRule="auto"/>
        <w:tabs>
          <w:tab w:leader="none" w:pos="15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elimination of the investment in our WFOE, other subsidiaries of WeRide Inc., the VIE and its subsidiaries. The WFOE’s share of loss from the VIE and its subsidiaries amounted to RMB189.0 million for the year ended December 31, 2022.</w:t>
      </w:r>
    </w:p>
    <w:p>
      <w:pPr>
        <w:spacing w:after="0" w:line="79" w:lineRule="exact"/>
        <w:rPr>
          <w:sz w:val="20"/>
          <w:szCs w:val="20"/>
          <w:color w:val="auto"/>
        </w:rPr>
      </w:pPr>
    </w:p>
    <w:p>
      <w:pPr>
        <w:jc w:val="both"/>
        <w:ind w:left="1280" w:right="1279"/>
        <w:spacing w:after="0" w:line="262" w:lineRule="auto"/>
        <w:rPr>
          <w:sz w:val="20"/>
          <w:szCs w:val="20"/>
          <w:color w:val="auto"/>
        </w:rPr>
      </w:pPr>
      <w:r>
        <w:rPr>
          <w:rFonts w:ascii="Times New Roman" w:cs="Times New Roman" w:eastAsia="Times New Roman" w:hAnsi="Times New Roman"/>
          <w:sz w:val="14"/>
          <w:szCs w:val="14"/>
          <w:color w:val="auto"/>
        </w:rPr>
        <w:t>The following table presents the condensed consolidating schedule of WeRide Inc. depicting the consolidated statement of cash flows for the year ended December 31, 2022 of WeRide Inc., WFOE, other subsidiaries, the VIE and its subsidiaries, and the corresponding eliminating adjustments separately.</w:t>
      </w:r>
    </w:p>
    <w:p>
      <w:pPr>
        <w:spacing w:after="0" w:line="95" w:lineRule="exact"/>
        <w:rPr>
          <w:sz w:val="20"/>
          <w:szCs w:val="20"/>
          <w:color w:val="auto"/>
        </w:rPr>
      </w:pPr>
    </w:p>
    <w:tbl>
      <w:tblPr>
        <w:tblLayout w:type="fixed"/>
        <w:tblInd w:w="1280" w:type="dxa"/>
        <w:tblCellMar>
          <w:top w:w="0" w:type="dxa"/>
          <w:left w:w="0" w:type="dxa"/>
          <w:bottom w:w="0" w:type="dxa"/>
          <w:right w:w="0" w:type="dxa"/>
        </w:tblCellMar>
      </w:tblPr>
      <w:tr>
        <w:trPr>
          <w:trHeight w:val="179"/>
        </w:trPr>
        <w:tc>
          <w:tcPr>
            <w:tcW w:w="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Pr>
          <w:p>
            <w:pPr>
              <w:ind w:left="940"/>
              <w:spacing w:after="0"/>
              <w:rPr>
                <w:sz w:val="20"/>
                <w:szCs w:val="20"/>
                <w:color w:val="auto"/>
              </w:rPr>
            </w:pPr>
            <w:r>
              <w:rPr>
                <w:rFonts w:ascii="Times New Roman" w:cs="Times New Roman" w:eastAsia="Times New Roman" w:hAnsi="Times New Roman"/>
                <w:sz w:val="11"/>
                <w:szCs w:val="11"/>
                <w:b w:val="1"/>
                <w:bCs w:val="1"/>
                <w:color w:val="auto"/>
              </w:rPr>
              <w:t>​ ​</w:t>
            </w:r>
          </w:p>
        </w:tc>
        <w:tc>
          <w:tcPr>
            <w:tcW w:w="5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2"/>
          </w:tcPr>
          <w:p>
            <w:pPr>
              <w:jc w:val="center"/>
              <w:ind w:left="25"/>
              <w:spacing w:after="0"/>
              <w:rPr>
                <w:sz w:val="20"/>
                <w:szCs w:val="20"/>
                <w:color w:val="auto"/>
              </w:rPr>
            </w:pPr>
            <w:r>
              <w:rPr>
                <w:rFonts w:ascii="Times New Roman" w:cs="Times New Roman" w:eastAsia="Times New Roman" w:hAnsi="Times New Roman"/>
                <w:sz w:val="11"/>
                <w:szCs w:val="11"/>
                <w:b w:val="1"/>
                <w:bCs w:val="1"/>
                <w:color w:val="auto"/>
                <w:w w:val="97"/>
              </w:rPr>
              <w:t>For the Year Ended December 31, 2022</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41"/>
        </w:trPr>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WeRide</w:t>
            </w:r>
          </w:p>
        </w:tc>
        <w:tc>
          <w:tcPr>
            <w:tcW w:w="2340" w:type="dxa"/>
            <w:vAlign w:val="bottom"/>
          </w:tcPr>
          <w:p>
            <w:pPr>
              <w:ind w:left="104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8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VIE and its</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Consolidated</w:t>
            </w:r>
          </w:p>
        </w:tc>
        <w:tc>
          <w:tcPr>
            <w:tcW w:w="40" w:type="dxa"/>
            <w:vAlign w:val="bottom"/>
          </w:tcPr>
          <w:p>
            <w:pPr>
              <w:spacing w:after="0"/>
              <w:rPr>
                <w:sz w:val="12"/>
                <w:szCs w:val="12"/>
                <w:color w:val="auto"/>
              </w:rPr>
            </w:pPr>
          </w:p>
        </w:tc>
      </w:tr>
      <w:tr>
        <w:trPr>
          <w:trHeight w:val="168"/>
        </w:trPr>
        <w:tc>
          <w:tcPr>
            <w:tcW w:w="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Pr>
          <w:p>
            <w:pPr>
              <w:ind w:left="980"/>
              <w:spacing w:after="0"/>
              <w:rPr>
                <w:sz w:val="20"/>
                <w:szCs w:val="20"/>
                <w:color w:val="auto"/>
              </w:rPr>
            </w:pPr>
            <w:r>
              <w:rPr>
                <w:rFonts w:ascii="Times New Roman" w:cs="Times New Roman" w:eastAsia="Times New Roman" w:hAnsi="Times New Roman"/>
                <w:sz w:val="11"/>
                <w:szCs w:val="11"/>
                <w:b w:val="1"/>
                <w:bCs w:val="1"/>
                <w:color w:val="auto"/>
              </w:rPr>
              <w:t>​ ​</w:t>
            </w:r>
          </w:p>
        </w:tc>
        <w:tc>
          <w:tcPr>
            <w:tcW w:w="58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w w:val="99"/>
              </w:rPr>
              <w:t>Inc.</w:t>
            </w:r>
          </w:p>
        </w:tc>
        <w:tc>
          <w:tcPr>
            <w:tcW w:w="2340" w:type="dxa"/>
            <w:vAlign w:val="bottom"/>
            <w:tcBorders>
              <w:bottom w:val="single" w:sz="8" w:color="auto"/>
            </w:tcBorders>
          </w:tcPr>
          <w:p>
            <w:pPr>
              <w:ind w:left="100"/>
              <w:spacing w:after="0" w:line="168"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WFOE  </w:t>
            </w: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subsidiaries </w:t>
            </w: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Eliminations </w:t>
            </w:r>
            <w:r>
              <w:rPr>
                <w:rFonts w:ascii="Times New Roman" w:cs="Times New Roman" w:eastAsia="Times New Roman" w:hAnsi="Times New Roman"/>
                <w:sz w:val="19"/>
                <w:szCs w:val="19"/>
                <w:b w:val="1"/>
                <w:bCs w:val="1"/>
                <w:color w:val="auto"/>
                <w:vertAlign w:val="subscript"/>
              </w:rPr>
              <w:t>​</w:t>
            </w:r>
          </w:p>
        </w:tc>
        <w:tc>
          <w:tcPr>
            <w:tcW w:w="860" w:type="dxa"/>
            <w:vAlign w:val="bottom"/>
            <w:tcBorders>
              <w:bottom w:val="single" w:sz="8" w:color="auto"/>
            </w:tcBorders>
          </w:tcPr>
          <w:p>
            <w:pPr>
              <w:ind w:left="40"/>
              <w:spacing w:after="0" w:line="168"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subsidiaries  </w:t>
            </w:r>
            <w:r>
              <w:rPr>
                <w:rFonts w:ascii="Times New Roman" w:cs="Times New Roman" w:eastAsia="Times New Roman" w:hAnsi="Times New Roman"/>
                <w:sz w:val="19"/>
                <w:szCs w:val="19"/>
                <w:b w:val="1"/>
                <w:bCs w:val="1"/>
                <w:color w:val="auto"/>
                <w:vertAlign w:val="subscript"/>
              </w:rPr>
              <w:t>​ ​</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95"/>
        </w:trPr>
        <w:tc>
          <w:tcPr>
            <w:tcW w:w="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Pr>
          <w:p>
            <w:pPr>
              <w:ind w:left="940"/>
              <w:spacing w:after="0"/>
              <w:rPr>
                <w:sz w:val="20"/>
                <w:szCs w:val="20"/>
                <w:color w:val="auto"/>
              </w:rPr>
            </w:pPr>
            <w:r>
              <w:rPr>
                <w:rFonts w:ascii="Times New Roman" w:cs="Times New Roman" w:eastAsia="Times New Roman" w:hAnsi="Times New Roman"/>
                <w:sz w:val="11"/>
                <w:szCs w:val="11"/>
                <w:b w:val="1"/>
                <w:bCs w:val="1"/>
                <w:color w:val="auto"/>
              </w:rPr>
              <w:t>​ ​</w:t>
            </w:r>
          </w:p>
        </w:tc>
        <w:tc>
          <w:tcPr>
            <w:tcW w:w="580" w:type="dxa"/>
            <w:vAlign w:val="bottom"/>
          </w:tcPr>
          <w:p>
            <w:pPr>
              <w:spacing w:after="0"/>
              <w:rPr>
                <w:sz w:val="16"/>
                <w:szCs w:val="16"/>
                <w:color w:val="auto"/>
              </w:rPr>
            </w:pPr>
          </w:p>
        </w:tc>
        <w:tc>
          <w:tcPr>
            <w:tcW w:w="2340" w:type="dxa"/>
            <w:vAlign w:val="bottom"/>
          </w:tcPr>
          <w:p>
            <w:pPr>
              <w:jc w:val="center"/>
              <w:ind w:left="885"/>
              <w:spacing w:after="0"/>
              <w:rPr>
                <w:sz w:val="20"/>
                <w:szCs w:val="20"/>
                <w:color w:val="auto"/>
              </w:rPr>
            </w:pPr>
            <w:r>
              <w:rPr>
                <w:rFonts w:ascii="Times New Roman" w:cs="Times New Roman" w:eastAsia="Times New Roman" w:hAnsi="Times New Roman"/>
                <w:sz w:val="11"/>
                <w:szCs w:val="11"/>
                <w:b w:val="1"/>
                <w:bCs w:val="1"/>
                <w:color w:val="auto"/>
              </w:rPr>
              <w:t>(RMB in thousands)</w:t>
            </w: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bl>
    <w:p>
      <w:pPr>
        <w:spacing w:after="0" w:line="15" w:lineRule="exact"/>
        <w:rPr>
          <w:sz w:val="20"/>
          <w:szCs w:val="20"/>
          <w:color w:val="auto"/>
        </w:rPr>
      </w:pPr>
    </w:p>
    <w:p>
      <w:pPr>
        <w:sectPr>
          <w:pgSz w:w="11900" w:h="16838" w:orient="portrait"/>
          <w:cols w:equalWidth="0" w:num="1">
            <w:col w:w="9019"/>
          </w:cols>
          <w:pgMar w:left="1440" w:top="108" w:right="1440" w:bottom="1440" w:gutter="0" w:footer="0" w:header="0"/>
        </w:sectPr>
      </w:pPr>
    </w:p>
    <w:p>
      <w:pPr>
        <w:ind w:left="1280"/>
        <w:spacing w:after="0"/>
        <w:rPr>
          <w:sz w:val="20"/>
          <w:szCs w:val="20"/>
          <w:color w:val="auto"/>
        </w:rPr>
      </w:pPr>
      <w:r>
        <w:rPr>
          <w:rFonts w:ascii="Times New Roman" w:cs="Times New Roman" w:eastAsia="Times New Roman" w:hAnsi="Times New Roman"/>
          <w:sz w:val="14"/>
          <w:szCs w:val="14"/>
          <w:color w:val="auto"/>
        </w:rPr>
        <w:t>Net cash used in operating</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(RMB in thousands)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activities</w:t>
      </w:r>
    </w:p>
    <w:p>
      <w:pPr>
        <w:spacing w:after="0" w:line="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Net cash used in investing</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activities</w:t>
      </w:r>
      <w:r>
        <w:rPr>
          <w:rFonts w:ascii="Times New Roman" w:cs="Times New Roman" w:eastAsia="Times New Roman" w:hAnsi="Times New Roman"/>
          <w:sz w:val="18"/>
          <w:szCs w:val="18"/>
          <w:color w:val="auto"/>
          <w:vertAlign w:val="superscript"/>
        </w:rPr>
        <w:t>(1)</w:t>
      </w:r>
    </w:p>
    <w:p>
      <w:pPr>
        <w:spacing w:after="0" w:line="5" w:lineRule="exact"/>
        <w:rPr>
          <w:sz w:val="20"/>
          <w:szCs w:val="20"/>
          <w:color w:val="auto"/>
        </w:rPr>
      </w:pPr>
    </w:p>
    <w:p>
      <w:pPr>
        <w:ind w:left="1440" w:hanging="141"/>
        <w:spacing w:after="0" w:line="264" w:lineRule="auto"/>
        <w:rPr>
          <w:sz w:val="20"/>
          <w:szCs w:val="20"/>
          <w:color w:val="auto"/>
        </w:rPr>
      </w:pPr>
      <w:r>
        <w:rPr>
          <w:rFonts w:ascii="Times New Roman" w:cs="Times New Roman" w:eastAsia="Times New Roman" w:hAnsi="Times New Roman"/>
          <w:sz w:val="14"/>
          <w:szCs w:val="14"/>
          <w:color w:val="auto"/>
        </w:rPr>
        <w:t>Net cash generated from/(used in) financing activities</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tabs>
          <w:tab w:leader="none" w:pos="280" w:val="left"/>
          <w:tab w:leader="none" w:pos="3560" w:val="left"/>
        </w:tabs>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ab/>
        <w:t>(10,848​​)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(281,870​​)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(309,011)​​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(68,652)​​ ​</w:t>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(670,381​)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(2,634,633​​)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(252,667​​)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(2,640,977)​​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(15,876)​​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3,341,739​​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(2,202,414​)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​2,782,671</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​745,443</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​2,636,465</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u w:val="single" w:color="auto"/>
          <w:color w:val="auto"/>
        </w:rPr>
        <w:t>(638,252</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​(3,341,739</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2,184,588</w:t>
      </w:r>
      <w:r>
        <w:rPr>
          <w:rFonts w:ascii="Times New Roman" w:cs="Times New Roman" w:eastAsia="Times New Roman" w:hAnsi="Times New Roman"/>
          <w:sz w:val="14"/>
          <w:szCs w:val="14"/>
          <w:color w:val="auto"/>
        </w:rPr>
        <w:t>​</w:t>
      </w:r>
    </w:p>
    <w:p>
      <w:pPr>
        <w:spacing w:after="0" w:line="79" w:lineRule="exact"/>
        <w:rPr>
          <w:sz w:val="20"/>
          <w:szCs w:val="20"/>
          <w:color w:val="auto"/>
        </w:rPr>
      </w:pPr>
    </w:p>
    <w:p>
      <w:pPr>
        <w:sectPr>
          <w:pgSz w:w="11900" w:h="16838" w:orient="portrait"/>
          <w:cols w:equalWidth="0" w:num="2">
            <w:col w:w="3100" w:space="120"/>
            <w:col w:w="5799"/>
          </w:cols>
          <w:pgMar w:left="1440" w:top="108" w:right="1440" w:bottom="1440" w:gutter="0" w:footer="0" w:header="0"/>
          <w:type w:val="continuous"/>
        </w:sectPr>
      </w:pPr>
    </w:p>
    <w:tbl>
      <w:tblPr>
        <w:tblLayout w:type="fixed"/>
        <w:tblInd w:w="1280" w:type="dxa"/>
        <w:tblCellMar>
          <w:top w:w="0" w:type="dxa"/>
          <w:left w:w="0" w:type="dxa"/>
          <w:bottom w:w="0" w:type="dxa"/>
          <w:right w:w="0" w:type="dxa"/>
        </w:tblCellMar>
      </w:tblPr>
      <w:tr>
        <w:trPr>
          <w:trHeight w:val="189"/>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increase/(decrease) in cash</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42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color w:val="auto"/>
              </w:rPr>
              <w:t>137,190​​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210,906​​ ​</w:t>
            </w:r>
            <w:r>
              <w:rPr>
                <w:rFonts w:ascii="Times New Roman" w:cs="Times New Roman" w:eastAsia="Times New Roman" w:hAnsi="Times New Roman"/>
                <w:sz w:val="14"/>
                <w:szCs w:val="14"/>
                <w:b w:val="1"/>
                <w:bCs w:val="1"/>
                <w:color w:val="auto"/>
              </w:rPr>
              <w:t>​</w:t>
            </w:r>
          </w:p>
        </w:tc>
        <w:tc>
          <w:tcPr>
            <w:tcW w:w="17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(313,523)​​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(722,780)​​ ​</w:t>
            </w:r>
            <w:r>
              <w:rPr>
                <w:rFonts w:ascii="Times New Roman" w:cs="Times New Roman" w:eastAsia="Times New Roman" w:hAnsi="Times New Roman"/>
                <w:sz w:val="14"/>
                <w:szCs w:val="14"/>
                <w:b w:val="1"/>
                <w:bCs w:val="1"/>
                <w:color w:val="auto"/>
              </w:rPr>
              <w:t>​</w:t>
            </w:r>
          </w:p>
        </w:tc>
        <w:tc>
          <w:tcPr>
            <w:tcW w:w="6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(688,207​)</w:t>
            </w:r>
          </w:p>
        </w:tc>
      </w:tr>
      <w:tr>
        <w:trPr>
          <w:trHeight w:val="213"/>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as of January 1</w:t>
            </w:r>
          </w:p>
        </w:tc>
        <w:tc>
          <w:tcPr>
            <w:tcW w:w="9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​​1,084,196​​ ​​</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556,587​​ ​​</w:t>
            </w:r>
          </w:p>
        </w:tc>
        <w:tc>
          <w:tcPr>
            <w:tcW w:w="12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320,578​​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764,207</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 2,725,568</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 of foreign exchange rate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changes</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105,116​​ ​​</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23,686​​ ​​</w:t>
            </w:r>
          </w:p>
        </w:tc>
        <w:tc>
          <w:tcPr>
            <w:tcW w:w="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 xml:space="preserve">67,528​​ ​ </w:t>
            </w:r>
            <w:r>
              <w:rPr>
                <w:rFonts w:ascii="Times New Roman" w:cs="Times New Roman" w:eastAsia="Times New Roman" w:hAnsi="Times New Roman"/>
                <w:sz w:val="14"/>
                <w:szCs w:val="14"/>
                <w:b w:val="1"/>
                <w:bCs w:val="1"/>
                <w:color w:val="auto"/>
              </w:rPr>
              <w:t>​</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 ​​ ​​</w:t>
            </w:r>
          </w:p>
        </w:tc>
        <w:tc>
          <w:tcPr>
            <w:tcW w:w="6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196,330​</w:t>
            </w:r>
          </w:p>
        </w:tc>
      </w:tr>
      <w:tr>
        <w:trPr>
          <w:trHeight w:val="20"/>
        </w:trPr>
        <w:tc>
          <w:tcPr>
            <w:tcW w:w="6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4"/>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as of December 31</w:t>
            </w:r>
          </w:p>
        </w:tc>
        <w:tc>
          <w:tcPr>
            <w:tcW w:w="1680" w:type="dxa"/>
            <w:vAlign w:val="bottom"/>
            <w:gridSpan w:val="8"/>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2"/>
                <w:szCs w:val="12"/>
                <w:color w:val="auto"/>
              </w:rPr>
              <w:t>​1,326,502</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2"/>
                <w:szCs w:val="12"/>
                <w:color w:val="auto"/>
              </w:rPr>
              <w:t>​791,179</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2"/>
                <w:szCs w:val="12"/>
                <w:color w:val="auto"/>
              </w:rPr>
              <w:t>​</w:t>
            </w:r>
          </w:p>
        </w:tc>
        <w:tc>
          <w:tcPr>
            <w:tcW w:w="800" w:type="dxa"/>
            <w:vAlign w:val="bottom"/>
            <w:gridSpan w:val="3"/>
            <w:shd w:val="clear" w:color="auto" w:fill="CCEEFF"/>
          </w:tcPr>
          <w:p>
            <w:pPr>
              <w:ind w:left="160"/>
              <w:spacing w:after="0" w:line="203" w:lineRule="exact"/>
              <w:rPr>
                <w:sz w:val="20"/>
                <w:szCs w:val="20"/>
                <w:color w:val="auto"/>
              </w:rPr>
            </w:pPr>
            <w:r>
              <w:rPr>
                <w:rFonts w:ascii="Times New Roman" w:cs="Times New Roman" w:eastAsia="Times New Roman" w:hAnsi="Times New Roman"/>
                <w:sz w:val="12"/>
                <w:szCs w:val="12"/>
                <w:color w:val="auto"/>
              </w:rPr>
              <w:t>74,583</w:t>
            </w:r>
            <w:r>
              <w:rPr>
                <w:rFonts w:ascii="Times New Roman" w:cs="Times New Roman" w:eastAsia="Times New Roman" w:hAnsi="Times New Roman"/>
                <w:sz w:val="23"/>
                <w:szCs w:val="23"/>
                <w:color w:val="auto"/>
                <w:vertAlign w:val="subscript"/>
              </w:rPr>
              <w:t>​​ ​ ​</w:t>
            </w:r>
            <w:r>
              <w:rPr>
                <w:rFonts w:ascii="Times New Roman" w:cs="Times New Roman" w:eastAsia="Times New Roman" w:hAnsi="Times New Roman"/>
                <w:sz w:val="12"/>
                <w:szCs w:val="12"/>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41,427</w:t>
            </w:r>
          </w:p>
        </w:tc>
        <w:tc>
          <w:tcPr>
            <w:tcW w:w="46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3"/>
                <w:szCs w:val="23"/>
                <w:color w:val="auto"/>
                <w:vertAlign w:val="superscript"/>
              </w:rPr>
              <w:t>​</w:t>
            </w:r>
          </w:p>
        </w:tc>
        <w:tc>
          <w:tcPr>
            <w:tcW w:w="1160" w:type="dxa"/>
            <w:vAlign w:val="bottom"/>
            <w:gridSpan w:val="4"/>
            <w:shd w:val="clear" w:color="auto" w:fill="CCEEFF"/>
          </w:tcPr>
          <w:p>
            <w:pPr>
              <w:ind w:left="220"/>
              <w:spacing w:after="0" w:line="203"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2"/>
                <w:szCs w:val="12"/>
                <w:color w:val="auto"/>
              </w:rPr>
              <w:t>​ 2,233,691</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8"/>
        </w:trPr>
        <w:tc>
          <w:tcPr>
            <w:tcW w:w="680" w:type="dxa"/>
            <w:vAlign w:val="bottom"/>
            <w:tcBorders>
              <w:bottom w:val="single" w:sz="8" w:color="auto"/>
            </w:tcBorders>
          </w:tcPr>
          <w:p>
            <w:pPr>
              <w:spacing w:after="0"/>
              <w:rPr>
                <w:sz w:val="5"/>
                <w:szCs w:val="5"/>
                <w:color w:val="auto"/>
              </w:rPr>
            </w:pPr>
          </w:p>
        </w:tc>
        <w:tc>
          <w:tcPr>
            <w:tcW w:w="1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r>
    </w:tbl>
    <w:p>
      <w:pPr>
        <w:spacing w:after="0" w:line="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Note:</w:t>
      </w:r>
    </w:p>
    <w:p>
      <w:pPr>
        <w:spacing w:after="0" w:line="54" w:lineRule="exact"/>
        <w:rPr>
          <w:sz w:val="20"/>
          <w:szCs w:val="20"/>
          <w:color w:val="auto"/>
        </w:rPr>
      </w:pPr>
    </w:p>
    <w:p>
      <w:pPr>
        <w:ind w:left="1580" w:right="1279" w:hanging="290"/>
        <w:spacing w:after="0" w:line="280" w:lineRule="auto"/>
        <w:tabs>
          <w:tab w:leader="none" w:pos="15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cash received as the investment in other subsidiaries of WeRide Inc., and the VIE and its subsidiaries from WeRide Inc., our WFOE and other subsidiaries of WeRide Inc., which was eliminated as inter-company transaction upon consolidation.</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28" w:lineRule="exact"/>
        <w:rPr>
          <w:sz w:val="20"/>
          <w:szCs w:val="20"/>
          <w:color w:val="auto"/>
        </w:rPr>
      </w:pPr>
    </w:p>
    <w:p>
      <w:pPr>
        <w:jc w:val="both"/>
        <w:ind w:left="1280" w:right="1279"/>
        <w:spacing w:after="0" w:line="250" w:lineRule="auto"/>
        <w:rPr>
          <w:sz w:val="20"/>
          <w:szCs w:val="20"/>
          <w:color w:val="auto"/>
        </w:rPr>
      </w:pPr>
      <w:r>
        <w:rPr>
          <w:rFonts w:ascii="Times New Roman" w:cs="Times New Roman" w:eastAsia="Times New Roman" w:hAnsi="Times New Roman"/>
          <w:sz w:val="14"/>
          <w:szCs w:val="14"/>
          <w:color w:val="auto"/>
        </w:rPr>
        <w:t>Our principal executive offices are located at 21st Floor, Tower A, Guanzhou Life Science Innovation Center, No. 51, Luoxuan Road, Guangzhou International Biotech Island, Guangzhou, People’s Republic of China. Our telephone number at this address is +86 (20) 2909-3388. Our registered office in the Cayman Islands is located at the offices of International Corporation Services Ltd, P.O. Box 472, Harbour Place, 2nd Floor, 103 South Church Street, George Town, Grand Cayman KY1-1106, Cayman Islands.</w:t>
      </w:r>
    </w:p>
    <w:p>
      <w:pPr>
        <w:spacing w:after="0" w:line="85" w:lineRule="exact"/>
        <w:rPr>
          <w:sz w:val="20"/>
          <w:szCs w:val="20"/>
          <w:color w:val="auto"/>
        </w:rPr>
      </w:pPr>
    </w:p>
    <w:p>
      <w:pPr>
        <w:jc w:val="both"/>
        <w:ind w:left="1280" w:right="1279"/>
        <w:spacing w:after="0" w:line="254" w:lineRule="auto"/>
        <w:rPr>
          <w:sz w:val="20"/>
          <w:szCs w:val="20"/>
          <w:color w:val="auto"/>
        </w:rPr>
      </w:pPr>
      <w:r>
        <w:rPr>
          <w:rFonts w:ascii="Times New Roman" w:cs="Times New Roman" w:eastAsia="Times New Roman" w:hAnsi="Times New Roman"/>
          <w:sz w:val="14"/>
          <w:szCs w:val="14"/>
          <w:color w:val="auto"/>
        </w:rPr>
        <w:t xml:space="preserve">Investors should submit any inquiries to the address and telephone number of our principal executive offices. Our main website is </w:t>
      </w:r>
      <w:r>
        <w:rPr>
          <w:rFonts w:ascii="Times New Roman" w:cs="Times New Roman" w:eastAsia="Times New Roman" w:hAnsi="Times New Roman"/>
          <w:sz w:val="14"/>
          <w:szCs w:val="14"/>
          <w:i w:val="1"/>
          <w:iCs w:val="1"/>
          <w:color w:val="auto"/>
        </w:rPr>
        <w:t>https://www.weride.ai/</w:t>
      </w:r>
      <w:r>
        <w:rPr>
          <w:rFonts w:ascii="Times New Roman" w:cs="Times New Roman" w:eastAsia="Times New Roman" w:hAnsi="Times New Roman"/>
          <w:sz w:val="14"/>
          <w:szCs w:val="14"/>
          <w:color w:val="auto"/>
        </w:rPr>
        <w:t>​. The information contained on our websites is not a part of this prospectus. Our agent for service of process in the United States is Cogency Global Inc., located at 122 East 42nd Street, 18th Floor, New York, NY 10168.</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Implication of Being a Foreign Private Issuer</w:t>
      </w:r>
    </w:p>
    <w:p>
      <w:pPr>
        <w:spacing w:after="0" w:line="117" w:lineRule="exact"/>
        <w:rPr>
          <w:sz w:val="20"/>
          <w:szCs w:val="20"/>
          <w:color w:val="auto"/>
        </w:rPr>
      </w:pPr>
    </w:p>
    <w:p>
      <w:pPr>
        <w:jc w:val="both"/>
        <w:ind w:left="1280" w:right="1279"/>
        <w:spacing w:after="0" w:line="249" w:lineRule="auto"/>
        <w:rPr>
          <w:sz w:val="20"/>
          <w:szCs w:val="20"/>
          <w:color w:val="auto"/>
        </w:rPr>
      </w:pPr>
      <w:r>
        <w:rPr>
          <w:rFonts w:ascii="Times New Roman" w:cs="Times New Roman" w:eastAsia="Times New Roman" w:hAnsi="Times New Roman"/>
          <w:sz w:val="14"/>
          <w:szCs w:val="14"/>
          <w:color w:val="auto"/>
        </w:rPr>
        <w:t>We are a foreign private issuer within the meaning of the rules under the United States Securities Exchange Act of 1934, as amended, or Exchange Act, and as such we are exempt from certain provisions of the securities 20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an exempted company incorporated in the Cayman Islands, we are permitted to adopt certain home country practices in relation to corporate governance matters that differ significantly from the Nasdaq Stock Market Rules. See “Risk</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204470</wp:posOffset>
            </wp:positionV>
            <wp:extent cx="537972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21" w:name="page22"/>
    <w:bookmarkEnd w:id="21"/>
    <w:p>
      <w:pPr>
        <w:ind w:left="2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255905</wp:posOffset>
            </wp:positionV>
            <wp:extent cx="4342130" cy="6263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42130" cy="626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280" w:right="1279"/>
        <w:spacing w:after="0" w:line="261" w:lineRule="auto"/>
        <w:rPr>
          <w:sz w:val="20"/>
          <w:szCs w:val="20"/>
          <w:color w:val="auto"/>
        </w:rPr>
      </w:pPr>
      <w:r>
        <w:rPr>
          <w:rFonts w:ascii="Times New Roman" w:cs="Times New Roman" w:eastAsia="Times New Roman" w:hAnsi="Times New Roman"/>
          <w:sz w:val="14"/>
          <w:szCs w:val="14"/>
          <w:color w:val="auto"/>
        </w:rPr>
        <w:t>Factors—Risks Related to Our Class A Ordinary Shares and the ADSs—As an exempted company incorporated in the Cayman Islands, we are permitted to adopt certain home country practices in relation to corporate governance matters that differ significantly from the Nasdaq Stock Market’s corporate governance requirements; these practices may afford less protection to shareholders than they would enjoy if we complied fully with the Nasdaq Stock Market’s corporate governance requirements.”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Implication of Being an Emerging Growth Company</w:t>
      </w:r>
    </w:p>
    <w:p>
      <w:pPr>
        <w:spacing w:after="0" w:line="128" w:lineRule="exact"/>
        <w:rPr>
          <w:sz w:val="20"/>
          <w:szCs w:val="20"/>
          <w:color w:val="auto"/>
        </w:rPr>
      </w:pPr>
    </w:p>
    <w:p>
      <w:pPr>
        <w:jc w:val="both"/>
        <w:ind w:left="1280" w:right="1279"/>
        <w:spacing w:after="0" w:line="259" w:lineRule="auto"/>
        <w:rPr>
          <w:sz w:val="20"/>
          <w:szCs w:val="20"/>
          <w:color w:val="auto"/>
        </w:rPr>
      </w:pPr>
      <w:r>
        <w:rPr>
          <w:rFonts w:ascii="Times New Roman" w:cs="Times New Roman" w:eastAsia="Times New Roman" w:hAnsi="Times New Roman"/>
          <w:sz w:val="14"/>
          <w:szCs w:val="14"/>
          <w:color w:val="auto"/>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an exemption from the auditor attestation requirement under Section 404 of the Sarbanes-Oxley Act of 2002 in the assessment of the emerging growth company’s internal control over financial reporting.</w:t>
      </w:r>
    </w:p>
    <w:p>
      <w:pPr>
        <w:spacing w:after="0" w:line="264" w:lineRule="exact"/>
        <w:rPr>
          <w:sz w:val="20"/>
          <w:szCs w:val="20"/>
          <w:color w:val="auto"/>
        </w:rPr>
      </w:pPr>
    </w:p>
    <w:p>
      <w:pPr>
        <w:jc w:val="both"/>
        <w:ind w:left="1280" w:right="1279"/>
        <w:spacing w:after="0" w:line="256"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of (a) the last day of the fiscal year during which we have total annual gross revenue of at least US$1.235 billion; (b) the last day of our fiscal year following the fifth anniversary of the completion of our US IPO; (c) the date on which we have, during the preceding three-year period, issued more than US$1.0 billion in non-convertible debt; or (d) the date on which we are deemed to be a “large accelerated filer” under the United States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 Based on the aggregate market value of our Class A ordinary shares (including Class A ordinary shares represented by ADSs) held by non-affiliates as of June 30, 2025, we expect to become a “large accelerated filer” and no longer qualify as an emerging growth company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 w:name="page23"/>
    <w:bookmarkEnd w:id="22"/>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28" w:lineRule="exact"/>
        <w:rPr>
          <w:sz w:val="20"/>
          <w:szCs w:val="20"/>
          <w:color w:val="auto"/>
        </w:rPr>
      </w:pPr>
    </w:p>
    <w:p>
      <w:pPr>
        <w:jc w:val="both"/>
        <w:ind w:left="1280" w:right="1299"/>
        <w:spacing w:after="0" w:line="246" w:lineRule="auto"/>
        <w:rPr>
          <w:sz w:val="20"/>
          <w:szCs w:val="20"/>
          <w:color w:val="auto"/>
        </w:rPr>
      </w:pPr>
      <w:r>
        <w:rPr>
          <w:rFonts w:ascii="Times New Roman" w:cs="Times New Roman" w:eastAsia="Times New Roman" w:hAnsi="Times New Roman"/>
          <w:sz w:val="14"/>
          <w:szCs w:val="14"/>
          <w:color w:val="auto"/>
        </w:rPr>
        <w:t>This prospectus and any prospectus supplement, and the information incorporated by reference herein may contain forward-looking statements that involve risks and uncertainties. All statements other than statements of historical facts are forward-looking statements. These forward -looking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Sections of this prospectus, any accompanying prospectus supplement and the documents incorporated herein and therein by reference, particularly the sections entitled “Prospectus Summary” and “Risk Factors,” among others, discuss factors which could adversely impact our business and financial performance.</w:t>
      </w:r>
    </w:p>
    <w:p>
      <w:pPr>
        <w:spacing w:after="0" w:line="257" w:lineRule="exact"/>
        <w:rPr>
          <w:sz w:val="20"/>
          <w:szCs w:val="20"/>
          <w:color w:val="auto"/>
        </w:rPr>
      </w:pPr>
    </w:p>
    <w:p>
      <w:pPr>
        <w:jc w:val="both"/>
        <w:ind w:left="1280" w:right="1299"/>
        <w:spacing w:after="0" w:line="250" w:lineRule="auto"/>
        <w:rPr>
          <w:sz w:val="20"/>
          <w:szCs w:val="20"/>
          <w:color w:val="auto"/>
        </w:rPr>
      </w:pPr>
      <w:r>
        <w:rPr>
          <w:rFonts w:ascii="Times New Roman" w:cs="Times New Roman" w:eastAsia="Times New Roman" w:hAnsi="Times New Roman"/>
          <w:sz w:val="14"/>
          <w:szCs w:val="14"/>
          <w:color w:val="auto"/>
        </w:rPr>
        <w:t>You can identify these forward -looking statements by words or phrases such as “may,” “will,” “expect,” “anticipate,” “aim,” “estimate,” “intend,” “plan,” “believe,” “is/are likely to” or other similar expressions. We have based these forward-looking statements largely on our current expectations and projections about future events and financial trends that we believe may affect our results of operations, financial condition, business strategy and financial needs. These forward-looking statements include statements about:</w:t>
      </w:r>
    </w:p>
    <w:p>
      <w:pPr>
        <w:spacing w:after="0" w:line="54" w:lineRule="exact"/>
        <w:rPr>
          <w:sz w:val="20"/>
          <w:szCs w:val="20"/>
          <w:color w:val="auto"/>
        </w:rPr>
      </w:pPr>
    </w:p>
    <w:p>
      <w:pPr>
        <w:ind w:left="1700" w:hanging="141"/>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mission, goals and strategies;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business development, financial condition and results of operations;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changes in our revenue, expenses or expenditures;</w:t>
      </w:r>
    </w:p>
    <w:p>
      <w:pPr>
        <w:spacing w:after="0" w:line="8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growth of the autonomous driving market in China and globally;</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demand for and market acceptance of our products and services;</w:t>
      </w:r>
    </w:p>
    <w:p>
      <w:pPr>
        <w:spacing w:after="0" w:line="93"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improve and enhance our autonomous driving technology and offer quality products and services;</w:t>
      </w:r>
    </w:p>
    <w:p>
      <w:pPr>
        <w:spacing w:after="0" w:line="39"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our industry;</w:t>
      </w:r>
    </w:p>
    <w:p>
      <w:pPr>
        <w:spacing w:after="0" w:line="8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policies and regulations relating to our industry;</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business conditions in China and globally;</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legal or administrative proceedings; and</w:t>
      </w:r>
    </w:p>
    <w:p>
      <w:pPr>
        <w:spacing w:after="0" w:line="8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assumptions underlying or related to any of the foregoing.</w:t>
      </w:r>
    </w:p>
    <w:p>
      <w:pPr>
        <w:spacing w:after="0" w:line="126" w:lineRule="exact"/>
        <w:rPr>
          <w:sz w:val="20"/>
          <w:szCs w:val="20"/>
          <w:color w:val="auto"/>
        </w:rPr>
      </w:pPr>
    </w:p>
    <w:p>
      <w:pPr>
        <w:jc w:val="both"/>
        <w:ind w:left="1280" w:right="1299"/>
        <w:spacing w:after="0" w:line="245" w:lineRule="auto"/>
        <w:rPr>
          <w:sz w:val="20"/>
          <w:szCs w:val="20"/>
          <w:color w:val="auto"/>
        </w:rPr>
      </w:pPr>
      <w:r>
        <w:rPr>
          <w:rFonts w:ascii="Times New Roman" w:cs="Times New Roman" w:eastAsia="Times New Roman" w:hAnsi="Times New Roman"/>
          <w:sz w:val="14"/>
          <w:szCs w:val="14"/>
          <w:color w:val="auto"/>
        </w:rPr>
        <w:t>The forward-looking statements made in this prospectus or any prospectus supplement, or the information incorporated by reference herein relate only to events or information as of the date on which the statements are made in such document. Except as required by U.S. federal securities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prospectus supplement, and the information incorporated by reference herein, along with any exhibits thereto, completely and with the understanding that our actual future results may be materially different from what we expect. Other sections of this prospectus, prospectus supplement and the documents incorporated by reference herein include additional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259" w:lineRule="exact"/>
        <w:rPr>
          <w:sz w:val="20"/>
          <w:szCs w:val="20"/>
          <w:color w:val="auto"/>
        </w:rPr>
      </w:pPr>
    </w:p>
    <w:p>
      <w:pPr>
        <w:jc w:val="both"/>
        <w:ind w:left="1280" w:right="1299"/>
        <w:spacing w:after="0" w:line="248" w:lineRule="auto"/>
        <w:rPr>
          <w:sz w:val="20"/>
          <w:szCs w:val="20"/>
          <w:color w:val="auto"/>
        </w:rPr>
      </w:pPr>
      <w:r>
        <w:rPr>
          <w:rFonts w:ascii="Times New Roman" w:cs="Times New Roman" w:eastAsia="Times New Roman" w:hAnsi="Times New Roman"/>
          <w:sz w:val="14"/>
          <w:szCs w:val="14"/>
          <w:color w:val="auto"/>
        </w:rPr>
        <w:t>This prospectus and any prospectus supplement, and the information incorporated by reference herein may also contain statistical data and estimates that we obtained from government and private publications, including industry data and information from CIC. Statistical data in these publications also include projections based on a number of assumptions. The market data contained in this prospectus involves a number of assumptions, estimates and limitations. The related markets in China and elsewhere may not grow at the rates projected by market data, or at all. The failure of the markets to grow at the projected rates may have a material adverse effect on our business and the market price of our securities. If any one of the</w:t>
      </w: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3" w:name="page24"/>
    <w:bookmarkEnd w:id="23"/>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64" w:lineRule="auto"/>
        <w:rPr>
          <w:sz w:val="20"/>
          <w:szCs w:val="20"/>
          <w:color w:val="auto"/>
        </w:rPr>
      </w:pPr>
      <w:r>
        <w:rPr>
          <w:rFonts w:ascii="Times New Roman" w:cs="Times New Roman" w:eastAsia="Times New Roman" w:hAnsi="Times New Roman"/>
          <w:sz w:val="14"/>
          <w:szCs w:val="14"/>
          <w:color w:val="auto"/>
        </w:rPr>
        <w:t>assumptions underlying the market data turn out to be incorrect, actual results may differ from the projections based on these assumptions. In addition, due to the rapidly evolving nature of the advertising industry in China, projections or estimates about our business and financial prospects involve significant risks and uncertainties. You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4" w:name="page25"/>
    <w:bookmarkEnd w:id="24"/>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8" w:lineRule="exact"/>
        <w:rPr>
          <w:sz w:val="20"/>
          <w:szCs w:val="20"/>
          <w:color w:val="auto"/>
        </w:rPr>
      </w:pPr>
    </w:p>
    <w:p>
      <w:pPr>
        <w:jc w:val="both"/>
        <w:ind w:left="1280" w:right="1299"/>
        <w:spacing w:after="0" w:line="258" w:lineRule="auto"/>
        <w:rPr>
          <w:sz w:val="20"/>
          <w:szCs w:val="20"/>
          <w:color w:val="auto"/>
        </w:rPr>
      </w:pPr>
      <w:r>
        <w:rPr>
          <w:rFonts w:ascii="Times New Roman" w:cs="Times New Roman" w:eastAsia="Times New Roman" w:hAnsi="Times New Roman"/>
          <w:sz w:val="14"/>
          <w:szCs w:val="14"/>
          <w:color w:val="auto"/>
        </w:rPr>
        <w:t>Investing in our securities involves risk. You should carefully consider the risk factors and uncertainties described under the heading “Item 3. Key Information—D. Risk Factors” in our most recently filed annual report on Form 20-F, which is incorporated in this prospectus by reference, as updated by our subsequent filings under the Exchange Act, and, if applicable, in any accompanying prospectus supplement or documents incorporated by reference before investing in any of the securities that may be offered or sold pursuant to this prospectus. These risks and uncertainties could materially affect our business, results of operations or financial condition and cause the value of our securities to decline. You could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5" w:name="page26"/>
    <w:bookmarkEnd w:id="25"/>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8" w:lineRule="exact"/>
        <w:rPr>
          <w:sz w:val="20"/>
          <w:szCs w:val="20"/>
          <w:color w:val="auto"/>
        </w:rPr>
      </w:pPr>
    </w:p>
    <w:p>
      <w:pPr>
        <w:jc w:val="both"/>
        <w:ind w:left="1280" w:right="1279"/>
        <w:spacing w:after="0" w:line="259" w:lineRule="auto"/>
        <w:rPr>
          <w:sz w:val="20"/>
          <w:szCs w:val="20"/>
          <w:color w:val="auto"/>
        </w:rPr>
      </w:pPr>
      <w:r>
        <w:rPr>
          <w:rFonts w:ascii="Times New Roman" w:cs="Times New Roman" w:eastAsia="Times New Roman" w:hAnsi="Times New Roman"/>
          <w:sz w:val="14"/>
          <w:szCs w:val="14"/>
          <w:color w:val="auto"/>
        </w:rPr>
        <w:t>We will retain broad discretion over the use of the net proceeds from the sale of the securities offered hereby. Unless otherwise indicated in any prospectus supplement, we intend to use the net proceeds from the sale of the securities under this prospectus for general corporate purposes, which may include acquisitions or strategic investments in complementary businesses or technologies, working capital, operating expenses and capital expenditures. We will set forth in the applicable prospectus supplement or free writing prospectus our intended use for the net proceeds from the sale of any securities sold pursuant to the prospectus supplement or free writing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6" w:name="page27"/>
    <w:bookmarkEnd w:id="26"/>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28"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Information about any selling securityholders, where applicable, will be set forth in a prospectus supplement, in a post-effective amendment to this registration statement,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7" w:name="page28"/>
    <w:bookmarkEnd w:id="27"/>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DESCRIPTION OF THE SECURITIES</w:t>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We may issue, offer and sell from time to time, in one or more offerings, the following securities:</w:t>
      </w:r>
    </w:p>
    <w:p>
      <w:pPr>
        <w:spacing w:after="0" w:line="94" w:lineRule="exact"/>
        <w:rPr>
          <w:sz w:val="20"/>
          <w:szCs w:val="20"/>
          <w:color w:val="auto"/>
        </w:rPr>
      </w:pPr>
    </w:p>
    <w:p>
      <w:pPr>
        <w:ind w:left="1700" w:hanging="141"/>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ordinary shares;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ordinary shares;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ADSs representing Class A ordinary shares;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shares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and</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w:t>
      </w:r>
    </w:p>
    <w:p>
      <w:pPr>
        <w:spacing w:after="0" w:line="126" w:lineRule="exact"/>
        <w:rPr>
          <w:sz w:val="20"/>
          <w:szCs w:val="20"/>
          <w:color w:val="auto"/>
        </w:rPr>
      </w:pPr>
    </w:p>
    <w:p>
      <w:pPr>
        <w:jc w:val="both"/>
        <w:ind w:left="1280" w:right="1299"/>
        <w:spacing w:after="0" w:line="256" w:lineRule="auto"/>
        <w:rPr>
          <w:sz w:val="20"/>
          <w:szCs w:val="20"/>
          <w:color w:val="auto"/>
        </w:rPr>
      </w:pPr>
      <w:r>
        <w:rPr>
          <w:rFonts w:ascii="Times New Roman" w:cs="Times New Roman" w:eastAsia="Times New Roman" w:hAnsi="Times New Roman"/>
          <w:sz w:val="14"/>
          <w:szCs w:val="14"/>
          <w:color w:val="auto"/>
        </w:rPr>
        <w:t>The following is a description of the terms and provisions of our Class A ordinary shares, Class B ordinary shares, ADSs, preferred shares, debt securities, warrants and units, which we may offer and sell using this prospectus. These summaries are not meant to be a complete description of each security. We will set forth in the applicable prospectus supplement a description of the ADSs, Class B ordinary shares, preferred shares, debt securities, warrants, and units, in certain cases, the Class A ordinary shares that may be offered under this prospectus. The terms of the offering of securities, the offering price and the net proceeds to us, as applicable, will be contained in the prospectus supplement and other offering material relating to such offering. The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SHARE CAPITAL</w:t>
      </w:r>
    </w:p>
    <w:p>
      <w:pPr>
        <w:spacing w:after="0" w:line="128"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We are a Cayman Islands exempted company incorporated with limited liability and our affairs are governed by our memorandum and articles of association, the Companies Act (Revised) of the Cayman Islands, which we refer to as the Companies Act below, and the common law of the Cayman Islands.</w:t>
      </w:r>
    </w:p>
    <w:p>
      <w:pPr>
        <w:spacing w:after="0" w:line="83" w:lineRule="exact"/>
        <w:rPr>
          <w:sz w:val="20"/>
          <w:szCs w:val="20"/>
          <w:color w:val="auto"/>
        </w:rPr>
      </w:pPr>
    </w:p>
    <w:p>
      <w:pPr>
        <w:jc w:val="both"/>
        <w:ind w:left="1280" w:right="1299"/>
        <w:spacing w:after="0" w:line="260" w:lineRule="auto"/>
        <w:rPr>
          <w:sz w:val="20"/>
          <w:szCs w:val="20"/>
          <w:color w:val="auto"/>
        </w:rPr>
      </w:pPr>
      <w:r>
        <w:rPr>
          <w:rFonts w:ascii="Times New Roman" w:cs="Times New Roman" w:eastAsia="Times New Roman" w:hAnsi="Times New Roman"/>
          <w:sz w:val="14"/>
          <w:szCs w:val="14"/>
          <w:color w:val="auto"/>
        </w:rPr>
        <w:t>As of the date of this prospectus, our authorized share capital is US$50,000 divided into 5,000,000,000 shares of a par value of US$0.00001 each, comprising (i) 3,500,000,000 Class A ordinary shares of a par value of US$0.00001 each, (ii) 500,000,000 Class B ordinary shares of a par value of US$0.00001 each, and</w:t>
      </w:r>
    </w:p>
    <w:p>
      <w:pPr>
        <w:spacing w:after="0" w:line="1" w:lineRule="exact"/>
        <w:rPr>
          <w:sz w:val="20"/>
          <w:szCs w:val="20"/>
          <w:color w:val="auto"/>
        </w:rPr>
      </w:pPr>
    </w:p>
    <w:p>
      <w:pPr>
        <w:ind w:left="1280" w:right="1299" w:hanging="4"/>
        <w:spacing w:after="0" w:line="266" w:lineRule="auto"/>
        <w:tabs>
          <w:tab w:leader="none" w:pos="155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1,000,000,000 shares of a par value of US$0.00001 each of such class or classes (however designated) as our board of directors may determine in accordance with our articles of association.</w:t>
      </w:r>
    </w:p>
    <w:p>
      <w:pPr>
        <w:spacing w:after="0" w:line="1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Our Memorandum and Articles of Association</w:t>
      </w:r>
    </w:p>
    <w:p>
      <w:pPr>
        <w:spacing w:after="0" w:line="117"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The following are summaries of material provisions of memorandum and articles of association, or our memorandum and articles of association, and of the Companies Act, insofar as they relate to the material terms of our ordinary shares.</w:t>
      </w:r>
    </w:p>
    <w:p>
      <w:pPr>
        <w:spacing w:after="0" w:line="81" w:lineRule="exact"/>
        <w:rPr>
          <w:sz w:val="20"/>
          <w:szCs w:val="20"/>
          <w:color w:val="auto"/>
        </w:rPr>
      </w:pPr>
    </w:p>
    <w:p>
      <w:pPr>
        <w:jc w:val="both"/>
        <w:ind w:left="1280" w:right="1299"/>
        <w:spacing w:after="0" w:line="272" w:lineRule="auto"/>
        <w:rPr>
          <w:sz w:val="20"/>
          <w:szCs w:val="20"/>
          <w:color w:val="auto"/>
        </w:rPr>
      </w:pPr>
      <w:r>
        <w:rPr>
          <w:rFonts w:ascii="Times New Roman" w:cs="Times New Roman" w:eastAsia="Times New Roman" w:hAnsi="Times New Roman"/>
          <w:sz w:val="14"/>
          <w:szCs w:val="14"/>
          <w:i w:val="1"/>
          <w:iCs w:val="1"/>
          <w:color w:val="auto"/>
        </w:rPr>
        <w:t>Objects of Our Company</w:t>
      </w:r>
      <w:r>
        <w:rPr>
          <w:rFonts w:ascii="Times New Roman" w:cs="Times New Roman" w:eastAsia="Times New Roman" w:hAnsi="Times New Roman"/>
          <w:sz w:val="14"/>
          <w:szCs w:val="14"/>
          <w:color w:val="auto"/>
        </w:rPr>
        <w:t>. Under our memorandum and articles of association, the objects of our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unrestricted and we have the full power and authority to carry out any object not prohibited by the Cayman Islands law.</w:t>
      </w:r>
    </w:p>
    <w:p>
      <w:pPr>
        <w:spacing w:after="0" w:line="79" w:lineRule="exact"/>
        <w:rPr>
          <w:sz w:val="20"/>
          <w:szCs w:val="20"/>
          <w:color w:val="auto"/>
        </w:rPr>
      </w:pPr>
    </w:p>
    <w:p>
      <w:pPr>
        <w:jc w:val="both"/>
        <w:ind w:left="1280" w:right="1299"/>
        <w:spacing w:after="0" w:line="262" w:lineRule="auto"/>
        <w:rPr>
          <w:sz w:val="20"/>
          <w:szCs w:val="20"/>
          <w:color w:val="auto"/>
        </w:rPr>
      </w:pPr>
      <w:r>
        <w:rPr>
          <w:rFonts w:ascii="Times New Roman" w:cs="Times New Roman" w:eastAsia="Times New Roman" w:hAnsi="Times New Roman"/>
          <w:sz w:val="14"/>
          <w:szCs w:val="14"/>
          <w:i w:val="1"/>
          <w:iCs w:val="1"/>
          <w:color w:val="auto"/>
        </w:rPr>
        <w:t>Ordinary Shares</w:t>
      </w:r>
      <w:r>
        <w:rPr>
          <w:rFonts w:ascii="Times New Roman" w:cs="Times New Roman" w:eastAsia="Times New Roman" w:hAnsi="Times New Roman"/>
          <w:sz w:val="14"/>
          <w:szCs w:val="14"/>
          <w:color w:val="auto"/>
        </w:rPr>
        <w:t>. Our ordinary shares are divided into Class A ordinary shares and Class B ordinary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spacing w:after="0" w:line="77" w:lineRule="exact"/>
        <w:rPr>
          <w:sz w:val="20"/>
          <w:szCs w:val="20"/>
          <w:color w:val="auto"/>
        </w:rPr>
      </w:pPr>
    </w:p>
    <w:p>
      <w:pPr>
        <w:jc w:val="both"/>
        <w:ind w:left="1280" w:right="1299"/>
        <w:spacing w:after="0" w:line="272" w:lineRule="auto"/>
        <w:rPr>
          <w:sz w:val="20"/>
          <w:szCs w:val="20"/>
          <w:color w:val="auto"/>
        </w:rPr>
      </w:pPr>
      <w:r>
        <w:rPr>
          <w:rFonts w:ascii="Times New Roman" w:cs="Times New Roman" w:eastAsia="Times New Roman" w:hAnsi="Times New Roman"/>
          <w:sz w:val="14"/>
          <w:szCs w:val="14"/>
          <w:i w:val="1"/>
          <w:iCs w:val="1"/>
          <w:color w:val="auto"/>
        </w:rPr>
        <w:t>Conversion</w:t>
      </w:r>
      <w:r>
        <w:rPr>
          <w:rFonts w:ascii="Times New Roman" w:cs="Times New Roman" w:eastAsia="Times New Roman" w:hAnsi="Times New Roman"/>
          <w:sz w:val="14"/>
          <w:szCs w:val="14"/>
          <w:color w:val="auto"/>
        </w:rPr>
        <w:t>. Class B ordinary shares may be converted into the same number of Class A ordinary shares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holders thereof at any time, while Class A ordinary shares cannot be converted into Class B ordinary shares under any circumstances.</w:t>
      </w:r>
    </w:p>
    <w:p>
      <w:pPr>
        <w:spacing w:after="0" w:line="79" w:lineRule="exact"/>
        <w:rPr>
          <w:sz w:val="20"/>
          <w:szCs w:val="20"/>
          <w:color w:val="auto"/>
        </w:rPr>
      </w:pPr>
    </w:p>
    <w:p>
      <w:pPr>
        <w:jc w:val="both"/>
        <w:ind w:left="1280" w:right="1299"/>
        <w:spacing w:after="0" w:line="259"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The holders of our ordinary shares are entitled to such dividends as may be declared by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board of directors or declared by our shareholders by ordinary resolution (provided that no dividend may be declared by our shareholders which exceeds the amount recommended by our directors). Our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260" w:lineRule="exact"/>
        <w:rPr>
          <w:sz w:val="20"/>
          <w:szCs w:val="20"/>
          <w:color w:val="auto"/>
        </w:rPr>
      </w:pPr>
    </w:p>
    <w:p>
      <w:pPr>
        <w:jc w:val="both"/>
        <w:ind w:left="1280" w:right="1299"/>
        <w:spacing w:after="0" w:line="261"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Holders of Class A ordinary shares and Class B ordinary shares shall, at all times, vote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together as one class on all matters submitted to a vote by the members at any general meeting of the Company. Each Class A ordinary share shall be entitled to one vote on all matters subject to the vote at general meetings of our company, and each Class B ordinary share shall be entitled to 40 votes on all matters subject to the vote at general meetings of our company. Voting at any meeting of shareholders is by poll.</w:t>
      </w:r>
    </w:p>
    <w:p>
      <w:pPr>
        <w:spacing w:after="0" w:line="252" w:lineRule="exact"/>
        <w:rPr>
          <w:sz w:val="20"/>
          <w:szCs w:val="20"/>
          <w:color w:val="auto"/>
        </w:rPr>
      </w:pPr>
    </w:p>
    <w:p>
      <w:pPr>
        <w:jc w:val="both"/>
        <w:ind w:left="1280" w:right="1299"/>
        <w:spacing w:after="0" w:line="258" w:lineRule="auto"/>
        <w:rPr>
          <w:sz w:val="20"/>
          <w:szCs w:val="20"/>
          <w:color w:val="auto"/>
        </w:rPr>
      </w:pPr>
      <w:r>
        <w:rPr>
          <w:rFonts w:ascii="Times New Roman" w:cs="Times New Roman" w:eastAsia="Times New Roman" w:hAnsi="Times New Roman"/>
          <w:sz w:val="14"/>
          <w:szCs w:val="14"/>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outstanding ordinary shares cast at a meeting. Both ordinary resolutions and special resolutions may also be passed by a unanimous written resolution signed by all members entitled to vote. A special resolution will be required for important matters such as a change of name or making changes to our memorandum and articles of association. Our shareholders may, among other things, sub-divide or consolidate all or any of our company’s share capital by ordinary resolution.</w:t>
      </w:r>
    </w:p>
    <w:p>
      <w:pPr>
        <w:spacing w:after="0" w:line="263" w:lineRule="exact"/>
        <w:rPr>
          <w:sz w:val="20"/>
          <w:szCs w:val="20"/>
          <w:color w:val="auto"/>
        </w:rPr>
      </w:pPr>
    </w:p>
    <w:p>
      <w:pPr>
        <w:jc w:val="both"/>
        <w:ind w:left="1280" w:right="1299"/>
        <w:spacing w:after="0" w:line="269" w:lineRule="auto"/>
        <w:rPr>
          <w:sz w:val="20"/>
          <w:szCs w:val="20"/>
          <w:color w:val="auto"/>
        </w:rPr>
      </w:pPr>
      <w:r>
        <w:rPr>
          <w:rFonts w:ascii="Times New Roman" w:cs="Times New Roman" w:eastAsia="Times New Roman" w:hAnsi="Times New Roman"/>
          <w:sz w:val="14"/>
          <w:szCs w:val="14"/>
          <w:i w:val="1"/>
          <w:iCs w:val="1"/>
          <w:color w:val="auto"/>
        </w:rPr>
        <w:t>General Meetings of Shareholders</w:t>
      </w:r>
      <w:r>
        <w:rPr>
          <w:rFonts w:ascii="Times New Roman" w:cs="Times New Roman" w:eastAsia="Times New Roman" w:hAnsi="Times New Roman"/>
          <w:sz w:val="14"/>
          <w:szCs w:val="14"/>
          <w:color w:val="auto"/>
        </w:rPr>
        <w:t>. As a Cayman Islands exempted company, we are not obliged by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Act to call shareholders’ annual general meetings. Our memorandum and articles of association provide that we may (but are not obliged to) in each year hold a general meeting as our annual general meeting</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87" w:lineRule="auto"/>
        <w:rPr>
          <w:sz w:val="20"/>
          <w:szCs w:val="20"/>
          <w:color w:val="auto"/>
        </w:rPr>
      </w:pPr>
      <w:r>
        <w:rPr>
          <w:rFonts w:ascii="Times New Roman" w:cs="Times New Roman" w:eastAsia="Times New Roman" w:hAnsi="Times New Roman"/>
          <w:sz w:val="14"/>
          <w:szCs w:val="14"/>
          <w:color w:val="auto"/>
        </w:rPr>
        <w:t>in which case we shall specify the meeting as such in the notices calling it, and the annual general meeting shall be held at such time and place as may be determined by our directors.</w:t>
      </w:r>
    </w:p>
    <w:p>
      <w:pPr>
        <w:spacing w:after="0" w:line="61" w:lineRule="exact"/>
        <w:rPr>
          <w:sz w:val="20"/>
          <w:szCs w:val="20"/>
          <w:color w:val="auto"/>
        </w:rPr>
      </w:pPr>
    </w:p>
    <w:p>
      <w:pPr>
        <w:jc w:val="both"/>
        <w:ind w:left="1280" w:right="1299"/>
        <w:spacing w:after="0" w:line="247" w:lineRule="auto"/>
        <w:rPr>
          <w:sz w:val="20"/>
          <w:szCs w:val="20"/>
          <w:color w:val="auto"/>
        </w:rPr>
      </w:pPr>
      <w:r>
        <w:rPr>
          <w:rFonts w:ascii="Times New Roman" w:cs="Times New Roman" w:eastAsia="Times New Roman" w:hAnsi="Times New Roman"/>
          <w:sz w:val="14"/>
          <w:szCs w:val="14"/>
          <w:color w:val="auto"/>
        </w:rPr>
        <w:t>Shareholders’ general meetings may be convened by a majority of our board of directors or by the chairman of the board of directors. Advance notice of at least seven days is required for the convening of our annual general shareholders’ meeting (if any) and any other general meeting of our shareholders. A quorum required for any general meeting of shareholders consists of at least one shareholder present in person or by proxy, representing not less than one-third of all votes attaching to the issued and outstanding shares in our company entitled to vote at general meeting.</w:t>
      </w:r>
    </w:p>
    <w:p>
      <w:pPr>
        <w:spacing w:after="0" w:line="89" w:lineRule="exact"/>
        <w:rPr>
          <w:sz w:val="20"/>
          <w:szCs w:val="20"/>
          <w:color w:val="auto"/>
        </w:rPr>
      </w:pPr>
    </w:p>
    <w:p>
      <w:pPr>
        <w:jc w:val="both"/>
        <w:ind w:left="1280" w:right="1299"/>
        <w:spacing w:after="0" w:line="247" w:lineRule="auto"/>
        <w:rPr>
          <w:sz w:val="20"/>
          <w:szCs w:val="20"/>
          <w:color w:val="auto"/>
        </w:rPr>
      </w:pPr>
      <w:r>
        <w:rPr>
          <w:rFonts w:ascii="Times New Roman" w:cs="Times New Roman" w:eastAsia="Times New Roman" w:hAnsi="Times New Roman"/>
          <w:sz w:val="14"/>
          <w:szCs w:val="14"/>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who together hold shares which carry in aggregate a majority of all votes attaching to the issued and outstanding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89" w:lineRule="exact"/>
        <w:rPr>
          <w:sz w:val="20"/>
          <w:szCs w:val="20"/>
          <w:color w:val="auto"/>
        </w:rPr>
      </w:pPr>
    </w:p>
    <w:p>
      <w:pPr>
        <w:jc w:val="both"/>
        <w:ind w:left="1280" w:right="1299"/>
        <w:spacing w:after="0" w:line="264" w:lineRule="auto"/>
        <w:rPr>
          <w:sz w:val="20"/>
          <w:szCs w:val="20"/>
          <w:color w:val="auto"/>
        </w:rPr>
      </w:pPr>
      <w:r>
        <w:rPr>
          <w:rFonts w:ascii="Times New Roman" w:cs="Times New Roman" w:eastAsia="Times New Roman" w:hAnsi="Times New Roman"/>
          <w:sz w:val="14"/>
          <w:szCs w:val="14"/>
          <w:i w:val="1"/>
          <w:iCs w:val="1"/>
          <w:color w:val="auto"/>
        </w:rPr>
        <w:t>Transfer of Ordinary Shares</w:t>
      </w:r>
      <w:r>
        <w:rPr>
          <w:rFonts w:ascii="Times New Roman" w:cs="Times New Roman" w:eastAsia="Times New Roman" w:hAnsi="Times New Roman"/>
          <w:sz w:val="14"/>
          <w:szCs w:val="14"/>
          <w:color w:val="auto"/>
        </w:rPr>
        <w:t>. Subject to the restrictions set out in our memorandum and articles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association as set out below, any of our shareholders may transfer all or any of his or her ordinary shares by an instrument of transfer in the usual or common form or any other form approved by our board of directors.</w:t>
      </w:r>
    </w:p>
    <w:p>
      <w:pPr>
        <w:spacing w:after="0" w:line="76"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52" w:lineRule="exact"/>
        <w:rPr>
          <w:sz w:val="20"/>
          <w:szCs w:val="20"/>
          <w:color w:val="auto"/>
        </w:rPr>
      </w:pPr>
    </w:p>
    <w:p>
      <w:pPr>
        <w:jc w:val="both"/>
        <w:ind w:left="1700" w:right="1299" w:hanging="141"/>
        <w:spacing w:after="0" w:line="270"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40"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in respect of only one class of ordinary shares;</w:t>
      </w:r>
    </w:p>
    <w:p>
      <w:pPr>
        <w:spacing w:after="0" w:line="8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properly stamped, if required;</w:t>
      </w:r>
    </w:p>
    <w:p>
      <w:pPr>
        <w:spacing w:after="0" w:line="83"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transfer to joint holders, the number of joint holders to whom the ordinary share is to be transferred does not exceed four; and</w:t>
      </w:r>
    </w:p>
    <w:p>
      <w:pPr>
        <w:spacing w:after="0" w:line="2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fee of such maximum sum as the Nasdaq Stock Market may determine to be payable or such lesser sum as our directors may from time to time require is paid to us in respect thereof.</w:t>
      </w:r>
    </w:p>
    <w:p>
      <w:pPr>
        <w:spacing w:after="0" w:line="72" w:lineRule="exact"/>
        <w:rPr>
          <w:sz w:val="20"/>
          <w:szCs w:val="20"/>
          <w:color w:val="auto"/>
        </w:rPr>
      </w:pPr>
    </w:p>
    <w:p>
      <w:pPr>
        <w:jc w:val="both"/>
        <w:ind w:left="1280" w:right="1299"/>
        <w:spacing w:after="0" w:line="259" w:lineRule="auto"/>
        <w:rPr>
          <w:sz w:val="20"/>
          <w:szCs w:val="20"/>
          <w:color w:val="auto"/>
        </w:rPr>
      </w:pPr>
      <w:r>
        <w:rPr>
          <w:rFonts w:ascii="Times New Roman" w:cs="Times New Roman" w:eastAsia="Times New Roman" w:hAnsi="Times New Roman"/>
          <w:sz w:val="14"/>
          <w:szCs w:val="14"/>
          <w:color w:val="auto"/>
        </w:rPr>
        <w:t>If our board of directors refuse to register a transfer they shall, within three months after the date on which the instrument of transfer was lodged, send to each of the transferor and the transferee notice of such refusal.</w:t>
      </w:r>
    </w:p>
    <w:p>
      <w:pPr>
        <w:spacing w:after="0" w:line="247"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color w:val="auto"/>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81" w:lineRule="exact"/>
        <w:rPr>
          <w:sz w:val="20"/>
          <w:szCs w:val="20"/>
          <w:color w:val="auto"/>
        </w:rPr>
      </w:pPr>
    </w:p>
    <w:p>
      <w:pPr>
        <w:jc w:val="both"/>
        <w:ind w:left="1280" w:right="1299"/>
        <w:spacing w:after="0" w:line="249" w:lineRule="auto"/>
        <w:rPr>
          <w:sz w:val="20"/>
          <w:szCs w:val="20"/>
          <w:color w:val="auto"/>
        </w:rPr>
      </w:pPr>
      <w:r>
        <w:rPr>
          <w:rFonts w:ascii="Times New Roman" w:cs="Times New Roman" w:eastAsia="Times New Roman" w:hAnsi="Times New Roman"/>
          <w:sz w:val="14"/>
          <w:szCs w:val="14"/>
          <w:i w:val="1"/>
          <w:iCs w:val="1"/>
          <w:color w:val="auto"/>
        </w:rPr>
        <w:t>Liquidation</w:t>
      </w:r>
      <w:r>
        <w:rPr>
          <w:rFonts w:ascii="Times New Roman" w:cs="Times New Roman" w:eastAsia="Times New Roman" w:hAnsi="Times New Roman"/>
          <w:sz w:val="14"/>
          <w:szCs w:val="14"/>
          <w:color w:val="auto"/>
        </w:rPr>
        <w:t>. On the winding up of our company, if the assets available for distribution amongst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shareholders shall be more than sufficient to repay the whole of our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our share capital, the assets will be distributed so that the losses are borne by our shareholders in proportion to the par value of the shares held by them.</w:t>
      </w:r>
    </w:p>
    <w:p>
      <w:pPr>
        <w:spacing w:after="0" w:line="254" w:lineRule="exact"/>
        <w:rPr>
          <w:sz w:val="20"/>
          <w:szCs w:val="20"/>
          <w:color w:val="auto"/>
        </w:rPr>
      </w:pPr>
    </w:p>
    <w:p>
      <w:pPr>
        <w:jc w:val="both"/>
        <w:ind w:left="1280" w:right="1299"/>
        <w:spacing w:after="0" w:line="249" w:lineRule="auto"/>
        <w:rPr>
          <w:sz w:val="20"/>
          <w:szCs w:val="20"/>
          <w:color w:val="auto"/>
        </w:rPr>
      </w:pPr>
      <w:r>
        <w:rPr>
          <w:rFonts w:ascii="Times New Roman" w:cs="Times New Roman" w:eastAsia="Times New Roman" w:hAnsi="Times New Roman"/>
          <w:sz w:val="14"/>
          <w:szCs w:val="14"/>
          <w:i w:val="1"/>
          <w:iCs w:val="1"/>
          <w:color w:val="auto"/>
        </w:rPr>
        <w:t>Calls on Shares and Forfeiture of Shares</w:t>
      </w:r>
      <w:r>
        <w:rPr>
          <w:rFonts w:ascii="Times New Roman" w:cs="Times New Roman" w:eastAsia="Times New Roman" w:hAnsi="Times New Roman"/>
          <w:sz w:val="14"/>
          <w:szCs w:val="14"/>
          <w:color w:val="auto"/>
        </w:rPr>
        <w:t>. Our board of directors may from time to time make calls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shareholders for any amounts unpaid on their shares in a notice served to such shareholders at least 14 days prior to the specified time and place of payment. The shares that have been called upon and remain unpaid are subject to forfeiture.</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80" w:right="1299"/>
        <w:spacing w:after="0" w:line="256" w:lineRule="auto"/>
        <w:rPr>
          <w:sz w:val="20"/>
          <w:szCs w:val="20"/>
          <w:color w:val="auto"/>
        </w:rPr>
      </w:pPr>
      <w:r>
        <w:rPr>
          <w:rFonts w:ascii="Times New Roman" w:cs="Times New Roman" w:eastAsia="Times New Roman" w:hAnsi="Times New Roman"/>
          <w:sz w:val="14"/>
          <w:szCs w:val="14"/>
          <w:i w:val="1"/>
          <w:iCs w:val="1"/>
          <w:color w:val="auto"/>
        </w:rPr>
        <w:t>Redemption, Repurchase and Surrender of Shares</w:t>
      </w:r>
      <w:r>
        <w:rPr>
          <w:rFonts w:ascii="Times New Roman" w:cs="Times New Roman" w:eastAsia="Times New Roman" w:hAnsi="Times New Roman"/>
          <w:sz w:val="14"/>
          <w:szCs w:val="14"/>
          <w:color w:val="auto"/>
        </w:rPr>
        <w:t>. We may issue shares on terms that such shares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redemption, at our option or at the option of the holders of these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267" w:lineRule="exact"/>
        <w:rPr>
          <w:sz w:val="20"/>
          <w:szCs w:val="20"/>
          <w:color w:val="auto"/>
        </w:rPr>
      </w:pPr>
    </w:p>
    <w:p>
      <w:pPr>
        <w:jc w:val="both"/>
        <w:ind w:left="1280" w:right="1299"/>
        <w:spacing w:after="0" w:line="257" w:lineRule="auto"/>
        <w:rPr>
          <w:sz w:val="20"/>
          <w:szCs w:val="20"/>
          <w:color w:val="auto"/>
        </w:rPr>
      </w:pPr>
      <w:r>
        <w:rPr>
          <w:rFonts w:ascii="Times New Roman" w:cs="Times New Roman" w:eastAsia="Times New Roman" w:hAnsi="Times New Roman"/>
          <w:sz w:val="14"/>
          <w:szCs w:val="14"/>
          <w:i w:val="1"/>
          <w:iCs w:val="1"/>
          <w:color w:val="auto"/>
        </w:rPr>
        <w:t>Variations of Rights of Shares</w:t>
      </w:r>
      <w:r>
        <w:rPr>
          <w:rFonts w:ascii="Times New Roman" w:cs="Times New Roman" w:eastAsia="Times New Roman" w:hAnsi="Times New Roman"/>
          <w:sz w:val="14"/>
          <w:szCs w:val="14"/>
          <w:color w:val="auto"/>
        </w:rPr>
        <w:t>. If at any time, our share capital is divided into different classes or series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the rights attached to any class or series of shares (unless otherwise provided by the terms of issue of the shares of that class or series), whether or not our company is being wound-up, may be varied with the consent in writing of all the holders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90" w:lineRule="exact"/>
        <w:rPr>
          <w:sz w:val="20"/>
          <w:szCs w:val="20"/>
          <w:color w:val="auto"/>
        </w:rPr>
      </w:pPr>
    </w:p>
    <w:p>
      <w:pPr>
        <w:jc w:val="both"/>
        <w:ind w:left="1280" w:right="1299"/>
        <w:spacing w:after="0" w:line="272" w:lineRule="auto"/>
        <w:rPr>
          <w:sz w:val="20"/>
          <w:szCs w:val="20"/>
          <w:color w:val="auto"/>
        </w:rPr>
      </w:pPr>
      <w:r>
        <w:rPr>
          <w:rFonts w:ascii="Times New Roman" w:cs="Times New Roman" w:eastAsia="Times New Roman" w:hAnsi="Times New Roman"/>
          <w:sz w:val="14"/>
          <w:szCs w:val="14"/>
          <w:i w:val="1"/>
          <w:iCs w:val="1"/>
          <w:color w:val="auto"/>
        </w:rPr>
        <w:t>Issuance of Additional Shares</w:t>
      </w:r>
      <w:r>
        <w:rPr>
          <w:rFonts w:ascii="Times New Roman" w:cs="Times New Roman" w:eastAsia="Times New Roman" w:hAnsi="Times New Roman"/>
          <w:sz w:val="14"/>
          <w:szCs w:val="14"/>
          <w:color w:val="auto"/>
        </w:rPr>
        <w:t>. Our memorandum and articles of association authorize our board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to issue additional ordinary shares from time to time as our board of directors shall determine, to the extent of available authorized but unissued shares.</w:t>
      </w:r>
    </w:p>
    <w:p>
      <w:pPr>
        <w:spacing w:after="0" w:line="71"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Our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62" w:lineRule="exact"/>
        <w:rPr>
          <w:sz w:val="20"/>
          <w:szCs w:val="20"/>
          <w:color w:val="auto"/>
        </w:rPr>
      </w:pPr>
    </w:p>
    <w:p>
      <w:pPr>
        <w:ind w:left="1700" w:hanging="141"/>
        <w:spacing w:after="0"/>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series;</w:t>
      </w:r>
    </w:p>
    <w:p>
      <w:pPr>
        <w:spacing w:after="0" w:line="115"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 series;</w:t>
      </w:r>
    </w:p>
    <w:p>
      <w:pPr>
        <w:spacing w:after="0" w:line="104"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rights, dividend rates, conversion rights, voting rights; and</w:t>
      </w:r>
    </w:p>
    <w:p>
      <w:pPr>
        <w:spacing w:after="0" w:line="104"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and terms of redemption and liquidation preferences.</w:t>
      </w:r>
    </w:p>
    <w:p>
      <w:pPr>
        <w:spacing w:after="0" w:line="126" w:lineRule="exact"/>
        <w:rPr>
          <w:sz w:val="20"/>
          <w:szCs w:val="20"/>
          <w:color w:val="auto"/>
        </w:rPr>
      </w:pPr>
    </w:p>
    <w:p>
      <w:pPr>
        <w:jc w:val="both"/>
        <w:ind w:left="1280" w:right="1299"/>
        <w:spacing w:after="0" w:line="287" w:lineRule="auto"/>
        <w:rPr>
          <w:sz w:val="20"/>
          <w:szCs w:val="20"/>
          <w:color w:val="auto"/>
        </w:rPr>
      </w:pPr>
      <w:r>
        <w:rPr>
          <w:rFonts w:ascii="Times New Roman" w:cs="Times New Roman" w:eastAsia="Times New Roman" w:hAnsi="Times New Roman"/>
          <w:sz w:val="14"/>
          <w:szCs w:val="14"/>
          <w:color w:val="auto"/>
        </w:rPr>
        <w:t>Our board of directors may issue preference shares without action by our shareholders to the extent authorized but unissued. Issuance of these shares may dilute the voting power of holders of ordinary shares.</w:t>
      </w:r>
    </w:p>
    <w:p>
      <w:pPr>
        <w:spacing w:after="0" w:line="59" w:lineRule="exact"/>
        <w:rPr>
          <w:sz w:val="20"/>
          <w:szCs w:val="20"/>
          <w:color w:val="auto"/>
        </w:rPr>
      </w:pPr>
    </w:p>
    <w:p>
      <w:pPr>
        <w:jc w:val="both"/>
        <w:ind w:left="1280" w:right="1299"/>
        <w:spacing w:after="0" w:line="262" w:lineRule="auto"/>
        <w:rPr>
          <w:sz w:val="20"/>
          <w:szCs w:val="20"/>
          <w:color w:val="auto"/>
        </w:rPr>
      </w:pPr>
      <w:r>
        <w:rPr>
          <w:rFonts w:ascii="Times New Roman" w:cs="Times New Roman" w:eastAsia="Times New Roman" w:hAnsi="Times New Roman"/>
          <w:sz w:val="14"/>
          <w:szCs w:val="14"/>
          <w:i w:val="1"/>
          <w:iCs w:val="1"/>
          <w:color w:val="auto"/>
        </w:rPr>
        <w:t>Inspection of Books and Records</w:t>
      </w:r>
      <w:r>
        <w:rPr>
          <w:rFonts w:ascii="Times New Roman" w:cs="Times New Roman" w:eastAsia="Times New Roman" w:hAnsi="Times New Roman"/>
          <w:sz w:val="14"/>
          <w:szCs w:val="14"/>
          <w:color w:val="auto"/>
        </w:rPr>
        <w:t>. Holders of our ordinary shares will have no general right under Cayman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Islands law to inspect or obtain copies of our list of shareholders or our corporate records (other than our memorandum and articles of association, special resolutions, and our register of mortgages and charges). However, we will provide our shareholders with annual audited financial statements. See “Where You Can Find Additional Information.”</w:t>
      </w:r>
    </w:p>
    <w:p>
      <w:pPr>
        <w:spacing w:after="0" w:line="88" w:lineRule="exact"/>
        <w:rPr>
          <w:sz w:val="20"/>
          <w:szCs w:val="20"/>
          <w:color w:val="auto"/>
        </w:rPr>
      </w:pPr>
    </w:p>
    <w:p>
      <w:pPr>
        <w:jc w:val="both"/>
        <w:ind w:left="1280" w:right="1299"/>
        <w:spacing w:after="0" w:line="272" w:lineRule="auto"/>
        <w:rPr>
          <w:sz w:val="20"/>
          <w:szCs w:val="20"/>
          <w:color w:val="auto"/>
        </w:rPr>
      </w:pPr>
      <w:r>
        <w:rPr>
          <w:rFonts w:ascii="Times New Roman" w:cs="Times New Roman" w:eastAsia="Times New Roman" w:hAnsi="Times New Roman"/>
          <w:sz w:val="14"/>
          <w:szCs w:val="14"/>
          <w:i w:val="1"/>
          <w:iCs w:val="1"/>
          <w:color w:val="auto"/>
        </w:rPr>
        <w:t>Anti-Takeover Provisions</w:t>
      </w:r>
      <w:r>
        <w:rPr>
          <w:rFonts w:ascii="Times New Roman" w:cs="Times New Roman" w:eastAsia="Times New Roman" w:hAnsi="Times New Roman"/>
          <w:sz w:val="14"/>
          <w:szCs w:val="14"/>
          <w:color w:val="auto"/>
        </w:rPr>
        <w:t>. Some provisions of our memorandum and articles of association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discourage, delay or prevent a change of control of our company or management that shareholders may consider favorable, including provisions that:</w:t>
      </w:r>
    </w:p>
    <w:p>
      <w:pPr>
        <w:spacing w:after="0" w:line="60" w:lineRule="exact"/>
        <w:rPr>
          <w:sz w:val="20"/>
          <w:szCs w:val="20"/>
          <w:color w:val="auto"/>
        </w:rPr>
      </w:pPr>
    </w:p>
    <w:p>
      <w:pPr>
        <w:jc w:val="both"/>
        <w:ind w:left="1700" w:right="1299" w:hanging="141"/>
        <w:spacing w:after="0" w:line="270"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61"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ability of shareholders to requisition and convene general meetings of shareholders.</w:t>
      </w: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204470</wp:posOffset>
            </wp:positionV>
            <wp:extent cx="537972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62" w:lineRule="auto"/>
        <w:rPr>
          <w:sz w:val="20"/>
          <w:szCs w:val="20"/>
          <w:color w:val="auto"/>
        </w:rPr>
      </w:pPr>
      <w:r>
        <w:rPr>
          <w:rFonts w:ascii="Times New Roman" w:cs="Times New Roman" w:eastAsia="Times New Roman" w:hAnsi="Times New Roman"/>
          <w:sz w:val="14"/>
          <w:szCs w:val="14"/>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76" w:lineRule="exact"/>
        <w:rPr>
          <w:sz w:val="20"/>
          <w:szCs w:val="20"/>
          <w:color w:val="auto"/>
        </w:rPr>
      </w:pPr>
    </w:p>
    <w:p>
      <w:pPr>
        <w:jc w:val="both"/>
        <w:ind w:left="1280" w:right="1299"/>
        <w:spacing w:after="0" w:line="250" w:lineRule="auto"/>
        <w:rPr>
          <w:sz w:val="20"/>
          <w:szCs w:val="20"/>
          <w:color w:val="auto"/>
        </w:rPr>
      </w:pPr>
      <w:r>
        <w:rPr>
          <w:rFonts w:ascii="Times New Roman" w:cs="Times New Roman" w:eastAsia="Times New Roman" w:hAnsi="Times New Roman"/>
          <w:sz w:val="14"/>
          <w:szCs w:val="14"/>
          <w:i w:val="1"/>
          <w:iCs w:val="1"/>
          <w:color w:val="auto"/>
        </w:rPr>
        <w:t>Exempted Company</w:t>
      </w:r>
      <w:r>
        <w:rPr>
          <w:rFonts w:ascii="Times New Roman" w:cs="Times New Roman" w:eastAsia="Times New Roman" w:hAnsi="Times New Roman"/>
          <w:sz w:val="14"/>
          <w:szCs w:val="14"/>
          <w:color w:val="auto"/>
        </w:rPr>
        <w:t>. We are an exempted company incorporated with limited liability under the Companies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56" w:lineRule="exact"/>
        <w:rPr>
          <w:sz w:val="20"/>
          <w:szCs w:val="20"/>
          <w:color w:val="auto"/>
        </w:rPr>
      </w:pPr>
    </w:p>
    <w:p>
      <w:pPr>
        <w:ind w:left="1700" w:hanging="141"/>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have to file an annual return of its shareholders with the Registrar of Companies;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required to open its register of members for inspection;</w:t>
      </w:r>
    </w:p>
    <w:p>
      <w:pPr>
        <w:spacing w:after="0" w:line="8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have to hold an annual general meeting;</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issue negotiable or bearer shares or shares with no par value;</w:t>
      </w:r>
    </w:p>
    <w:p>
      <w:pPr>
        <w:spacing w:after="0" w:line="93"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obtain an undertaking against the imposition of any future taxation (such undertakings are usually given for 20 years in the first instance);</w:t>
      </w:r>
    </w:p>
    <w:p>
      <w:pPr>
        <w:spacing w:after="0" w:line="29" w:lineRule="exact"/>
        <w:rPr>
          <w:rFonts w:ascii="Times New Roman" w:cs="Times New Roman" w:eastAsia="Times New Roman" w:hAnsi="Times New Roman"/>
          <w:sz w:val="14"/>
          <w:szCs w:val="14"/>
          <w:color w:val="auto"/>
        </w:rPr>
      </w:pPr>
    </w:p>
    <w:p>
      <w:pPr>
        <w:ind w:left="1700" w:right="1299" w:hanging="141"/>
        <w:spacing w:after="0" w:line="263" w:lineRule="auto"/>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by way of continuation in another jurisdiction and be deregistered in the Cayman Islands;</w:t>
      </w:r>
    </w:p>
    <w:p>
      <w:pPr>
        <w:spacing w:after="0" w:line="248"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as a limited duration company; and</w:t>
      </w:r>
    </w:p>
    <w:p>
      <w:pPr>
        <w:spacing w:after="0" w:line="8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as a segregated portfolio company.</w:t>
      </w:r>
    </w:p>
    <w:p>
      <w:pPr>
        <w:spacing w:after="0" w:line="126"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81" w:lineRule="exact"/>
        <w:rPr>
          <w:sz w:val="20"/>
          <w:szCs w:val="20"/>
          <w:color w:val="auto"/>
        </w:rPr>
      </w:pPr>
    </w:p>
    <w:p>
      <w:pPr>
        <w:jc w:val="both"/>
        <w:ind w:left="1280" w:right="1299"/>
        <w:spacing w:after="0" w:line="245" w:lineRule="auto"/>
        <w:rPr>
          <w:sz w:val="20"/>
          <w:szCs w:val="20"/>
          <w:color w:val="auto"/>
        </w:rPr>
      </w:pPr>
      <w:r>
        <w:rPr>
          <w:rFonts w:ascii="Times New Roman" w:cs="Times New Roman" w:eastAsia="Times New Roman" w:hAnsi="Times New Roman"/>
          <w:sz w:val="14"/>
          <w:szCs w:val="14"/>
          <w:i w:val="1"/>
          <w:iCs w:val="1"/>
          <w:color w:val="auto"/>
        </w:rPr>
        <w:t>Exclusive Forum</w:t>
      </w:r>
      <w:r>
        <w:rPr>
          <w:rFonts w:ascii="Times New Roman" w:cs="Times New Roman" w:eastAsia="Times New Roman" w:hAnsi="Times New Roman"/>
          <w:sz w:val="14"/>
          <w:szCs w:val="14"/>
          <w:color w:val="auto"/>
        </w:rPr>
        <w:t>. Unless we consent in writing to the selection of an alternative forum, the United States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Any person or entity purchasing or otherwise acquiring any share or other securities in our company, or purchasing or otherwise acquiring American depositary shares issued pursuant to deposit agreements, shall be deemed to have notice of and consented to the provisions of this article. Without prejudice to the foregoing, if the provision in this article is held to be illegal, invalid or unenforceable under applicable law, the legality, validity or enforceability of the rest of articles of association shall not be affected and this article shall be interpreted and construed to the maximum extent possible to apply in the relevant jurisdiction with whatever modification or deletion may be necessary so as best to give effect to our intention.</w:t>
      </w:r>
    </w:p>
    <w:p>
      <w:pPr>
        <w:spacing w:after="0" w:line="3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Differences in Corporate Law</w:t>
      </w:r>
    </w:p>
    <w:p>
      <w:pPr>
        <w:spacing w:after="0" w:line="117" w:lineRule="exact"/>
        <w:rPr>
          <w:sz w:val="20"/>
          <w:szCs w:val="20"/>
          <w:color w:val="auto"/>
        </w:rPr>
      </w:pPr>
    </w:p>
    <w:p>
      <w:pPr>
        <w:jc w:val="both"/>
        <w:ind w:left="1280" w:right="1299"/>
        <w:spacing w:after="0" w:line="248" w:lineRule="auto"/>
        <w:rPr>
          <w:sz w:val="20"/>
          <w:szCs w:val="20"/>
          <w:color w:val="auto"/>
        </w:rPr>
      </w:pPr>
      <w:r>
        <w:rPr>
          <w:rFonts w:ascii="Times New Roman" w:cs="Times New Roman" w:eastAsia="Times New Roman" w:hAnsi="Times New Roman"/>
          <w:sz w:val="14"/>
          <w:szCs w:val="14"/>
          <w:color w:val="auto"/>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of the Cayman Islands applicable to us and the laws applicable to companies incorporated in the United States and their shareholders.</w:t>
      </w:r>
    </w:p>
    <w:p>
      <w:pPr>
        <w:spacing w:after="0" w:line="87"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i w:val="1"/>
          <w:iCs w:val="1"/>
          <w:color w:val="auto"/>
        </w:rPr>
        <w:t>Mergers and Similar Arrangements</w:t>
      </w:r>
      <w:r>
        <w:rPr>
          <w:rFonts w:ascii="Times New Roman" w:cs="Times New Roman" w:eastAsia="Times New Roman" w:hAnsi="Times New Roman"/>
          <w:sz w:val="14"/>
          <w:szCs w:val="14"/>
          <w:color w:val="auto"/>
        </w:rPr>
        <w:t>. The Companies Act permits mergers and consolidations between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 w:name="page33"/>
    <w:bookmarkEnd w:id="32"/>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47" w:lineRule="auto"/>
        <w:rPr>
          <w:sz w:val="20"/>
          <w:szCs w:val="20"/>
          <w:color w:val="auto"/>
        </w:rPr>
      </w:pPr>
      <w:r>
        <w:rPr>
          <w:rFonts w:ascii="Times New Roman" w:cs="Times New Roman" w:eastAsia="Times New Roman" w:hAnsi="Times New Roman"/>
          <w:sz w:val="14"/>
          <w:szCs w:val="14"/>
          <w:color w:val="auto"/>
        </w:rPr>
        <w:t>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255" w:lineRule="exact"/>
        <w:rPr>
          <w:sz w:val="20"/>
          <w:szCs w:val="20"/>
          <w:color w:val="auto"/>
        </w:rPr>
      </w:pPr>
    </w:p>
    <w:p>
      <w:pPr>
        <w:jc w:val="both"/>
        <w:ind w:left="1280" w:right="1299"/>
        <w:spacing w:after="0" w:line="250" w:lineRule="auto"/>
        <w:rPr>
          <w:sz w:val="20"/>
          <w:szCs w:val="20"/>
          <w:color w:val="auto"/>
        </w:rPr>
      </w:pPr>
      <w:r>
        <w:rPr>
          <w:rFonts w:ascii="Times New Roman" w:cs="Times New Roman" w:eastAsia="Times New Roman" w:hAnsi="Times New Roman"/>
          <w:sz w:val="14"/>
          <w:szCs w:val="14"/>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85" w:lineRule="exact"/>
        <w:rPr>
          <w:sz w:val="20"/>
          <w:szCs w:val="20"/>
          <w:color w:val="auto"/>
        </w:rPr>
      </w:pPr>
    </w:p>
    <w:p>
      <w:pPr>
        <w:jc w:val="both"/>
        <w:ind w:left="1280" w:right="1299"/>
        <w:spacing w:after="0" w:line="271" w:lineRule="auto"/>
        <w:rPr>
          <w:sz w:val="20"/>
          <w:szCs w:val="20"/>
          <w:color w:val="auto"/>
        </w:rPr>
      </w:pPr>
      <w:r>
        <w:rPr>
          <w:rFonts w:ascii="Times New Roman" w:cs="Times New Roman" w:eastAsia="Times New Roman" w:hAnsi="Times New Roman"/>
          <w:sz w:val="14"/>
          <w:szCs w:val="14"/>
          <w:color w:val="auto"/>
        </w:rPr>
        <w:t>The consent of each holder of a fixed or floating security interest over a constituent company is required unless this requirement is waived by a court in the Cayman Islands.</w:t>
      </w:r>
    </w:p>
    <w:p>
      <w:pPr>
        <w:spacing w:after="0" w:line="72" w:lineRule="exact"/>
        <w:rPr>
          <w:sz w:val="20"/>
          <w:szCs w:val="20"/>
          <w:color w:val="auto"/>
        </w:rPr>
      </w:pPr>
    </w:p>
    <w:p>
      <w:pPr>
        <w:jc w:val="both"/>
        <w:ind w:left="1280" w:right="1299"/>
        <w:spacing w:after="0" w:line="248" w:lineRule="auto"/>
        <w:rPr>
          <w:sz w:val="20"/>
          <w:szCs w:val="20"/>
          <w:color w:val="auto"/>
        </w:rPr>
      </w:pPr>
      <w:r>
        <w:rPr>
          <w:rFonts w:ascii="Times New Roman" w:cs="Times New Roman" w:eastAsia="Times New Roman" w:hAnsi="Times New Roman"/>
          <w:sz w:val="14"/>
          <w:szCs w:val="14"/>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89" w:lineRule="exact"/>
        <w:rPr>
          <w:sz w:val="20"/>
          <w:szCs w:val="20"/>
          <w:color w:val="auto"/>
        </w:rPr>
      </w:pPr>
    </w:p>
    <w:p>
      <w:pPr>
        <w:jc w:val="both"/>
        <w:ind w:left="1280" w:right="1299"/>
        <w:spacing w:after="0" w:line="247" w:lineRule="auto"/>
        <w:rPr>
          <w:sz w:val="20"/>
          <w:szCs w:val="20"/>
          <w:color w:val="auto"/>
        </w:rPr>
      </w:pPr>
      <w:r>
        <w:rPr>
          <w:rFonts w:ascii="Times New Roman" w:cs="Times New Roman" w:eastAsia="Times New Roman" w:hAnsi="Times New Roman"/>
          <w:sz w:val="14"/>
          <w:szCs w:val="14"/>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225" w:lineRule="exact"/>
        <w:rPr>
          <w:sz w:val="20"/>
          <w:szCs w:val="20"/>
          <w:color w:val="auto"/>
        </w:rPr>
      </w:pPr>
    </w:p>
    <w:p>
      <w:pPr>
        <w:ind w:left="1700" w:hanging="141"/>
        <w:spacing w:after="0"/>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statutory provisions as to the required majority vote have been met;</w:t>
      </w:r>
    </w:p>
    <w:p>
      <w:pPr>
        <w:spacing w:after="0" w:line="93" w:lineRule="exact"/>
        <w:rPr>
          <w:rFonts w:ascii="Times New Roman" w:cs="Times New Roman" w:eastAsia="Times New Roman" w:hAnsi="Times New Roman"/>
          <w:sz w:val="14"/>
          <w:szCs w:val="14"/>
          <w:color w:val="auto"/>
        </w:rPr>
      </w:pPr>
    </w:p>
    <w:p>
      <w:pPr>
        <w:jc w:val="both"/>
        <w:ind w:left="1700" w:right="1299" w:hanging="141"/>
        <w:spacing w:after="0" w:line="280" w:lineRule="auto"/>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have been fairly represented at the meeting in question and the statutory majority are acting bona fide without coercion of the minority to promote interests adverse to those of the class;</w:t>
      </w:r>
    </w:p>
    <w:p>
      <w:pPr>
        <w:spacing w:after="0" w:line="21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arrangement is such that may be reasonably approved by an intelligent and honest man of that class acting in respect of his interest; and</w:t>
      </w:r>
    </w:p>
    <w:p>
      <w:pPr>
        <w:spacing w:after="0" w:line="3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arrangement is not one that would more properly be sanctioned under some other provision of the Companies Act.</w:t>
      </w:r>
    </w:p>
    <w:p>
      <w:pPr>
        <w:spacing w:after="0" w:line="61" w:lineRule="exact"/>
        <w:rPr>
          <w:sz w:val="20"/>
          <w:szCs w:val="20"/>
          <w:color w:val="auto"/>
        </w:rPr>
      </w:pPr>
    </w:p>
    <w:p>
      <w:pPr>
        <w:jc w:val="both"/>
        <w:ind w:left="1280" w:right="1299"/>
        <w:spacing w:after="0" w:line="248" w:lineRule="auto"/>
        <w:rPr>
          <w:sz w:val="20"/>
          <w:szCs w:val="20"/>
          <w:color w:val="auto"/>
        </w:rPr>
      </w:pPr>
      <w:r>
        <w:rPr>
          <w:rFonts w:ascii="Times New Roman" w:cs="Times New Roman" w:eastAsia="Times New Roman" w:hAnsi="Times New Roman"/>
          <w:sz w:val="14"/>
          <w:szCs w:val="14"/>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89" w:lineRule="exact"/>
        <w:rPr>
          <w:sz w:val="20"/>
          <w:szCs w:val="20"/>
          <w:color w:val="auto"/>
        </w:rPr>
      </w:pPr>
    </w:p>
    <w:p>
      <w:pPr>
        <w:jc w:val="both"/>
        <w:ind w:left="1280" w:right="1299"/>
        <w:spacing w:after="0" w:line="271" w:lineRule="auto"/>
        <w:rPr>
          <w:sz w:val="20"/>
          <w:szCs w:val="20"/>
          <w:color w:val="auto"/>
        </w:rPr>
      </w:pPr>
      <w:r>
        <w:rPr>
          <w:rFonts w:ascii="Times New Roman" w:cs="Times New Roman" w:eastAsia="Times New Roman" w:hAnsi="Times New Roman"/>
          <w:sz w:val="14"/>
          <w:szCs w:val="14"/>
          <w:color w:val="auto"/>
        </w:rPr>
        <w:t>If an arrangement and reconstruction by way of scheme of arrangement is thus approved and sanctioned, or if a tender offer is made and accepted, in accordance with the foregoing statutory procedures, a dissenting</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 w:name="page34"/>
    <w:bookmarkEnd w:id="33"/>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62" w:lineRule="auto"/>
        <w:rPr>
          <w:sz w:val="20"/>
          <w:szCs w:val="20"/>
          <w:color w:val="auto"/>
        </w:rPr>
      </w:pPr>
      <w:r>
        <w:rPr>
          <w:rFonts w:ascii="Times New Roman" w:cs="Times New Roman" w:eastAsia="Times New Roman" w:hAnsi="Times New Roman"/>
          <w:sz w:val="14"/>
          <w:szCs w:val="14"/>
          <w:color w:val="auto"/>
        </w:rPr>
        <w:t>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76" w:lineRule="exact"/>
        <w:rPr>
          <w:sz w:val="20"/>
          <w:szCs w:val="20"/>
          <w:color w:val="auto"/>
        </w:rPr>
      </w:pPr>
    </w:p>
    <w:p>
      <w:pPr>
        <w:jc w:val="both"/>
        <w:ind w:left="1280" w:right="1299"/>
        <w:spacing w:after="0" w:line="247" w:lineRule="auto"/>
        <w:rPr>
          <w:sz w:val="20"/>
          <w:szCs w:val="20"/>
          <w:color w:val="auto"/>
        </w:rPr>
      </w:pPr>
      <w:r>
        <w:rPr>
          <w:rFonts w:ascii="Times New Roman" w:cs="Times New Roman" w:eastAsia="Times New Roman" w:hAnsi="Times New Roman"/>
          <w:sz w:val="14"/>
          <w:szCs w:val="14"/>
          <w:i w:val="1"/>
          <w:iCs w:val="1"/>
          <w:color w:val="auto"/>
        </w:rPr>
        <w:t>Shareholders’ Suits</w:t>
      </w:r>
      <w:r>
        <w:rPr>
          <w:rFonts w:ascii="Times New Roman" w:cs="Times New Roman" w:eastAsia="Times New Roman" w:hAnsi="Times New Roman"/>
          <w:sz w:val="14"/>
          <w:szCs w:val="14"/>
          <w:color w:val="auto"/>
        </w:rPr>
        <w:t>. In principle, we will normally be the proper plaintiff to sue for a wrong done to us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 a company acts or proposes to act illegally or ultra vires (and is therefore incapable of ratification by the shareholder);</w:t>
      </w:r>
    </w:p>
    <w:p>
      <w:pPr>
        <w:spacing w:after="0" w:line="223" w:lineRule="exact"/>
        <w:rPr>
          <w:sz w:val="20"/>
          <w:szCs w:val="20"/>
          <w:color w:val="auto"/>
        </w:rPr>
      </w:pPr>
    </w:p>
    <w:p>
      <w:pPr>
        <w:ind w:left="1700" w:right="1299" w:hanging="141"/>
        <w:spacing w:after="0" w:line="287" w:lineRule="auto"/>
        <w:tabs>
          <w:tab w:leader="none" w:pos="1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 complained of, although not ultra vires, could only be effected duly if authorized by more than a simple majority vote that has not been obtained; and</w:t>
      </w:r>
    </w:p>
    <w:p>
      <w:pPr>
        <w:spacing w:after="0" w:line="39"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who control the company are perpetrating a “fraud on the minority.”</w:t>
      </w:r>
    </w:p>
    <w:p>
      <w:pPr>
        <w:spacing w:after="0" w:line="124" w:lineRule="exact"/>
        <w:rPr>
          <w:sz w:val="20"/>
          <w:szCs w:val="20"/>
          <w:color w:val="auto"/>
        </w:rPr>
      </w:pPr>
    </w:p>
    <w:p>
      <w:pPr>
        <w:jc w:val="both"/>
        <w:ind w:left="1280" w:right="1299"/>
        <w:spacing w:after="0" w:line="245" w:lineRule="auto"/>
        <w:rPr>
          <w:sz w:val="20"/>
          <w:szCs w:val="20"/>
          <w:color w:val="auto"/>
        </w:rPr>
      </w:pPr>
      <w:r>
        <w:rPr>
          <w:rFonts w:ascii="Times New Roman" w:cs="Times New Roman" w:eastAsia="Times New Roman" w:hAnsi="Times New Roman"/>
          <w:sz w:val="14"/>
          <w:szCs w:val="14"/>
          <w:i w:val="1"/>
          <w:iCs w:val="1"/>
          <w:color w:val="auto"/>
        </w:rPr>
        <w:t>Indemnification of Directors and Executive Officers and Limitation of Liability</w:t>
      </w:r>
      <w:r>
        <w:rPr>
          <w:rFonts w:ascii="Times New Roman" w:cs="Times New Roman" w:eastAsia="Times New Roman" w:hAnsi="Times New Roman"/>
          <w:sz w:val="14"/>
          <w:szCs w:val="14"/>
          <w:color w:val="auto"/>
        </w:rPr>
        <w:t>. Cayman Islands law does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255" w:lineRule="exact"/>
        <w:rPr>
          <w:sz w:val="20"/>
          <w:szCs w:val="20"/>
          <w:color w:val="auto"/>
        </w:rPr>
      </w:pPr>
    </w:p>
    <w:p>
      <w:pPr>
        <w:jc w:val="both"/>
        <w:ind w:left="1280" w:right="1299"/>
        <w:spacing w:after="0" w:line="262" w:lineRule="auto"/>
        <w:rPr>
          <w:sz w:val="20"/>
          <w:szCs w:val="20"/>
          <w:color w:val="auto"/>
        </w:rPr>
      </w:pPr>
      <w:r>
        <w:rPr>
          <w:rFonts w:ascii="Times New Roman" w:cs="Times New Roman" w:eastAsia="Times New Roman" w:hAnsi="Times New Roman"/>
          <w:sz w:val="14"/>
          <w:szCs w:val="14"/>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78" w:lineRule="exact"/>
        <w:rPr>
          <w:sz w:val="20"/>
          <w:szCs w:val="20"/>
          <w:color w:val="auto"/>
        </w:rPr>
      </w:pPr>
    </w:p>
    <w:p>
      <w:pPr>
        <w:jc w:val="both"/>
        <w:ind w:left="1280" w:right="1299"/>
        <w:spacing w:after="0" w:line="256"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47" w:lineRule="exact"/>
        <w:rPr>
          <w:sz w:val="20"/>
          <w:szCs w:val="20"/>
          <w:color w:val="auto"/>
        </w:rPr>
      </w:pPr>
    </w:p>
    <w:p>
      <w:pPr>
        <w:jc w:val="both"/>
        <w:ind w:left="1280" w:right="1299"/>
        <w:spacing w:after="0" w:line="244" w:lineRule="auto"/>
        <w:rPr>
          <w:sz w:val="20"/>
          <w:szCs w:val="20"/>
          <w:color w:val="auto"/>
        </w:rPr>
      </w:pPr>
      <w:r>
        <w:rPr>
          <w:rFonts w:ascii="Times New Roman" w:cs="Times New Roman" w:eastAsia="Times New Roman" w:hAnsi="Times New Roman"/>
          <w:sz w:val="14"/>
          <w:szCs w:val="14"/>
          <w:i w:val="1"/>
          <w:iCs w:val="1"/>
          <w:color w:val="auto"/>
        </w:rPr>
        <w:t>Directors’ Fiduciary Duties</w:t>
      </w:r>
      <w:r>
        <w:rPr>
          <w:rFonts w:ascii="Times New Roman" w:cs="Times New Roman" w:eastAsia="Times New Roman" w:hAnsi="Times New Roman"/>
          <w:sz w:val="14"/>
          <w:szCs w:val="14"/>
          <w:color w:val="auto"/>
        </w:rPr>
        <w:t>. Under Delaware corporate law, a director of a Delaware corporation has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259" w:lineRule="exact"/>
        <w:rPr>
          <w:sz w:val="20"/>
          <w:szCs w:val="20"/>
          <w:color w:val="auto"/>
        </w:rPr>
      </w:pPr>
    </w:p>
    <w:p>
      <w:pPr>
        <w:jc w:val="both"/>
        <w:ind w:left="1280" w:right="1299"/>
        <w:spacing w:after="0" w:line="262" w:lineRule="auto"/>
        <w:rPr>
          <w:sz w:val="20"/>
          <w:szCs w:val="20"/>
          <w:color w:val="auto"/>
        </w:rPr>
      </w:pPr>
      <w:r>
        <w:rPr>
          <w:rFonts w:ascii="Times New Roman" w:cs="Times New Roman" w:eastAsia="Times New Roman" w:hAnsi="Times New Roman"/>
          <w:sz w:val="14"/>
          <w:szCs w:val="14"/>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4" w:name="page35"/>
    <w:bookmarkEnd w:id="34"/>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47" w:lineRule="auto"/>
        <w:rPr>
          <w:sz w:val="20"/>
          <w:szCs w:val="20"/>
          <w:color w:val="auto"/>
        </w:rPr>
      </w:pPr>
      <w:r>
        <w:rPr>
          <w:rFonts w:ascii="Times New Roman" w:cs="Times New Roman" w:eastAsia="Times New Roman" w:hAnsi="Times New Roman"/>
          <w:sz w:val="14"/>
          <w:szCs w:val="14"/>
          <w:color w:val="auto"/>
        </w:rPr>
        <w:t>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ectPr>
          <w:pgSz w:w="11900" w:h="16838" w:orient="portrait"/>
          <w:cols w:equalWidth="0" w:num="1">
            <w:col w:w="9019"/>
          </w:cols>
          <w:pgMar w:left="1440" w:top="108" w:right="1440" w:bottom="1440" w:gutter="0" w:footer="0" w:header="0"/>
        </w:sectPr>
      </w:pPr>
    </w:p>
    <w:p>
      <w:pPr>
        <w:spacing w:after="0" w:line="89" w:lineRule="exact"/>
        <w:rPr>
          <w:sz w:val="20"/>
          <w:szCs w:val="20"/>
          <w:color w:val="auto"/>
        </w:rPr>
      </w:pPr>
    </w:p>
    <w:p>
      <w:pPr>
        <w:ind w:left="1280"/>
        <w:spacing w:after="0" w:line="257" w:lineRule="auto"/>
        <w:rPr>
          <w:sz w:val="20"/>
          <w:szCs w:val="20"/>
          <w:color w:val="auto"/>
        </w:rPr>
      </w:pPr>
      <w:r>
        <w:rPr>
          <w:rFonts w:ascii="Times New Roman" w:cs="Times New Roman" w:eastAsia="Times New Roman" w:hAnsi="Times New Roman"/>
          <w:sz w:val="14"/>
          <w:szCs w:val="14"/>
          <w:i w:val="1"/>
          <w:iCs w:val="1"/>
          <w:color w:val="auto"/>
        </w:rPr>
        <w:t>Shareholder Action by Written Consent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eliminate the right of shareholders to</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right"/>
        <w:ind w:right="1299"/>
        <w:spacing w:after="0" w:line="255" w:lineRule="auto"/>
        <w:rPr>
          <w:sz w:val="20"/>
          <w:szCs w:val="20"/>
          <w:color w:val="auto"/>
        </w:rPr>
      </w:pPr>
      <w:r>
        <w:rPr>
          <w:rFonts w:ascii="Times New Roman" w:cs="Times New Roman" w:eastAsia="Times New Roman" w:hAnsi="Times New Roman"/>
          <w:sz w:val="14"/>
          <w:szCs w:val="14"/>
          <w:color w:val="auto"/>
        </w:rPr>
        <w:t>Under the Delaware General Corporation Law, a corporation may act  by  written  consent  by  amendment  to  its  certificate  of</w:t>
      </w:r>
    </w:p>
    <w:p>
      <w:pPr>
        <w:spacing w:after="0" w:line="1" w:lineRule="exact"/>
        <w:rPr>
          <w:sz w:val="20"/>
          <w:szCs w:val="20"/>
          <w:color w:val="auto"/>
        </w:rPr>
      </w:pPr>
    </w:p>
    <w:p>
      <w:pPr>
        <w:sectPr>
          <w:pgSz w:w="11900" w:h="16838" w:orient="portrait"/>
          <w:cols w:equalWidth="0" w:num="2">
            <w:col w:w="3760" w:space="40"/>
            <w:col w:w="5219"/>
          </w:cols>
          <w:pgMar w:left="1440" w:top="108" w:right="1440" w:bottom="1440" w:gutter="0" w:footer="0" w:header="0"/>
          <w:type w:val="continuous"/>
        </w:sectPr>
      </w:pPr>
    </w:p>
    <w:p>
      <w:pPr>
        <w:jc w:val="both"/>
        <w:ind w:left="1280" w:right="1299"/>
        <w:spacing w:after="0" w:line="247" w:lineRule="auto"/>
        <w:rPr>
          <w:sz w:val="20"/>
          <w:szCs w:val="20"/>
          <w:color w:val="auto"/>
        </w:rPr>
      </w:pPr>
      <w:r>
        <w:rPr>
          <w:rFonts w:ascii="Times New Roman" w:cs="Times New Roman" w:eastAsia="Times New Roman" w:hAnsi="Times New Roman"/>
          <w:sz w:val="14"/>
          <w:szCs w:val="14"/>
          <w:color w:val="auto"/>
        </w:rPr>
        <w:t>incorporation. Cayman Islands law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86" w:lineRule="exact"/>
        <w:rPr>
          <w:sz w:val="20"/>
          <w:szCs w:val="20"/>
          <w:color w:val="auto"/>
        </w:rPr>
      </w:pPr>
    </w:p>
    <w:p>
      <w:pPr>
        <w:jc w:val="both"/>
        <w:ind w:left="1280" w:right="1299"/>
        <w:spacing w:after="0" w:line="251" w:lineRule="auto"/>
        <w:rPr>
          <w:sz w:val="20"/>
          <w:szCs w:val="20"/>
          <w:color w:val="auto"/>
        </w:rPr>
      </w:pPr>
      <w:r>
        <w:rPr>
          <w:rFonts w:ascii="Times New Roman" w:cs="Times New Roman" w:eastAsia="Times New Roman" w:hAnsi="Times New Roman"/>
          <w:sz w:val="14"/>
          <w:szCs w:val="14"/>
          <w:i w:val="1"/>
          <w:iCs w:val="1"/>
          <w:color w:val="auto"/>
        </w:rPr>
        <w:t>Shareholder Proposals</w:t>
      </w:r>
      <w:r>
        <w:rPr>
          <w:rFonts w:ascii="Times New Roman" w:cs="Times New Roman" w:eastAsia="Times New Roman" w:hAnsi="Times New Roman"/>
          <w:sz w:val="14"/>
          <w:szCs w:val="14"/>
          <w:color w:val="auto"/>
        </w:rPr>
        <w:t>. Under the Delaware General Corporation Law, a shareholder has the right to put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52" w:lineRule="exact"/>
        <w:rPr>
          <w:sz w:val="20"/>
          <w:szCs w:val="20"/>
          <w:color w:val="auto"/>
        </w:rPr>
      </w:pPr>
    </w:p>
    <w:p>
      <w:pPr>
        <w:jc w:val="both"/>
        <w:ind w:left="1280" w:right="1299"/>
        <w:spacing w:after="0" w:line="245" w:lineRule="auto"/>
        <w:rPr>
          <w:sz w:val="20"/>
          <w:szCs w:val="20"/>
          <w:color w:val="auto"/>
        </w:rPr>
      </w:pPr>
      <w:r>
        <w:rPr>
          <w:rFonts w:ascii="Times New Roman" w:cs="Times New Roman" w:eastAsia="Times New Roman" w:hAnsi="Times New Roman"/>
          <w:sz w:val="14"/>
          <w:szCs w:val="14"/>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who together hold shares which carry in aggregate not less than a majority of all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256" w:lineRule="exact"/>
        <w:rPr>
          <w:sz w:val="20"/>
          <w:szCs w:val="20"/>
          <w:color w:val="auto"/>
        </w:rPr>
      </w:pPr>
    </w:p>
    <w:p>
      <w:pPr>
        <w:jc w:val="both"/>
        <w:ind w:left="1280" w:right="1299"/>
        <w:spacing w:after="0" w:line="247" w:lineRule="auto"/>
        <w:rPr>
          <w:sz w:val="20"/>
          <w:szCs w:val="20"/>
          <w:color w:val="auto"/>
        </w:rPr>
      </w:pPr>
      <w:r>
        <w:rPr>
          <w:rFonts w:ascii="Times New Roman" w:cs="Times New Roman" w:eastAsia="Times New Roman" w:hAnsi="Times New Roman"/>
          <w:sz w:val="14"/>
          <w:szCs w:val="14"/>
          <w:i w:val="1"/>
          <w:iCs w:val="1"/>
          <w:color w:val="auto"/>
        </w:rPr>
        <w:t>Cumulative Voting</w:t>
      </w:r>
      <w:r>
        <w:rPr>
          <w:rFonts w:ascii="Times New Roman" w:cs="Times New Roman" w:eastAsia="Times New Roman" w:hAnsi="Times New Roman"/>
          <w:sz w:val="14"/>
          <w:szCs w:val="14"/>
          <w:color w:val="auto"/>
        </w:rPr>
        <w:t>. Under the Delaware General Corporation Law, cumulative voting for elections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87" w:lineRule="exact"/>
        <w:rPr>
          <w:sz w:val="20"/>
          <w:szCs w:val="20"/>
          <w:color w:val="auto"/>
        </w:rPr>
      </w:pPr>
    </w:p>
    <w:p>
      <w:pPr>
        <w:jc w:val="both"/>
        <w:ind w:left="1280" w:right="1299"/>
        <w:spacing w:after="0" w:line="247" w:lineRule="auto"/>
        <w:rPr>
          <w:sz w:val="20"/>
          <w:szCs w:val="20"/>
          <w:color w:val="auto"/>
        </w:rPr>
      </w:pPr>
      <w:r>
        <w:rPr>
          <w:rFonts w:ascii="Times New Roman" w:cs="Times New Roman" w:eastAsia="Times New Roman" w:hAnsi="Times New Roman"/>
          <w:sz w:val="14"/>
          <w:szCs w:val="14"/>
          <w:i w:val="1"/>
          <w:iCs w:val="1"/>
          <w:color w:val="auto"/>
        </w:rPr>
        <w:t>Removal of Directors</w:t>
      </w:r>
      <w:r>
        <w:rPr>
          <w:rFonts w:ascii="Times New Roman" w:cs="Times New Roman" w:eastAsia="Times New Roman" w:hAnsi="Times New Roman"/>
          <w:sz w:val="14"/>
          <w:szCs w:val="14"/>
          <w:color w:val="auto"/>
        </w:rPr>
        <w:t>. Under the Delaware General Corporation Law, a director of a corporation with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(other than a Founder Entity Appointed Director as defined in our memorandum and articles of association). A director will also cease to be a director if he (i) becomes prohibited by applicable law from being a director; (ii) becomes bankrupt or makes any arrangement or composition with his creditors; (iii) dies or is found to be or becomes of unsound mind; (iv) resigns his office by notice in writing; (v) without special leave of absence from our board, is absent from meetings of our board for three consecutive meetings and our board resolves that his office be vacated; or (vi) is removed from office pursuant to any other provision of our articles of association.</w:t>
      </w:r>
    </w:p>
    <w:p>
      <w:pPr>
        <w:spacing w:after="0" w:line="255" w:lineRule="exact"/>
        <w:rPr>
          <w:sz w:val="20"/>
          <w:szCs w:val="20"/>
          <w:color w:val="auto"/>
        </w:rPr>
      </w:pPr>
    </w:p>
    <w:p>
      <w:pPr>
        <w:jc w:val="both"/>
        <w:ind w:left="1280" w:right="1299"/>
        <w:spacing w:after="0" w:line="274" w:lineRule="auto"/>
        <w:rPr>
          <w:sz w:val="20"/>
          <w:szCs w:val="20"/>
          <w:color w:val="auto"/>
        </w:rPr>
      </w:pPr>
      <w:r>
        <w:rPr>
          <w:rFonts w:ascii="Times New Roman" w:cs="Times New Roman" w:eastAsia="Times New Roman" w:hAnsi="Times New Roman"/>
          <w:sz w:val="14"/>
          <w:szCs w:val="14"/>
          <w:i w:val="1"/>
          <w:iCs w:val="1"/>
          <w:color w:val="auto"/>
        </w:rPr>
        <w:t>Transactions with Interested Shareholders</w:t>
      </w:r>
      <w:r>
        <w:rPr>
          <w:rFonts w:ascii="Times New Roman" w:cs="Times New Roman" w:eastAsia="Times New Roman" w:hAnsi="Times New Roman"/>
          <w:sz w:val="14"/>
          <w:szCs w:val="14"/>
          <w:color w:val="auto"/>
        </w:rPr>
        <w:t>. The Delaware General Corporation Law contains a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combination statute applicable to Delaware corporations whereby, unless the corporation has specifically</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35" w:name="page36"/>
    <w:bookmarkEnd w:id="35"/>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46" w:lineRule="auto"/>
        <w:rPr>
          <w:sz w:val="20"/>
          <w:szCs w:val="20"/>
          <w:color w:val="auto"/>
        </w:rPr>
      </w:pPr>
      <w:r>
        <w:rPr>
          <w:rFonts w:ascii="Times New Roman" w:cs="Times New Roman" w:eastAsia="Times New Roman" w:hAnsi="Times New Roman"/>
          <w:sz w:val="14"/>
          <w:szCs w:val="14"/>
          <w:color w:val="auto"/>
        </w:rPr>
        <w:t>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 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92"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81" w:lineRule="exact"/>
        <w:rPr>
          <w:sz w:val="20"/>
          <w:szCs w:val="20"/>
          <w:color w:val="auto"/>
        </w:rPr>
      </w:pPr>
    </w:p>
    <w:p>
      <w:pPr>
        <w:jc w:val="both"/>
        <w:ind w:left="1280" w:right="1299"/>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Dissolution; Winding up </w:t>
      </w:r>
      <w:r>
        <w:rPr>
          <w:rFonts w:ascii="Times New Roman" w:cs="Times New Roman" w:eastAsia="Times New Roman" w:hAnsi="Times New Roman"/>
          <w:sz w:val="14"/>
          <w:szCs w:val="14"/>
          <w:color w:val="auto"/>
        </w:rPr>
        <w:t>. Under the Delaware General Corporation Law, unless the board of directors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253" w:lineRule="exact"/>
        <w:rPr>
          <w:sz w:val="20"/>
          <w:szCs w:val="20"/>
          <w:color w:val="auto"/>
        </w:rPr>
      </w:pPr>
    </w:p>
    <w:p>
      <w:pPr>
        <w:jc w:val="both"/>
        <w:ind w:left="1280" w:right="1299"/>
        <w:spacing w:after="0" w:line="248" w:lineRule="auto"/>
        <w:rPr>
          <w:sz w:val="20"/>
          <w:szCs w:val="20"/>
          <w:color w:val="auto"/>
        </w:rPr>
      </w:pPr>
      <w:r>
        <w:rPr>
          <w:rFonts w:ascii="Times New Roman" w:cs="Times New Roman" w:eastAsia="Times New Roman" w:hAnsi="Times New Roman"/>
          <w:sz w:val="14"/>
          <w:szCs w:val="14"/>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87" w:lineRule="exact"/>
        <w:rPr>
          <w:sz w:val="20"/>
          <w:szCs w:val="20"/>
          <w:color w:val="auto"/>
        </w:rPr>
      </w:pPr>
    </w:p>
    <w:p>
      <w:pPr>
        <w:jc w:val="both"/>
        <w:ind w:left="1280" w:right="1299"/>
        <w:spacing w:after="0" w:line="290" w:lineRule="auto"/>
        <w:rPr>
          <w:sz w:val="20"/>
          <w:szCs w:val="20"/>
          <w:color w:val="auto"/>
        </w:rPr>
      </w:pPr>
      <w:r>
        <w:rPr>
          <w:rFonts w:ascii="Times New Roman" w:cs="Times New Roman" w:eastAsia="Times New Roman" w:hAnsi="Times New Roman"/>
          <w:sz w:val="14"/>
          <w:szCs w:val="14"/>
          <w:i w:val="1"/>
          <w:iCs w:val="1"/>
          <w:color w:val="auto"/>
        </w:rPr>
        <w:t>Restructuring</w:t>
      </w:r>
      <w:r>
        <w:rPr>
          <w:rFonts w:ascii="Times New Roman" w:cs="Times New Roman" w:eastAsia="Times New Roman" w:hAnsi="Times New Roman"/>
          <w:sz w:val="14"/>
          <w:szCs w:val="14"/>
          <w:color w:val="auto"/>
        </w:rPr>
        <w:t>. A company may present a petition to the Grand Court of the Cayman Islands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appointment of a restructuring officer on the grounds that the company:</w:t>
      </w:r>
    </w:p>
    <w:p>
      <w:pPr>
        <w:spacing w:after="0" w:line="59" w:lineRule="exact"/>
        <w:rPr>
          <w:sz w:val="20"/>
          <w:szCs w:val="20"/>
          <w:color w:val="auto"/>
        </w:rPr>
      </w:pPr>
    </w:p>
    <w:p>
      <w:pPr>
        <w:ind w:left="1840" w:hanging="281"/>
        <w:spacing w:after="0"/>
        <w:tabs>
          <w:tab w:leader="none" w:pos="1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or is likely to become unable to pay its debts; and</w:t>
      </w:r>
    </w:p>
    <w:p>
      <w:pPr>
        <w:spacing w:after="0" w:line="115" w:lineRule="exact"/>
        <w:rPr>
          <w:rFonts w:ascii="Times New Roman" w:cs="Times New Roman" w:eastAsia="Times New Roman" w:hAnsi="Times New Roman"/>
          <w:sz w:val="14"/>
          <w:szCs w:val="14"/>
          <w:color w:val="auto"/>
        </w:rPr>
      </w:pPr>
    </w:p>
    <w:p>
      <w:pPr>
        <w:ind w:left="1840" w:right="1299" w:hanging="281"/>
        <w:spacing w:after="0" w:line="287" w:lineRule="auto"/>
        <w:tabs>
          <w:tab w:leader="none" w:pos="1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intends to present a compromise or arrangement to its creditors (or classes thereof) either pursuant to the Companies Act, the law of a foreign country or by way of a consensual restructuring.</w:t>
      </w:r>
    </w:p>
    <w:p>
      <w:pPr>
        <w:spacing w:after="0" w:line="72" w:lineRule="exact"/>
        <w:rPr>
          <w:sz w:val="20"/>
          <w:szCs w:val="20"/>
          <w:color w:val="auto"/>
        </w:rPr>
      </w:pPr>
    </w:p>
    <w:p>
      <w:pPr>
        <w:jc w:val="both"/>
        <w:ind w:left="1280" w:right="1299"/>
        <w:spacing w:after="0" w:line="245" w:lineRule="auto"/>
        <w:rPr>
          <w:sz w:val="20"/>
          <w:szCs w:val="20"/>
          <w:color w:val="auto"/>
        </w:rPr>
      </w:pPr>
      <w:r>
        <w:rPr>
          <w:rFonts w:ascii="Times New Roman" w:cs="Times New Roman" w:eastAsia="Times New Roman" w:hAnsi="Times New Roman"/>
          <w:sz w:val="14"/>
          <w:szCs w:val="14"/>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256" w:lineRule="exact"/>
        <w:rPr>
          <w:sz w:val="20"/>
          <w:szCs w:val="20"/>
          <w:color w:val="auto"/>
        </w:rPr>
      </w:pPr>
    </w:p>
    <w:p>
      <w:pPr>
        <w:jc w:val="both"/>
        <w:ind w:left="1280" w:right="1299"/>
        <w:spacing w:after="0" w:line="246" w:lineRule="auto"/>
        <w:rPr>
          <w:sz w:val="20"/>
          <w:szCs w:val="20"/>
          <w:color w:val="auto"/>
        </w:rPr>
      </w:pPr>
      <w:r>
        <w:rPr>
          <w:rFonts w:ascii="Times New Roman" w:cs="Times New Roman" w:eastAsia="Times New Roman" w:hAnsi="Times New Roman"/>
          <w:sz w:val="14"/>
          <w:szCs w:val="14"/>
          <w:i w:val="1"/>
          <w:iCs w:val="1"/>
          <w:color w:val="auto"/>
        </w:rPr>
        <w:t>Variation of Rights of Shares</w:t>
      </w:r>
      <w:r>
        <w:rPr>
          <w:rFonts w:ascii="Times New Roman" w:cs="Times New Roman" w:eastAsia="Times New Roman" w:hAnsi="Times New Roman"/>
          <w:sz w:val="14"/>
          <w:szCs w:val="14"/>
          <w:color w:val="auto"/>
        </w:rPr>
        <w:t>. Under the Delaware General Corporation Law, a corporation may vary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 of a class of shares with the approval of a majority of the outstanding shares of such class, unless the certificate of incorporation provides otherwise. Under our memorandum and articles of association,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at least two -thirds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204470</wp:posOffset>
            </wp:positionV>
            <wp:extent cx="537972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6" w:name="page37"/>
    <w:bookmarkEnd w:id="36"/>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color w:val="auto"/>
        </w:rPr>
        <w:t>pari passu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81"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i w:val="1"/>
          <w:iCs w:val="1"/>
          <w:color w:val="auto"/>
        </w:rPr>
        <w:t>Amendment of Governing Documents</w:t>
      </w:r>
      <w:r>
        <w:rPr>
          <w:rFonts w:ascii="Times New Roman" w:cs="Times New Roman" w:eastAsia="Times New Roman" w:hAnsi="Times New Roman"/>
          <w:sz w:val="14"/>
          <w:szCs w:val="14"/>
          <w:color w:val="auto"/>
        </w:rPr>
        <w:t>. Under the Delaware General Corporation Law, a corporation’s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spacing w:after="0" w:line="83" w:lineRule="exact"/>
        <w:rPr>
          <w:sz w:val="20"/>
          <w:szCs w:val="20"/>
          <w:color w:val="auto"/>
        </w:rPr>
      </w:pPr>
    </w:p>
    <w:p>
      <w:pPr>
        <w:jc w:val="both"/>
        <w:ind w:left="1280" w:right="1299"/>
        <w:spacing w:after="0" w:line="255" w:lineRule="auto"/>
        <w:rPr>
          <w:sz w:val="20"/>
          <w:szCs w:val="20"/>
          <w:color w:val="auto"/>
        </w:rPr>
      </w:pPr>
      <w:r>
        <w:rPr>
          <w:rFonts w:ascii="Times New Roman" w:cs="Times New Roman" w:eastAsia="Times New Roman" w:hAnsi="Times New Roman"/>
          <w:sz w:val="14"/>
          <w:szCs w:val="14"/>
          <w:i w:val="1"/>
          <w:iCs w:val="1"/>
          <w:color w:val="auto"/>
        </w:rPr>
        <w:t>Rights of Non- resident or Foreign Shareholders</w:t>
      </w:r>
      <w:r>
        <w:rPr>
          <w:rFonts w:ascii="Times New Roman" w:cs="Times New Roman" w:eastAsia="Times New Roman" w:hAnsi="Times New Roman"/>
          <w:sz w:val="14"/>
          <w:szCs w:val="14"/>
          <w:color w:val="auto"/>
        </w:rPr>
        <w:t>. There are no limitations imposed by our memorandum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History of Securities Issuances</w:t>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following is a summary of our securities issuances in the past three years.</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Class A Ordinary Shares</w:t>
      </w:r>
    </w:p>
    <w:p>
      <w:pPr>
        <w:spacing w:after="0" w:line="117" w:lineRule="exact"/>
        <w:rPr>
          <w:sz w:val="20"/>
          <w:szCs w:val="20"/>
          <w:color w:val="auto"/>
        </w:rPr>
      </w:pPr>
    </w:p>
    <w:p>
      <w:pPr>
        <w:jc w:val="both"/>
        <w:ind w:left="1280" w:right="1299"/>
        <w:spacing w:after="0" w:line="262" w:lineRule="auto"/>
        <w:rPr>
          <w:sz w:val="20"/>
          <w:szCs w:val="20"/>
          <w:color w:val="auto"/>
        </w:rPr>
      </w:pPr>
      <w:r>
        <w:rPr>
          <w:rFonts w:ascii="Times New Roman" w:cs="Times New Roman" w:eastAsia="Times New Roman" w:hAnsi="Times New Roman"/>
          <w:sz w:val="14"/>
          <w:szCs w:val="14"/>
          <w:color w:val="auto"/>
        </w:rPr>
        <w:t>We issued an aggregate of 25,963,770 Class A ordinary shares in our US IPO, including (i) 23,227,200 Class A ordinary shares issued on October 28, 2024, and (i) 2,736,570 Class A ordinary shares issued on November 22, 2024 upon exercise of over-allotment option in part by the underwriters.</w:t>
      </w:r>
    </w:p>
    <w:p>
      <w:pPr>
        <w:spacing w:after="0" w:line="78" w:lineRule="exact"/>
        <w:rPr>
          <w:sz w:val="20"/>
          <w:szCs w:val="20"/>
          <w:color w:val="auto"/>
        </w:rPr>
      </w:pPr>
    </w:p>
    <w:p>
      <w:pPr>
        <w:jc w:val="both"/>
        <w:ind w:left="1280" w:right="1299"/>
        <w:spacing w:after="0" w:line="262" w:lineRule="auto"/>
        <w:rPr>
          <w:sz w:val="20"/>
          <w:szCs w:val="20"/>
          <w:color w:val="auto"/>
        </w:rPr>
      </w:pPr>
      <w:r>
        <w:rPr>
          <w:rFonts w:ascii="Times New Roman" w:cs="Times New Roman" w:eastAsia="Times New Roman" w:hAnsi="Times New Roman"/>
          <w:sz w:val="14"/>
          <w:szCs w:val="14"/>
          <w:color w:val="auto"/>
        </w:rPr>
        <w:t>On October 28, 2024, we issued an aggregate of 62,036,452 Class A ordinary shares to the following investors in several private placements in accordance with Regulation S under the Securities Act concurrently with our US IPO:</w:t>
      </w:r>
    </w:p>
    <w:p>
      <w:pPr>
        <w:spacing w:after="0" w:line="67" w:lineRule="exact"/>
        <w:rPr>
          <w:sz w:val="20"/>
          <w:szCs w:val="20"/>
          <w:color w:val="auto"/>
        </w:rPr>
      </w:pPr>
    </w:p>
    <w:p>
      <w:pPr>
        <w:ind w:left="1840" w:right="1299" w:hanging="281"/>
        <w:spacing w:after="0" w:line="287"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18,774,193 Class A ordinary shares to Alliance Ventures, B.V. for a total consideration of US$97 million;</w:t>
      </w:r>
    </w:p>
    <w:p>
      <w:pPr>
        <w:spacing w:after="0" w:line="71" w:lineRule="exact"/>
        <w:rPr>
          <w:rFonts w:ascii="Times New Roman" w:cs="Times New Roman" w:eastAsia="Times New Roman" w:hAnsi="Times New Roman"/>
          <w:sz w:val="14"/>
          <w:szCs w:val="14"/>
          <w:color w:val="auto"/>
        </w:rPr>
      </w:pPr>
    </w:p>
    <w:p>
      <w:pPr>
        <w:ind w:left="1840" w:right="1299" w:hanging="281"/>
        <w:spacing w:after="0" w:line="287"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13,455,810 Class A ordinary shares to JSC International Investment Fund SPC for a total consideration of US$69.5 million;</w:t>
      </w:r>
    </w:p>
    <w:p>
      <w:pPr>
        <w:spacing w:after="0" w:line="61" w:lineRule="exact"/>
        <w:rPr>
          <w:rFonts w:ascii="Times New Roman" w:cs="Times New Roman" w:eastAsia="Times New Roman" w:hAnsi="Times New Roman"/>
          <w:sz w:val="14"/>
          <w:szCs w:val="14"/>
          <w:color w:val="auto"/>
        </w:rPr>
      </w:pPr>
    </w:p>
    <w:p>
      <w:pPr>
        <w:ind w:left="1840" w:hanging="281"/>
        <w:spacing w:after="0"/>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9,677,419 Class A ordinary shares to Get Ride Inc. for a total consideration of US$50 million;</w:t>
      </w:r>
    </w:p>
    <w:p>
      <w:pPr>
        <w:spacing w:after="0" w:line="115" w:lineRule="exact"/>
        <w:rPr>
          <w:rFonts w:ascii="Times New Roman" w:cs="Times New Roman" w:eastAsia="Times New Roman" w:hAnsi="Times New Roman"/>
          <w:sz w:val="14"/>
          <w:szCs w:val="14"/>
          <w:color w:val="auto"/>
        </w:rPr>
      </w:pPr>
    </w:p>
    <w:p>
      <w:pPr>
        <w:ind w:left="1840" w:right="1299" w:hanging="281"/>
        <w:spacing w:after="0" w:line="287"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8,903,225 Class A ordinary shares to Beijing Minghong Management Consulting Partnership (Limited Partnership) for a total consideration of US$46 million;</w:t>
      </w:r>
    </w:p>
    <w:p>
      <w:pPr>
        <w:spacing w:after="0" w:line="71" w:lineRule="exact"/>
        <w:rPr>
          <w:rFonts w:ascii="Times New Roman" w:cs="Times New Roman" w:eastAsia="Times New Roman" w:hAnsi="Times New Roman"/>
          <w:sz w:val="14"/>
          <w:szCs w:val="14"/>
          <w:color w:val="auto"/>
        </w:rPr>
      </w:pPr>
    </w:p>
    <w:p>
      <w:pPr>
        <w:ind w:left="1840" w:right="1299" w:hanging="281"/>
        <w:spacing w:after="0" w:line="287"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5,806,451 Class A ordinary shares to Kechuangzhixing Holdings Limited for a total consideration of US$30 million;</w:t>
      </w:r>
    </w:p>
    <w:p>
      <w:pPr>
        <w:spacing w:after="0" w:line="61" w:lineRule="exact"/>
        <w:rPr>
          <w:rFonts w:ascii="Times New Roman" w:cs="Times New Roman" w:eastAsia="Times New Roman" w:hAnsi="Times New Roman"/>
          <w:sz w:val="14"/>
          <w:szCs w:val="14"/>
          <w:color w:val="auto"/>
        </w:rPr>
      </w:pPr>
    </w:p>
    <w:p>
      <w:pPr>
        <w:ind w:left="1840" w:right="1299" w:hanging="281"/>
        <w:spacing w:after="0" w:line="287"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3,870,967 Class A ordinary shares to Guangqizhixing Holdings Limited for a total consideration of US$20 million; and</w:t>
      </w:r>
    </w:p>
    <w:p>
      <w:pPr>
        <w:spacing w:after="0" w:line="71" w:lineRule="exact"/>
        <w:rPr>
          <w:rFonts w:ascii="Times New Roman" w:cs="Times New Roman" w:eastAsia="Times New Roman" w:hAnsi="Times New Roman"/>
          <w:sz w:val="14"/>
          <w:szCs w:val="14"/>
          <w:color w:val="auto"/>
        </w:rPr>
      </w:pPr>
    </w:p>
    <w:p>
      <w:pPr>
        <w:ind w:left="1840" w:right="1299" w:hanging="281"/>
        <w:spacing w:after="0" w:line="263"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1,548,387 Class A ordinary shares to GZJK WENYUAN Inc. for a total consideration of US$8 million.</w:t>
      </w:r>
    </w:p>
    <w:p>
      <w:pPr>
        <w:spacing w:after="0" w:line="3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Ordinary Shares and Preferred Shares</w:t>
      </w:r>
    </w:p>
    <w:p>
      <w:pPr>
        <w:spacing w:after="0" w:line="117"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color w:val="auto"/>
        </w:rPr>
        <w:t>We issued Series D and Series D+ preferred shares at higher prices per share relative to other ordinary shares and other series of preferred shares around the same time. The differences in the consideration paid for the ordinary and preferred shares issued from January 2022 to June 2024, during which the Series D and Series D+ preferred shares were issued, were mainly because of the following reasons:</w:t>
      </w:r>
    </w:p>
    <w:p>
      <w:pPr>
        <w:spacing w:after="0" w:line="83" w:lineRule="exact"/>
        <w:rPr>
          <w:sz w:val="20"/>
          <w:szCs w:val="20"/>
          <w:color w:val="auto"/>
        </w:rPr>
      </w:pPr>
    </w:p>
    <w:p>
      <w:pPr>
        <w:ind w:left="1840" w:right="1299" w:hanging="281"/>
        <w:spacing w:after="0" w:line="287" w:lineRule="auto"/>
        <w:tabs>
          <w:tab w:leader="none" w:pos="1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and different series of preferred shares have different fair values as a result of different shareholders’ rights attached to them.</w:t>
      </w:r>
    </w:p>
    <w:p>
      <w:pPr>
        <w:spacing w:after="0" w:line="71" w:lineRule="exact"/>
        <w:rPr>
          <w:rFonts w:ascii="Times New Roman" w:cs="Times New Roman" w:eastAsia="Times New Roman" w:hAnsi="Times New Roman"/>
          <w:sz w:val="14"/>
          <w:szCs w:val="14"/>
          <w:color w:val="auto"/>
        </w:rPr>
      </w:pPr>
    </w:p>
    <w:p>
      <w:pPr>
        <w:ind w:left="1840" w:hanging="281"/>
        <w:spacing w:after="0"/>
        <w:tabs>
          <w:tab w:leader="none" w:pos="1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was a large time gap between the share issuance date and the significantly earlier date when</w:t>
      </w: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7" w:name="page38"/>
    <w:bookmarkEnd w:id="37"/>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840" w:right="1299"/>
        <w:spacing w:after="0" w:line="259" w:lineRule="auto"/>
        <w:rPr>
          <w:sz w:val="20"/>
          <w:szCs w:val="20"/>
          <w:color w:val="auto"/>
        </w:rPr>
      </w:pPr>
      <w:r>
        <w:rPr>
          <w:rFonts w:ascii="Times New Roman" w:cs="Times New Roman" w:eastAsia="Times New Roman" w:hAnsi="Times New Roman"/>
          <w:sz w:val="14"/>
          <w:szCs w:val="14"/>
          <w:color w:val="auto"/>
        </w:rPr>
        <w:t>our company, which had a lower valuation back then, entered into the related investment agreements with the investors. Pursuant to PRC laws and regulations, PRC entities are required to complete certain filings and procedures to convert Renminbi consideration to U.S. dollars and remit the consideration out of China. These procedures led to the time gap between the signing of the investment agreements and the issuance of shares for certain PRC investors, who had committed to completing the relevant filings and procedures pursuant to the investment agreements.</w:t>
      </w:r>
    </w:p>
    <w:p>
      <w:pPr>
        <w:spacing w:after="0" w:line="264" w:lineRule="exact"/>
        <w:rPr>
          <w:sz w:val="20"/>
          <w:szCs w:val="20"/>
          <w:color w:val="auto"/>
        </w:rPr>
      </w:pPr>
    </w:p>
    <w:p>
      <w:pPr>
        <w:jc w:val="both"/>
        <w:ind w:left="1840" w:right="1299" w:hanging="281"/>
        <w:spacing w:after="0" w:line="264" w:lineRule="auto"/>
        <w:tabs>
          <w:tab w:leader="none" w:pos="1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issued upon the exercise of warrants granted to the lead series A investor in 2018. Such warrants entitled the lead series A investor to acquire the shares at a significant discount, as an incentive for such investor to lead the series A financing round. This share issuance was treated as a deemed distribution, which was recorded in our historical financial statements.</w:t>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b w:val="1"/>
          <w:bCs w:val="1"/>
          <w:u w:val="single" w:color="auto"/>
          <w:color w:val="auto"/>
        </w:rPr>
        <w:t>Securities/Purchaser Ordinary Shares</w:t>
      </w:r>
    </w:p>
    <w:p>
      <w:pPr>
        <w:spacing w:after="0" w:line="45" w:lineRule="exact"/>
        <w:rPr>
          <w:sz w:val="20"/>
          <w:szCs w:val="20"/>
          <w:color w:val="auto"/>
        </w:rPr>
      </w:pPr>
    </w:p>
    <w:p>
      <w:pPr>
        <w:ind w:left="780" w:hanging="112"/>
        <w:spacing w:after="0" w:line="300" w:lineRule="auto"/>
        <w:rPr>
          <w:sz w:val="20"/>
          <w:szCs w:val="20"/>
          <w:color w:val="auto"/>
        </w:rPr>
      </w:pPr>
      <w:r>
        <w:rPr>
          <w:rFonts w:ascii="Times New Roman" w:cs="Times New Roman" w:eastAsia="Times New Roman" w:hAnsi="Times New Roman"/>
          <w:sz w:val="11"/>
          <w:szCs w:val="11"/>
          <w:color w:val="auto"/>
        </w:rPr>
        <w:t>Guangzhou Hengdazhixing Industrial Investment Fund Partnership (Limited Partnership)</w:t>
      </w:r>
    </w:p>
    <w:p>
      <w:pPr>
        <w:spacing w:after="0" w:line="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Guangqizhixing Holdings Limited</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14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Date of</w:t>
            </w:r>
          </w:p>
        </w:tc>
      </w:tr>
      <w:tr>
        <w:trPr>
          <w:trHeight w:val="127"/>
        </w:trPr>
        <w:tc>
          <w:tcPr>
            <w:tcW w:w="14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Signing</w:t>
            </w:r>
          </w:p>
        </w:tc>
      </w:tr>
      <w:tr>
        <w:trPr>
          <w:trHeight w:val="127"/>
        </w:trPr>
        <w:tc>
          <w:tcPr>
            <w:tcW w:w="14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Definitive</w:t>
            </w:r>
          </w:p>
        </w:tc>
      </w:tr>
      <w:tr>
        <w:trPr>
          <w:trHeight w:val="127"/>
        </w:trPr>
        <w:tc>
          <w:tcPr>
            <w:tcW w:w="14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Investment</w:t>
            </w:r>
          </w:p>
        </w:tc>
      </w:tr>
      <w:tr>
        <w:trPr>
          <w:trHeight w:val="147"/>
        </w:trPr>
        <w:tc>
          <w:tcPr>
            <w:tcW w:w="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Agreement</w:t>
            </w:r>
          </w:p>
        </w:tc>
      </w:tr>
      <w:tr>
        <w:trPr>
          <w:trHeight w:val="311"/>
        </w:trPr>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February 2021</w:t>
            </w:r>
          </w:p>
        </w:tc>
      </w:tr>
      <w:tr>
        <w:trPr>
          <w:trHeight w:val="191"/>
        </w:trPr>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-317500</wp:posOffset>
            </wp:positionV>
            <wp:extent cx="4862195" cy="1645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62195" cy="1645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Reason(s) for</w:t>
            </w:r>
          </w:p>
        </w:tc>
        <w:tc>
          <w:tcPr>
            <w:tcW w:w="40" w:type="dxa"/>
            <w:vAlign w:val="bottom"/>
          </w:tcPr>
          <w:p>
            <w:pPr>
              <w:spacing w:after="0"/>
              <w:rPr>
                <w:sz w:val="11"/>
                <w:szCs w:val="11"/>
                <w:color w:val="auto"/>
              </w:rPr>
            </w:pPr>
          </w:p>
        </w:tc>
      </w:tr>
      <w:tr>
        <w:trPr>
          <w:trHeight w:val="127"/>
        </w:trPr>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Difference in</w:t>
            </w:r>
          </w:p>
        </w:tc>
        <w:tc>
          <w:tcPr>
            <w:tcW w:w="40" w:type="dxa"/>
            <w:vAlign w:val="bottom"/>
          </w:tcPr>
          <w:p>
            <w:pPr>
              <w:spacing w:after="0"/>
              <w:rPr>
                <w:sz w:val="11"/>
                <w:szCs w:val="11"/>
                <w:color w:val="auto"/>
              </w:rPr>
            </w:pPr>
          </w:p>
        </w:tc>
      </w:tr>
      <w:tr>
        <w:trPr>
          <w:trHeight w:val="127"/>
        </w:trPr>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Consideration</w:t>
            </w:r>
          </w:p>
        </w:tc>
        <w:tc>
          <w:tcPr>
            <w:tcW w:w="40" w:type="dxa"/>
            <w:vAlign w:val="bottom"/>
          </w:tcPr>
          <w:p>
            <w:pPr>
              <w:spacing w:after="0"/>
              <w:rPr>
                <w:sz w:val="11"/>
                <w:szCs w:val="11"/>
                <w:color w:val="auto"/>
              </w:rPr>
            </w:pPr>
          </w:p>
        </w:tc>
      </w:tr>
      <w:tr>
        <w:trPr>
          <w:trHeight w:val="127"/>
        </w:trPr>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Compared to</w:t>
            </w:r>
          </w:p>
        </w:tc>
        <w:tc>
          <w:tcPr>
            <w:tcW w:w="40" w:type="dxa"/>
            <w:vAlign w:val="bottom"/>
          </w:tcPr>
          <w:p>
            <w:pPr>
              <w:spacing w:after="0"/>
              <w:rPr>
                <w:sz w:val="11"/>
                <w:szCs w:val="11"/>
                <w:color w:val="auto"/>
              </w:rPr>
            </w:pPr>
          </w:p>
        </w:tc>
      </w:tr>
      <w:tr>
        <w:trPr>
          <w:trHeight w:val="147"/>
        </w:trPr>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Date of Issuance</w:t>
            </w:r>
          </w:p>
        </w:tc>
        <w:tc>
          <w:tcPr>
            <w:tcW w:w="1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Securities</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Consideration</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Series D and D+ </w:t>
            </w:r>
            <w:r>
              <w:rPr>
                <w:rFonts w:ascii="Times New Roman" w:cs="Times New Roman" w:eastAsia="Times New Roman" w:hAnsi="Times New Roman"/>
                <w:sz w:val="17"/>
                <w:szCs w:val="17"/>
                <w:b w:val="1"/>
                <w:bCs w:val="1"/>
                <w:color w:val="auto"/>
                <w:vertAlign w:val="subscript"/>
              </w:rPr>
              <w:t>​</w:t>
            </w: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1"/>
        </w:trPr>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July 12, 2022</w:t>
            </w:r>
          </w:p>
        </w:tc>
        <w:tc>
          <w:tcPr>
            <w:tcW w:w="1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1"/>
                <w:szCs w:val="11"/>
                <w:color w:val="auto"/>
              </w:rPr>
              <w:t xml:space="preserve"> 1,892,780</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US$2,000,000</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 and (ii)</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6"/>
        </w:trPr>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June 30, 2023</w:t>
            </w:r>
          </w:p>
        </w:tc>
        <w:tc>
          <w:tcPr>
            <w:tcW w:w="1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1"/>
                <w:szCs w:val="11"/>
                <w:color w:val="auto"/>
              </w:rPr>
              <w:t xml:space="preserve"> 1,763,689</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US$6,000,000</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 and (ii)</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1" w:lineRule="exact"/>
        <w:rPr>
          <w:sz w:val="20"/>
          <w:szCs w:val="20"/>
          <w:color w:val="auto"/>
        </w:rPr>
      </w:pPr>
    </w:p>
    <w:p>
      <w:pPr>
        <w:sectPr>
          <w:pgSz w:w="11900" w:h="16838" w:orient="portrait"/>
          <w:cols w:equalWidth="0" w:num="3">
            <w:col w:w="3000" w:space="500"/>
            <w:col w:w="1160" w:space="40"/>
            <w:col w:w="4319"/>
          </w:cols>
          <w:pgMar w:left="1440" w:top="108" w:right="1440"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1"/>
          <w:szCs w:val="11"/>
          <w:color w:val="auto"/>
        </w:rPr>
        <w:t>China-UAE Investment Cooperation Fund, L.P.,</w:t>
      </w:r>
    </w:p>
    <w:p>
      <w:pPr>
        <w:spacing w:after="0" w:line="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Allindrive Capital (Cayman) Limited, Catalpa</w:t>
      </w:r>
    </w:p>
    <w:p>
      <w:pPr>
        <w:spacing w:after="0" w:line="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Investments, MOMENTUM VENTURE CAPITAL</w:t>
      </w:r>
    </w:p>
    <w:p>
      <w:pPr>
        <w:spacing w:after="0" w:line="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PTE. LTD., CCB International Overseas Limited,</w:t>
      </w:r>
    </w:p>
    <w:p>
      <w:pPr>
        <w:spacing w:after="0" w:line="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Robert Bosch GmbH, Hainan Kaiyi Investment</w:t>
      </w:r>
    </w:p>
    <w:p>
      <w:pPr>
        <w:spacing w:after="0" w:line="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Partnership (Limited Partnership), Hainan</w:t>
      </w:r>
    </w:p>
    <w:p>
      <w:pPr>
        <w:spacing w:after="0" w:line="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Huifuchangyuan Equity Investment Fund Partnership</w:t>
      </w:r>
    </w:p>
    <w:p>
      <w:pPr>
        <w:spacing w:after="0" w:line="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(Limited Partnership), Guangzhou Yuexiu Jinchan III</w:t>
      </w:r>
    </w:p>
    <w:p>
      <w:pPr>
        <w:spacing w:after="0" w:line="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Equity Investment Fund Partnership (Limited</w:t>
      </w:r>
    </w:p>
    <w:p>
      <w:pPr>
        <w:spacing w:after="0" w:line="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Partnership), Guangzhou Zhiruo Investment Partnership</w:t>
      </w:r>
    </w:p>
    <w:p>
      <w:pPr>
        <w:spacing w:after="0" w:line="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(Limited Partnership), Xiamen Homericapital Junteng</w:t>
      </w:r>
    </w:p>
    <w:p>
      <w:pPr>
        <w:spacing w:after="0" w:line="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Investment Partnership (Limited Partnership), Sailing</w:t>
      </w:r>
    </w:p>
    <w:p>
      <w:pPr>
        <w:spacing w:after="0" w:line="4" w:lineRule="exact"/>
        <w:rPr>
          <w:sz w:val="20"/>
          <w:szCs w:val="20"/>
          <w:color w:val="auto"/>
        </w:rPr>
      </w:pPr>
    </w:p>
    <w:p>
      <w:pPr>
        <w:ind w:left="780" w:right="40"/>
        <w:spacing w:after="0" w:line="269" w:lineRule="auto"/>
        <w:rPr>
          <w:sz w:val="20"/>
          <w:szCs w:val="20"/>
          <w:color w:val="auto"/>
        </w:rPr>
      </w:pPr>
      <w:r>
        <w:rPr>
          <w:rFonts w:ascii="Times New Roman" w:cs="Times New Roman" w:eastAsia="Times New Roman" w:hAnsi="Times New Roman"/>
          <w:sz w:val="11"/>
          <w:szCs w:val="11"/>
          <w:color w:val="auto"/>
        </w:rPr>
        <w:t>Innovation Inc, CDBC MANUFACTURING TRANSFORMATION AND UPGRADING FUND and Guangqizhixing Holdings Limited</w:t>
      </w:r>
    </w:p>
    <w:p>
      <w:pPr>
        <w:spacing w:after="0" w:line="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b w:val="1"/>
          <w:bCs w:val="1"/>
          <w:color w:val="auto"/>
        </w:rPr>
        <w:t>Series Seed-1 Preferred Shares</w:t>
      </w:r>
    </w:p>
    <w:p>
      <w:pPr>
        <w:spacing w:after="0" w:line="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Homeric Spirit HK Limited Partnership Fund</w:t>
      </w:r>
    </w:p>
    <w:p>
      <w:pPr>
        <w:spacing w:after="0" w:line="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Zto Ljf Holding Limited</w:t>
      </w:r>
    </w:p>
    <w:p>
      <w:pPr>
        <w:spacing w:after="0" w:line="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b w:val="1"/>
          <w:bCs w:val="1"/>
          <w:color w:val="auto"/>
        </w:rPr>
        <w:t>Series A Preferred Shares</w:t>
      </w:r>
    </w:p>
    <w:p>
      <w:pPr>
        <w:spacing w:after="0" w:line="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Alliance Ventures B.V.</w:t>
      </w:r>
    </w:p>
    <w:p>
      <w:pPr>
        <w:spacing w:after="0" w:line="192"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1"/>
          <w:szCs w:val="11"/>
          <w:color w:val="auto"/>
        </w:rPr>
        <w:t>Shenzhen Yuanan Fule Investment Center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8"/>
        </w:trPr>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1"/>
                <w:szCs w:val="11"/>
                <w:color w:val="auto"/>
              </w:rPr>
              <w:t xml:space="preserve"> July and August 2024</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August 9, 2024</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1"/>
                <w:szCs w:val="11"/>
                <w:color w:val="auto"/>
              </w:rPr>
              <w:t xml:space="preserve"> 12,806,568</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US$128.07</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1"/>
        </w:trPr>
        <w:tc>
          <w:tcPr>
            <w:tcW w:w="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98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82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52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80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93"/>
        </w:trPr>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December 2021</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1"/>
                <w:szCs w:val="11"/>
                <w:color w:val="auto"/>
              </w:rPr>
              <w:t xml:space="preserve"> January 20, 2022</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286,246</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US$1,000,000</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0"/>
        </w:trPr>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December 2021</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ind w:left="40"/>
              <w:spacing w:after="0" w:line="200"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1"/>
                <w:szCs w:val="11"/>
                <w:color w:val="auto"/>
              </w:rPr>
              <w:t xml:space="preserve"> January 20, 2022</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882,382</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US$3,082,602</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49"/>
        </w:trPr>
        <w:tc>
          <w:tcPr>
            <w:tcW w:w="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98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82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52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80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93"/>
        </w:trPr>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October 2018</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May 29, 2023</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1"/>
                <w:szCs w:val="11"/>
                <w:color w:val="auto"/>
              </w:rPr>
              <w:t xml:space="preserve"> 4,400,229</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US$4,400.23</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(iii)</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38"/>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September 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3"/>
        </w:trPr>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October 2018</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1"/>
                <w:szCs w:val="11"/>
                <w:color w:val="auto"/>
              </w:rPr>
              <w:t xml:space="preserve"> 8,142,630</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3"/>
          </w:tcPr>
          <w:p>
            <w:pPr>
              <w:ind w:left="40"/>
              <w:spacing w:after="0" w:line="203"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1"/>
                <w:szCs w:val="11"/>
                <w:color w:val="auto"/>
              </w:rPr>
              <w:t xml:space="preserve"> US$8,095,932.02 </w:t>
            </w:r>
            <w:r>
              <w:rPr>
                <w:rFonts w:ascii="Times New Roman" w:cs="Times New Roman" w:eastAsia="Times New Roman" w:hAnsi="Times New Roman"/>
                <w:sz w:val="22"/>
                <w:szCs w:val="22"/>
                <w:color w:val="auto"/>
                <w:vertAlign w:val="subscript"/>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(ii)</w:t>
            </w:r>
          </w:p>
        </w:tc>
        <w:tc>
          <w:tcPr>
            <w:tcW w:w="18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-683895</wp:posOffset>
            </wp:positionV>
            <wp:extent cx="4862195" cy="1149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62195" cy="11493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-454660</wp:posOffset>
            </wp:positionV>
            <wp:extent cx="4862195" cy="1149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62195" cy="11493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-225425</wp:posOffset>
            </wp:positionV>
            <wp:extent cx="4862195" cy="2089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62195" cy="2089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440" w:space="60"/>
            <w:col w:w="5519"/>
          </w:cols>
          <w:pgMar w:left="1440" w:top="108" w:right="1440" w:bottom="1440" w:gutter="0" w:footer="0" w:header="0"/>
          <w:type w:val="continuous"/>
        </w:sectPr>
      </w:pPr>
    </w:p>
    <w:tbl>
      <w:tblPr>
        <w:tblLayout w:type="fixed"/>
        <w:tblInd w:w="680" w:type="dxa"/>
        <w:tblCellMar>
          <w:top w:w="0" w:type="dxa"/>
          <w:left w:w="0" w:type="dxa"/>
          <w:bottom w:w="0" w:type="dxa"/>
          <w:right w:w="0" w:type="dxa"/>
        </w:tblCellMar>
      </w:tblPr>
      <w:tr>
        <w:trPr>
          <w:trHeight w:val="154"/>
        </w:trPr>
        <w:tc>
          <w:tcPr>
            <w:tcW w:w="2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Series B-1 Preferred Shares</w:t>
            </w:r>
          </w:p>
        </w:tc>
        <w:tc>
          <w:tcPr>
            <w:tcW w:w="1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5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Beijing Xufeng Zhiyuan Intelligent Technology Limited</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77"/>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Partnership</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December 2020</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June 15, 2022</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 66,247,450</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ind w:left="40"/>
              <w:spacing w:after="0" w:line="177"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 US$100,000,000</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103"/>
              <w:spacing w:after="0"/>
              <w:rPr>
                <w:sz w:val="20"/>
                <w:szCs w:val="20"/>
                <w:color w:val="auto"/>
              </w:rPr>
            </w:pPr>
            <w:r>
              <w:rPr>
                <w:rFonts w:ascii="Times New Roman" w:cs="Times New Roman" w:eastAsia="Times New Roman" w:hAnsi="Times New Roman"/>
                <w:sz w:val="11"/>
                <w:szCs w:val="11"/>
                <w:color w:val="auto"/>
              </w:rPr>
              <w:t>(ii)</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1"/>
        </w:trPr>
        <w:tc>
          <w:tcPr>
            <w:tcW w:w="2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Series B-2 Preferred Shares</w:t>
            </w:r>
          </w:p>
        </w:tc>
        <w:tc>
          <w:tcPr>
            <w:tcW w:w="1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1"/>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Zto Ljf Holding Limited</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December 2021</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 January 20, 2022</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 1,693,830</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US$5,917,395</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83"/>
              <w:spacing w:after="0"/>
              <w:rPr>
                <w:sz w:val="20"/>
                <w:szCs w:val="20"/>
                <w:color w:val="auto"/>
              </w:rPr>
            </w:pPr>
            <w:r>
              <w:rPr>
                <w:rFonts w:ascii="Times New Roman" w:cs="Times New Roman" w:eastAsia="Times New Roman" w:hAnsi="Times New Roman"/>
                <w:sz w:val="11"/>
                <w:szCs w:val="11"/>
                <w:color w:val="auto"/>
              </w:rPr>
              <w:t>(i)</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38" w:name="page39"/>
    <w:bookmarkEnd w:id="38"/>
    <w:p>
      <w:pPr>
        <w:ind w:left="28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0" w:right="980"/>
        <w:spacing w:after="0" w:line="344" w:lineRule="auto"/>
        <w:rPr>
          <w:sz w:val="20"/>
          <w:szCs w:val="20"/>
          <w:color w:val="auto"/>
        </w:rPr>
      </w:pPr>
      <w:r>
        <w:rPr>
          <w:rFonts w:ascii="Times New Roman" w:cs="Times New Roman" w:eastAsia="Times New Roman" w:hAnsi="Times New Roman"/>
          <w:sz w:val="11"/>
          <w:szCs w:val="11"/>
          <w:b w:val="1"/>
          <w:bCs w:val="1"/>
          <w:color w:val="auto"/>
        </w:rPr>
        <w:t>Securities/Purchaser Ordinary Shares Series B-3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-129540</wp:posOffset>
            </wp:positionV>
            <wp:extent cx="112585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25855" cy="6985"/>
                    </a:xfrm>
                    <a:prstGeom prst="rect">
                      <a:avLst/>
                    </a:prstGeom>
                    <a:noFill/>
                  </pic:spPr>
                </pic:pic>
              </a:graphicData>
            </a:graphic>
          </wp:anchor>
        </w:drawing>
      </w:r>
    </w:p>
    <w:p>
      <w:pPr>
        <w:ind w:left="780" w:right="320" w:hanging="112"/>
        <w:spacing w:after="0" w:line="270" w:lineRule="auto"/>
        <w:rPr>
          <w:sz w:val="20"/>
          <w:szCs w:val="20"/>
          <w:color w:val="auto"/>
        </w:rPr>
      </w:pPr>
      <w:r>
        <w:rPr>
          <w:rFonts w:ascii="Times New Roman" w:cs="Times New Roman" w:eastAsia="Times New Roman" w:hAnsi="Times New Roman"/>
          <w:sz w:val="11"/>
          <w:szCs w:val="11"/>
          <w:color w:val="auto"/>
        </w:rPr>
        <w:t>Guangzhou Ruosi Investment Partnership (Limited Partnership), Tianjin Wenze Equity Investment</w:t>
      </w:r>
    </w:p>
    <w:p>
      <w:pPr>
        <w:ind w:left="780"/>
        <w:spacing w:after="0" w:line="261" w:lineRule="auto"/>
        <w:rPr>
          <w:sz w:val="20"/>
          <w:szCs w:val="20"/>
          <w:color w:val="auto"/>
        </w:rPr>
      </w:pPr>
      <w:r>
        <w:rPr>
          <w:rFonts w:ascii="Times New Roman" w:cs="Times New Roman" w:eastAsia="Times New Roman" w:hAnsi="Times New Roman"/>
          <w:sz w:val="11"/>
          <w:szCs w:val="11"/>
          <w:color w:val="auto"/>
        </w:rPr>
        <w:t>Fund Partnership (Limited Partnership), Nanjing Jianye Jushi Technology Innovation Growth Fund (Limited Partnership), Shanghai Daining Business Management Partnership (Limited Partnership), Anhui Hongxinli Equity Investment Partnership (Limited Partnership) and Guangzhou Hengdazhixing Industrial Investment Fund Partnership (Limited Partnership)</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b w:val="1"/>
          <w:bCs w:val="1"/>
          <w:color w:val="auto"/>
        </w:rPr>
        <w:t>Series D Preferred Shares</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China-UAE Investment Cooperation Fund, L.P.,</w:t>
      </w:r>
    </w:p>
    <w:p>
      <w:pPr>
        <w:spacing w:after="0" w:line="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Allindrive Capital (Cayman) Limited, Catalpa</w:t>
      </w:r>
    </w:p>
    <w:p>
      <w:pPr>
        <w:spacing w:after="0" w:line="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Investments, MOMENTUM VENTURE CAPITAL</w:t>
      </w:r>
    </w:p>
    <w:p>
      <w:pPr>
        <w:spacing w:after="0" w:line="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PTE. LTD., CCB International Overseas Limited and</w:t>
      </w:r>
    </w:p>
    <w:p>
      <w:pPr>
        <w:spacing w:after="0" w:line="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Robert Bosch GmbH</w:t>
      </w:r>
    </w:p>
    <w:p>
      <w:pPr>
        <w:spacing w:after="0" w:line="31" w:lineRule="exact"/>
        <w:rPr>
          <w:sz w:val="20"/>
          <w:szCs w:val="20"/>
          <w:color w:val="auto"/>
        </w:rPr>
      </w:pPr>
    </w:p>
    <w:p>
      <w:pPr>
        <w:ind w:left="780" w:right="540" w:hanging="112"/>
        <w:spacing w:after="0" w:line="300" w:lineRule="auto"/>
        <w:rPr>
          <w:sz w:val="20"/>
          <w:szCs w:val="20"/>
          <w:color w:val="auto"/>
        </w:rPr>
      </w:pPr>
      <w:r>
        <w:rPr>
          <w:rFonts w:ascii="Times New Roman" w:cs="Times New Roman" w:eastAsia="Times New Roman" w:hAnsi="Times New Roman"/>
          <w:sz w:val="11"/>
          <w:szCs w:val="11"/>
          <w:color w:val="auto"/>
        </w:rPr>
        <w:t>Hainan Kaiyi Investment Partnership (Limited Partnership)</w:t>
      </w:r>
    </w:p>
    <w:p>
      <w:pPr>
        <w:spacing w:after="0" w:line="1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China-UAE Investment Cooperation Fund, L.P.</w:t>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Hainan Huifuchangyuan Equity Investment</w:t>
      </w:r>
    </w:p>
    <w:p>
      <w:pPr>
        <w:spacing w:after="0" w:line="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Fund Partnership (Limited Partnership)</w:t>
      </w:r>
    </w:p>
    <w:p>
      <w:pPr>
        <w:spacing w:after="0" w:line="3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Guangqizhixing Holdings Limited</w:t>
      </w:r>
    </w:p>
    <w:p>
      <w:pPr>
        <w:spacing w:after="0" w:line="54" w:lineRule="exact"/>
        <w:rPr>
          <w:sz w:val="20"/>
          <w:szCs w:val="20"/>
          <w:color w:val="auto"/>
        </w:rPr>
      </w:pPr>
    </w:p>
    <w:p>
      <w:pPr>
        <w:ind w:left="780" w:right="540" w:hanging="112"/>
        <w:spacing w:after="0" w:line="300" w:lineRule="auto"/>
        <w:rPr>
          <w:sz w:val="20"/>
          <w:szCs w:val="20"/>
          <w:color w:val="auto"/>
        </w:rPr>
      </w:pPr>
      <w:r>
        <w:rPr>
          <w:rFonts w:ascii="Times New Roman" w:cs="Times New Roman" w:eastAsia="Times New Roman" w:hAnsi="Times New Roman"/>
          <w:sz w:val="11"/>
          <w:szCs w:val="11"/>
          <w:color w:val="auto"/>
        </w:rPr>
        <w:t>Hainan Kaiyi Investment Partnership (Limited Partnership)</w:t>
      </w:r>
    </w:p>
    <w:p>
      <w:pPr>
        <w:spacing w:after="0" w:line="1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China-UAE Investment Cooperation Fund, L.P.</w:t>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Hainan Huifuchangyuan Equity Investment</w:t>
      </w:r>
    </w:p>
    <w:p>
      <w:pPr>
        <w:spacing w:after="0" w:line="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Fund Partnership (Limited Partnership)</w:t>
      </w:r>
    </w:p>
    <w:p>
      <w:pPr>
        <w:spacing w:after="0" w:line="3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Guangqizhixing Holdings Limited</w:t>
      </w:r>
    </w:p>
    <w:p>
      <w:pPr>
        <w:spacing w:after="0" w:line="54" w:lineRule="exact"/>
        <w:rPr>
          <w:sz w:val="20"/>
          <w:szCs w:val="20"/>
          <w:color w:val="auto"/>
        </w:rPr>
      </w:pPr>
    </w:p>
    <w:p>
      <w:pPr>
        <w:ind w:left="780" w:right="400" w:hanging="112"/>
        <w:spacing w:after="0" w:line="292" w:lineRule="auto"/>
        <w:rPr>
          <w:sz w:val="20"/>
          <w:szCs w:val="20"/>
          <w:color w:val="auto"/>
        </w:rPr>
      </w:pPr>
      <w:r>
        <w:rPr>
          <w:rFonts w:ascii="Times New Roman" w:cs="Times New Roman" w:eastAsia="Times New Roman" w:hAnsi="Times New Roman"/>
          <w:sz w:val="11"/>
          <w:szCs w:val="11"/>
          <w:color w:val="auto"/>
        </w:rPr>
        <w:t>Guangzhou Yuexiu Jinchan III Equity Investment Fund Partnership (Limited Partnership)</w:t>
      </w:r>
    </w:p>
    <w:p>
      <w:pPr>
        <w:ind w:left="780" w:right="280" w:hanging="112"/>
        <w:spacing w:after="0" w:line="292" w:lineRule="auto"/>
        <w:rPr>
          <w:sz w:val="20"/>
          <w:szCs w:val="20"/>
          <w:color w:val="auto"/>
        </w:rPr>
      </w:pPr>
      <w:r>
        <w:rPr>
          <w:rFonts w:ascii="Times New Roman" w:cs="Times New Roman" w:eastAsia="Times New Roman" w:hAnsi="Times New Roman"/>
          <w:sz w:val="11"/>
          <w:szCs w:val="11"/>
          <w:color w:val="auto"/>
        </w:rPr>
        <w:t>Guangzhou Zhiruo Investment Partnership (Limited Partnership)</w:t>
      </w:r>
    </w:p>
    <w:p>
      <w:pPr>
        <w:ind w:left="780" w:right="140" w:hanging="112"/>
        <w:spacing w:after="0" w:line="290" w:lineRule="auto"/>
        <w:rPr>
          <w:sz w:val="20"/>
          <w:szCs w:val="20"/>
          <w:color w:val="auto"/>
        </w:rPr>
      </w:pPr>
      <w:r>
        <w:rPr>
          <w:rFonts w:ascii="Times New Roman" w:cs="Times New Roman" w:eastAsia="Times New Roman" w:hAnsi="Times New Roman"/>
          <w:sz w:val="11"/>
          <w:szCs w:val="11"/>
          <w:color w:val="auto"/>
        </w:rPr>
        <w:t>Xiamen Homericapital Junteng Investment Partnership (Limited Partnership)</w:t>
      </w:r>
    </w:p>
    <w:p>
      <w:pPr>
        <w:ind w:left="680"/>
        <w:spacing w:after="0"/>
        <w:rPr>
          <w:sz w:val="20"/>
          <w:szCs w:val="20"/>
          <w:color w:val="auto"/>
        </w:rPr>
      </w:pPr>
      <w:r>
        <w:rPr>
          <w:rFonts w:ascii="Times New Roman" w:cs="Times New Roman" w:eastAsia="Times New Roman" w:hAnsi="Times New Roman"/>
          <w:sz w:val="11"/>
          <w:szCs w:val="11"/>
          <w:b w:val="1"/>
          <w:bCs w:val="1"/>
          <w:color w:val="auto"/>
        </w:rPr>
        <w:t>Series D+ Preferred Shares</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Sailing Innovation Inc.</w:t>
      </w:r>
    </w:p>
    <w:p>
      <w:pPr>
        <w:spacing w:after="0" w:line="43" w:lineRule="exact"/>
        <w:rPr>
          <w:sz w:val="20"/>
          <w:szCs w:val="20"/>
          <w:color w:val="auto"/>
        </w:rPr>
      </w:pPr>
    </w:p>
    <w:p>
      <w:pPr>
        <w:ind w:left="780" w:hanging="112"/>
        <w:spacing w:after="0" w:line="300" w:lineRule="auto"/>
        <w:rPr>
          <w:sz w:val="20"/>
          <w:szCs w:val="20"/>
          <w:color w:val="auto"/>
        </w:rPr>
      </w:pPr>
      <w:r>
        <w:rPr>
          <w:rFonts w:ascii="Times New Roman" w:cs="Times New Roman" w:eastAsia="Times New Roman" w:hAnsi="Times New Roman"/>
          <w:sz w:val="11"/>
          <w:szCs w:val="11"/>
          <w:color w:val="auto"/>
        </w:rPr>
        <w:t>CDBC MANUFACTURING TRANSFORMATION AND UPGRADING FUND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Date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Reason(s) for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Difference in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Definitive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Consideration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Investment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Compared to</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Agreement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gridSpan w:val="3"/>
          </w:tcPr>
          <w:p>
            <w:pPr>
              <w:ind w:left="4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Date of Issuance</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3"/>
                <w:szCs w:val="13"/>
                <w:color w:val="auto"/>
              </w:rPr>
            </w:pPr>
          </w:p>
        </w:tc>
        <w:tc>
          <w:tcPr>
            <w:tcW w:w="5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Securities</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Consideration</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Series D and D+ </w:t>
            </w:r>
            <w:r>
              <w:rPr>
                <w:rFonts w:ascii="Times New Roman" w:cs="Times New Roman" w:eastAsia="Times New Roman" w:hAnsi="Times New Roman"/>
                <w:sz w:val="18"/>
                <w:szCs w:val="18"/>
                <w:b w:val="1"/>
                <w:bCs w:val="1"/>
                <w:color w:val="auto"/>
                <w:vertAlign w:val="subscript"/>
              </w:rPr>
              <w:t>​</w:t>
            </w:r>
          </w:p>
        </w:tc>
        <w:tc>
          <w:tcPr>
            <w:tcW w:w="0" w:type="dxa"/>
            <w:vAlign w:val="bottom"/>
          </w:tcPr>
          <w:p>
            <w:pPr>
              <w:spacing w:after="0"/>
              <w:rPr>
                <w:sz w:val="1"/>
                <w:szCs w:val="1"/>
                <w:color w:val="auto"/>
              </w:rPr>
            </w:pPr>
          </w:p>
        </w:tc>
      </w:tr>
      <w:tr>
        <w:trPr>
          <w:trHeight w:val="173"/>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0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7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5"/>
                <w:szCs w:val="15"/>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15"/>
                <w:szCs w:val="15"/>
                <w:color w:val="auto"/>
              </w:rPr>
            </w:pPr>
          </w:p>
        </w:tc>
        <w:tc>
          <w:tcPr>
            <w:tcW w:w="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5"/>
                <w:szCs w:val="15"/>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7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830"/>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Various dates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from</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December 2020</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June 2021 to</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1"/>
                <w:szCs w:val="11"/>
                <w:color w:val="auto"/>
              </w:rPr>
              <w:t>18,855,050</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color w:val="auto"/>
              </w:rPr>
              <w:t>​ ​ US$37,000,000</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(ii)</w:t>
            </w: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7"/>
        </w:trPr>
        <w:tc>
          <w:tcPr>
            <w:tcW w:w="6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20" w:type="dxa"/>
            <w:vAlign w:val="bottom"/>
            <w:gridSpan w:val="2"/>
          </w:tcPr>
          <w:p>
            <w:pPr>
              <w:jc w:val="center"/>
              <w:ind w:left="23"/>
              <w:spacing w:after="0"/>
              <w:rPr>
                <w:sz w:val="20"/>
                <w:szCs w:val="20"/>
                <w:color w:val="auto"/>
              </w:rPr>
            </w:pPr>
            <w:r>
              <w:rPr>
                <w:rFonts w:ascii="Times New Roman" w:cs="Times New Roman" w:eastAsia="Times New Roman" w:hAnsi="Times New Roman"/>
                <w:sz w:val="11"/>
                <w:szCs w:val="11"/>
                <w:color w:val="auto"/>
              </w:rPr>
              <w:t>July 2022</w:t>
            </w:r>
          </w:p>
        </w:tc>
        <w:tc>
          <w:tcPr>
            <w:tcW w:w="8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020" w:type="dxa"/>
            <w:vAlign w:val="bottom"/>
          </w:tcPr>
          <w:p>
            <w:pPr>
              <w:ind w:left="52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15"/>
                <w:szCs w:val="15"/>
                <w:color w:val="auto"/>
              </w:rPr>
            </w:pPr>
          </w:p>
        </w:tc>
        <w:tc>
          <w:tcPr>
            <w:tcW w:w="52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Various dates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from</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left="3"/>
              <w:spacing w:after="0"/>
              <w:rPr>
                <w:sz w:val="20"/>
                <w:szCs w:val="20"/>
                <w:color w:val="auto"/>
              </w:rPr>
            </w:pPr>
            <w:r>
              <w:rPr>
                <w:rFonts w:ascii="Times New Roman" w:cs="Times New Roman" w:eastAsia="Times New Roman" w:hAnsi="Times New Roman"/>
                <w:sz w:val="11"/>
                <w:szCs w:val="11"/>
                <w:color w:val="auto"/>
              </w:rPr>
              <w:t>January 20,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w w:val="99"/>
              </w:rPr>
              <w:t>2022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left="3"/>
              <w:spacing w:after="0"/>
              <w:rPr>
                <w:sz w:val="20"/>
                <w:szCs w:val="20"/>
                <w:color w:val="auto"/>
              </w:rPr>
            </w:pPr>
            <w:r>
              <w:rPr>
                <w:rFonts w:ascii="Times New Roman" w:cs="Times New Roman" w:eastAsia="Times New Roman" w:hAnsi="Times New Roman"/>
                <w:sz w:val="11"/>
                <w:szCs w:val="11"/>
                <w:color w:val="auto"/>
              </w:rPr>
              <w:t>to June 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2021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76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2022</w:t>
            </w:r>
          </w:p>
        </w:tc>
        <w:tc>
          <w:tcPr>
            <w:tcW w:w="60" w:type="dxa"/>
            <w:vAlign w:val="bottom"/>
          </w:tcPr>
          <w:p>
            <w:pPr>
              <w:spacing w:after="0"/>
              <w:rPr>
                <w:sz w:val="12"/>
                <w:szCs w:val="12"/>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color w:val="auto"/>
              </w:rPr>
              <w:t>39,716,614</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 ​ US$185,000,000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December 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2021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76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2022</w:t>
            </w:r>
          </w:p>
        </w:tc>
        <w:tc>
          <w:tcPr>
            <w:tcW w:w="60" w:type="dxa"/>
            <w:vAlign w:val="bottom"/>
          </w:tcPr>
          <w:p>
            <w:pPr>
              <w:spacing w:after="0"/>
              <w:rPr>
                <w:sz w:val="12"/>
                <w:szCs w:val="12"/>
                <w:color w:val="auto"/>
              </w:rPr>
            </w:pP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 ​ 3,220,266</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US$15,000,000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December 28,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2021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76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2022</w:t>
            </w:r>
          </w:p>
        </w:tc>
        <w:tc>
          <w:tcPr>
            <w:tcW w:w="60" w:type="dxa"/>
            <w:vAlign w:val="bottom"/>
          </w:tcPr>
          <w:p>
            <w:pPr>
              <w:spacing w:after="0"/>
              <w:rPr>
                <w:sz w:val="12"/>
                <w:szCs w:val="12"/>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color w:val="auto"/>
              </w:rPr>
              <w:t>10,734,220</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 ​ US$50,000,000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308"/>
        </w:trPr>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2021</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 January 19, 2023</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 1,524,259</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US$7,099,998.42</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4"/>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2021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June 30, 2023</w:t>
            </w:r>
          </w:p>
        </w:tc>
        <w:tc>
          <w:tcPr>
            <w:tcW w:w="700" w:type="dxa"/>
            <w:vAlign w:val="bottom"/>
            <w:gridSpan w:val="5"/>
          </w:tcPr>
          <w:p>
            <w:pPr>
              <w:ind w:left="20"/>
              <w:spacing w:after="0" w:line="204"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1"/>
                <w:szCs w:val="11"/>
                <w:color w:val="auto"/>
              </w:rPr>
              <w:t xml:space="preserve"> 5,152,425</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US$24,000,000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December 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2021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76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2022</w:t>
            </w:r>
          </w:p>
        </w:tc>
        <w:tc>
          <w:tcPr>
            <w:tcW w:w="60" w:type="dxa"/>
            <w:vAlign w:val="bottom"/>
          </w:tcPr>
          <w:p>
            <w:pPr>
              <w:spacing w:after="0"/>
              <w:rPr>
                <w:sz w:val="12"/>
                <w:szCs w:val="12"/>
                <w:color w:val="auto"/>
              </w:rPr>
            </w:pP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 ​ 3,220,266</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US$15,000,000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December 28,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2021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76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2022</w:t>
            </w:r>
          </w:p>
        </w:tc>
        <w:tc>
          <w:tcPr>
            <w:tcW w:w="60" w:type="dxa"/>
            <w:vAlign w:val="bottom"/>
          </w:tcPr>
          <w:p>
            <w:pPr>
              <w:spacing w:after="0"/>
              <w:rPr>
                <w:sz w:val="12"/>
                <w:szCs w:val="12"/>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color w:val="auto"/>
              </w:rPr>
              <w:t>10,734,220</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 ​ US$50,000,000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308"/>
        </w:trPr>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2021</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 January 19, 2023</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 1,524,259</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US$7,099,998.42</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98"/>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2021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June 30, 2023</w:t>
            </w: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1"/>
                <w:szCs w:val="11"/>
                <w:color w:val="auto"/>
              </w:rPr>
              <w:t xml:space="preserve"> 5,152,425</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1"/>
                <w:szCs w:val="11"/>
                <w:color w:val="auto"/>
              </w:rPr>
              <w:t xml:space="preserve"> US$24,000,000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2021</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June 27, 2024</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 1,867,649</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US$8,699,507.25</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308"/>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2021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June 27, 2024</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301,764</w:t>
            </w:r>
          </w:p>
        </w:tc>
        <w:tc>
          <w:tcPr>
            <w:tcW w:w="4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US$1,405,614.42</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308"/>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2021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June 27, 2024</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429,369</w:t>
            </w:r>
          </w:p>
        </w:tc>
        <w:tc>
          <w:tcPr>
            <w:tcW w:w="4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US$2,000,000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1"/>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020" w:type="dxa"/>
            <w:vAlign w:val="bottom"/>
          </w:tcPr>
          <w:p>
            <w:pPr>
              <w:ind w:left="52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16"/>
                <w:szCs w:val="16"/>
                <w:color w:val="auto"/>
              </w:rPr>
            </w:pPr>
          </w:p>
        </w:tc>
        <w:tc>
          <w:tcPr>
            <w:tcW w:w="52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November 28,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October 2022</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2023</w:t>
            </w:r>
          </w:p>
        </w:tc>
        <w:tc>
          <w:tcPr>
            <w:tcW w:w="6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 7,495,687</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US$37,800,000</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December 26,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October 2022</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2023</w:t>
            </w:r>
          </w:p>
        </w:tc>
        <w:tc>
          <w:tcPr>
            <w:tcW w:w="6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 14,934,910</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US$70,000,000</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-4053840</wp:posOffset>
            </wp:positionV>
            <wp:extent cx="4862195" cy="1149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62195" cy="11493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-3143250</wp:posOffset>
            </wp:positionV>
            <wp:extent cx="4862195" cy="1149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62195" cy="11493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-2489200</wp:posOffset>
            </wp:positionV>
            <wp:extent cx="4862195" cy="195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62195" cy="19558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-2098040</wp:posOffset>
            </wp:positionV>
            <wp:extent cx="4862195" cy="1955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62195" cy="19558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-1787525</wp:posOffset>
            </wp:positionV>
            <wp:extent cx="4862195" cy="195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862195" cy="19558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-1396365</wp:posOffset>
            </wp:positionV>
            <wp:extent cx="4862195" cy="195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62195" cy="19558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-1086485</wp:posOffset>
            </wp:positionV>
            <wp:extent cx="4862195" cy="195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862195" cy="19558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-695325</wp:posOffset>
            </wp:positionV>
            <wp:extent cx="4862195" cy="195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62195" cy="19558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-384810</wp:posOffset>
            </wp:positionV>
            <wp:extent cx="4862195" cy="195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862195" cy="19558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3420" w:space="80"/>
            <w:col w:w="5519"/>
          </w:cols>
          <w:pgMar w:left="1440" w:top="108"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128" w:lineRule="exact"/>
        <w:rPr>
          <w:sz w:val="20"/>
          <w:szCs w:val="20"/>
          <w:color w:val="auto"/>
        </w:rPr>
      </w:pPr>
    </w:p>
    <w:p>
      <w:pPr>
        <w:jc w:val="both"/>
        <w:ind w:left="1280" w:right="1299"/>
        <w:spacing w:after="0" w:line="257" w:lineRule="auto"/>
        <w:rPr>
          <w:sz w:val="20"/>
          <w:szCs w:val="20"/>
          <w:color w:val="auto"/>
        </w:rPr>
      </w:pPr>
      <w:r>
        <w:rPr>
          <w:rFonts w:ascii="Times New Roman" w:cs="Times New Roman" w:eastAsia="Times New Roman" w:hAnsi="Times New Roman"/>
          <w:sz w:val="14"/>
          <w:szCs w:val="14"/>
          <w:color w:val="auto"/>
        </w:rPr>
        <w:t>On January 20, 2022, we issued warrants to certain Series D investors, pursuant to which: (i) Hainan Kaiyi Investment Partnership (Limited Partnership) or its affiliate is entitled to purchase 3,220,266 Series D preferred shares with an aggregate exercise price of US$15,000,000; (ii) Shanghai Huitianfu Yijian Equity Investment Management Co., Ltd. or its designated affiliate is entitled to purchase 1,610,133 Series D preferred shares with an aggregate exercise price of up to US$7,500,000; (iii) Guangzhou Yuexiu Jinchan III Equity Investment Fund Partnership (Limited Partnership) or its affiliate is entitled to purchase 1,867,649 Series D preferred shares with an aggregate exercise price of up to US$10,000,000; and (iv) Guangzhou Zhiruo Investment Partnership (Limited Partnership) or its affiliate is entitled to purchase 301,764 Series D preferred shares with an aggregate exercise price of up to US$1,608,100. The warrants are exercisable within ten business days after</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39" w:name="page40"/>
    <w:bookmarkEnd w:id="39"/>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later of (A) the respective holder has delivered to us a certified true copy of the ODI approval, and</w:t>
      </w:r>
    </w:p>
    <w:p>
      <w:pPr>
        <w:spacing w:after="0" w:line="23" w:lineRule="exact"/>
        <w:rPr>
          <w:sz w:val="20"/>
          <w:szCs w:val="20"/>
          <w:color w:val="auto"/>
        </w:rPr>
      </w:pPr>
    </w:p>
    <w:p>
      <w:pPr>
        <w:jc w:val="both"/>
        <w:ind w:left="1280" w:right="1299" w:hanging="4"/>
        <w:spacing w:after="0" w:line="268" w:lineRule="auto"/>
        <w:tabs>
          <w:tab w:leader="none" w:pos="151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the loan was refunded to the respective holder. On December 2, 2022, we issued 3,220,266 Series D preferred shares to Hainan Kaiyi Investment Partnership (Limited Partnership) upon exercise of the warrant held by it. On January 19, 2023, we issued 1,524,259 Series D preferred shares to Hainan Huifuchangyuan Equity Investment Fund Partnership (Limited Partnership) upon exercise of the warrant held by Shanghai Huitianfu Yijian Equity Investment Management Co., Ltd. On June 27, 2024, we issued 1,867,649 and 301,764 Series D preferred shares to Guangzhou Yuexiu Jinchan III Equity Investment Fund Partnership (Limited Partnership) and Guangzhou Zhiruo Investment Partnership (Limited Partnership), respectively, upon the exercise of all outstanding warrants held by them.</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On January 20, 2022, we issued additional warrants to certain Series D investors, pursuant to which:</w:t>
      </w:r>
    </w:p>
    <w:p>
      <w:pPr>
        <w:spacing w:after="0" w:line="23" w:lineRule="exact"/>
        <w:rPr>
          <w:sz w:val="20"/>
          <w:szCs w:val="20"/>
          <w:color w:val="auto"/>
        </w:rPr>
      </w:pPr>
    </w:p>
    <w:p>
      <w:pPr>
        <w:jc w:val="both"/>
        <w:ind w:left="1280" w:right="1299" w:hanging="4"/>
        <w:spacing w:after="0" w:line="261" w:lineRule="auto"/>
        <w:tabs>
          <w:tab w:leader="none" w:pos="146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China- UAE Investment Cooperation Fund, L.P. or its designated affiliates have the right to purchase up to 10,734,220 Series D preferred shares with an aggregate exercise price of up to US$50,000,000;</w:t>
      </w:r>
    </w:p>
    <w:p>
      <w:pPr>
        <w:jc w:val="both"/>
        <w:ind w:left="1280" w:right="1299" w:hanging="4"/>
        <w:spacing w:after="0" w:line="263" w:lineRule="auto"/>
        <w:tabs>
          <w:tab w:leader="none" w:pos="150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Allindrive Capital (Cayman) Limited is entitled to purchase up to 10,734,220 Series D preferred shares with an aggregate exercise price of up to US$50,000,000; (iii) Catalpa Investments is entitled to purchase up to 2,146,844 Series D preferred shares with an aggregate exercise price of up to US$10,000,000; and</w:t>
      </w:r>
    </w:p>
    <w:p>
      <w:pPr>
        <w:spacing w:after="0" w:line="1" w:lineRule="exact"/>
        <w:rPr>
          <w:rFonts w:ascii="Times New Roman" w:cs="Times New Roman" w:eastAsia="Times New Roman" w:hAnsi="Times New Roman"/>
          <w:sz w:val="14"/>
          <w:szCs w:val="14"/>
          <w:color w:val="auto"/>
        </w:rPr>
      </w:pPr>
    </w:p>
    <w:p>
      <w:pPr>
        <w:jc w:val="both"/>
        <w:ind w:left="1280" w:right="1299" w:hanging="4"/>
        <w:spacing w:after="0" w:line="266" w:lineRule="auto"/>
        <w:tabs>
          <w:tab w:leader="none" w:pos="157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Hainan Kaiyi Investment Partnership (Limited Partnership) or its affiliate is entitled to purchase 2,146,844 Series D preferred shares with an aggregate exercise price of up to US$10,000,000, each at a per share purchase price of US$4.6580. The warrants are exercisable at any time before the earlier of: (x) the later of (A) the expiration of the six (6)-month period following the date of the closing under the purchase agreement, and (B) the closing of the first bona fide equity financing of our company after the date on which the warrant was issued with a per share issue price higher than US$4.6580, and (y) consummation of the Qualified IPO of our company, which is defined as a firm commitment underwritten public offering of the ordinary shares of our company in the United States or another recognized international securities exchange with the per share issue price of no less than US$6.211 and the implied pre-offering market capitalization of our company of not less than US$6,000,000,000, and the gross proceeds to our company of at least US$250,000,000. On December 28, 2022, we issued 10,734,220 Series D preferred shares to China-UAE Investment Cooperation Fund, L.P. upon exercise of the warrant held by it. The other three warrants we issued on January 20, 2022 have expired.</w:t>
      </w:r>
    </w:p>
    <w:p>
      <w:pPr>
        <w:spacing w:after="0" w:line="266" w:lineRule="exact"/>
        <w:rPr>
          <w:sz w:val="20"/>
          <w:szCs w:val="20"/>
          <w:color w:val="auto"/>
        </w:rPr>
      </w:pPr>
    </w:p>
    <w:p>
      <w:pPr>
        <w:jc w:val="both"/>
        <w:ind w:left="1280" w:right="1299"/>
        <w:spacing w:after="0" w:line="257" w:lineRule="auto"/>
        <w:rPr>
          <w:sz w:val="20"/>
          <w:szCs w:val="20"/>
          <w:color w:val="auto"/>
        </w:rPr>
      </w:pPr>
      <w:r>
        <w:rPr>
          <w:rFonts w:ascii="Times New Roman" w:cs="Times New Roman" w:eastAsia="Times New Roman" w:hAnsi="Times New Roman"/>
          <w:sz w:val="14"/>
          <w:szCs w:val="14"/>
          <w:color w:val="auto"/>
        </w:rPr>
        <w:t>On March 1, 2022, we issued a warrant to Xiamen Homericapital Junteng Investment Partnership (Limited Partnership) that grants it or its designated affiliates the right to purchase 1,133,534 Series D preferred shares or ordinary shares at a per share purchase price of US$4.6580 with an aggregate exercise price of up to US$5,280,000. The warrant is exercisable within ten business days after the later of (A) the holder has delivered to us a certified true copy of the ODI approval, and (B) the principal amount of the loan was refunded to the holder. On May 30, 2024, we entered into an amendment to the warrant, pursuant to which the number of Series D preferred shares that Xiamen Homericapital Junteng Investment Partnership (Limited Partnership) has the right to purchase was reduced to 429,369. On June 27, 2024, we issued 429,369 Series D preferred shares to the holder accordingly upon the exercise of all the outstanding warrants.</w:t>
      </w:r>
    </w:p>
    <w:p>
      <w:pPr>
        <w:spacing w:after="0" w:line="264" w:lineRule="exact"/>
        <w:rPr>
          <w:sz w:val="20"/>
          <w:szCs w:val="20"/>
          <w:color w:val="auto"/>
        </w:rPr>
      </w:pPr>
    </w:p>
    <w:p>
      <w:pPr>
        <w:jc w:val="both"/>
        <w:ind w:left="1280" w:right="1299"/>
        <w:spacing w:after="0" w:line="257" w:lineRule="auto"/>
        <w:rPr>
          <w:sz w:val="20"/>
          <w:szCs w:val="20"/>
          <w:color w:val="auto"/>
        </w:rPr>
      </w:pPr>
      <w:r>
        <w:rPr>
          <w:rFonts w:ascii="Times New Roman" w:cs="Times New Roman" w:eastAsia="Times New Roman" w:hAnsi="Times New Roman"/>
          <w:sz w:val="14"/>
          <w:szCs w:val="14"/>
          <w:color w:val="auto"/>
        </w:rPr>
        <w:t>On October 31, 2022, we issued two warrants to National Development and Manufacturing Industry Transformation and Upgrading Fund (Limited Partnership) that grant it or its affiliate the right to purchase 11,834,910 Series D+ preferred shares and 3,100,000 Series D+ preferred shares, respectively, with an aggregate exercise price of up to US$59,682,280 and US$10,317,730, respectively. The warrants are exercisable within ten business days after the later of (A) the holder has delivered to us a certified true copy of the ODI approval, and (B) the principal amount of the loan (when provide) was refunded to the holder. On December 26, 2023, we issued 14,934,910 Series D+ preferred shares to CDBC MANUFACTURING TRANSFORMATION AND UPGRADING FUND upon the exercise of the warrants held by National Development and Manufacturing Industry Transformation and Upgrading Fund (Limited Partnership).</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Options and Restricted Share Units</w:t>
      </w:r>
    </w:p>
    <w:p>
      <w:pPr>
        <w:spacing w:after="0" w:line="117" w:lineRule="exact"/>
        <w:rPr>
          <w:sz w:val="20"/>
          <w:szCs w:val="20"/>
          <w:color w:val="auto"/>
        </w:rPr>
      </w:pPr>
    </w:p>
    <w:p>
      <w:pPr>
        <w:jc w:val="both"/>
        <w:ind w:left="1280" w:right="1299"/>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have granted options to purchase our ordinary shares and restricted share units to certain of our directors, officers and employees. See the section titled “Management—Share Incentive Plan—2018 Share Plan” in our </w:t>
      </w:r>
      <w:hyperlink r:id="rId97">
        <w:r>
          <w:rPr>
            <w:rFonts w:ascii="Times New Roman" w:cs="Times New Roman" w:eastAsia="Times New Roman" w:hAnsi="Times New Roman"/>
            <w:sz w:val="14"/>
            <w:szCs w:val="14"/>
            <w:u w:val="single" w:color="auto"/>
            <w:color w:val="0000EE"/>
          </w:rPr>
          <w:t xml:space="preserve">Current Report on Form 6-K (File No. 001-42213) filed with the SEC on November </w:t>
        </w:r>
      </w:hyperlink>
      <w:r>
        <w:rPr>
          <w:rFonts w:ascii="Times New Roman" w:cs="Times New Roman" w:eastAsia="Times New Roman" w:hAnsi="Times New Roman"/>
          <w:sz w:val="14"/>
          <w:szCs w:val="14"/>
          <w:color w:val="auto"/>
        </w:rPr>
        <w:t xml:space="preserve">3, </w:t>
      </w:r>
      <w:hyperlink r:id="rId97">
        <w:r>
          <w:rPr>
            <w:rFonts w:ascii="Times New Roman" w:cs="Times New Roman" w:eastAsia="Times New Roman" w:hAnsi="Times New Roman"/>
            <w:sz w:val="14"/>
            <w:szCs w:val="14"/>
            <w:u w:val="single" w:color="auto"/>
            <w:color w:val="0000EE"/>
          </w:rPr>
          <w:t>2025</w:t>
        </w:r>
      </w:hyperlink>
      <w:r>
        <w:rPr>
          <w:rFonts w:ascii="Times New Roman" w:cs="Times New Roman" w:eastAsia="Times New Roman" w:hAnsi="Times New Roman"/>
          <w:sz w:val="14"/>
          <w:szCs w:val="14"/>
          <w:color w:val="auto"/>
        </w:rPr>
        <w:t>, as incorporated by reference herein.</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0" w:name="page41"/>
    <w:bookmarkEnd w:id="40"/>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Shareholders Agreement</w:t>
      </w:r>
    </w:p>
    <w:p>
      <w:pPr>
        <w:spacing w:after="0" w:line="128" w:lineRule="exact"/>
        <w:rPr>
          <w:sz w:val="20"/>
          <w:szCs w:val="20"/>
          <w:color w:val="auto"/>
        </w:rPr>
      </w:pPr>
    </w:p>
    <w:p>
      <w:pPr>
        <w:jc w:val="both"/>
        <w:ind w:left="1280" w:right="1299"/>
        <w:spacing w:after="0" w:line="257" w:lineRule="auto"/>
        <w:rPr>
          <w:sz w:val="20"/>
          <w:szCs w:val="20"/>
          <w:color w:val="auto"/>
        </w:rPr>
      </w:pPr>
      <w:r>
        <w:rPr>
          <w:rFonts w:ascii="Times New Roman" w:cs="Times New Roman" w:eastAsia="Times New Roman" w:hAnsi="Times New Roman"/>
          <w:sz w:val="14"/>
          <w:szCs w:val="14"/>
          <w:color w:val="auto"/>
        </w:rPr>
        <w:t>We entered into the sixth amended and restated shareholders agreement and the sixth amended and restated right of first refusal and co-sale agreement on October 29, 2022, with our shareholders, consisting of holders of ordinary shares, preferred shares and golden shares. The sixth amended and restated shareholders agreement provides for certain shareholders’ rights, including information and inspection rights, registration rights, preemptive right and protective provisions, and contain provisions governing our board of directors and other corporate governance matters. Except for the registration rights, all of these special rights, as well as the corporate governance provisions, were automatically terminated upon the completion of our US IPO. The sixth amended and restated right of first refusal and co-sale agreement provides that shareholders of our preferred shares enjoy certain right of first refusal and co-sale rights, which was also automatically terminated upon the completion of our US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1" w:name="page42"/>
    <w:bookmarkEnd w:id="41"/>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PREFERRED SHARES</w:t>
      </w:r>
    </w:p>
    <w:p>
      <w:pPr>
        <w:spacing w:after="0" w:line="128" w:lineRule="exact"/>
        <w:rPr>
          <w:sz w:val="20"/>
          <w:szCs w:val="20"/>
          <w:color w:val="auto"/>
        </w:rPr>
      </w:pPr>
    </w:p>
    <w:p>
      <w:pPr>
        <w:jc w:val="both"/>
        <w:ind w:left="1280" w:right="1299"/>
        <w:spacing w:after="0" w:line="255" w:lineRule="auto"/>
        <w:rPr>
          <w:sz w:val="20"/>
          <w:szCs w:val="20"/>
          <w:color w:val="auto"/>
        </w:rPr>
      </w:pPr>
      <w:r>
        <w:rPr>
          <w:rFonts w:ascii="Times New Roman" w:cs="Times New Roman" w:eastAsia="Times New Roman" w:hAnsi="Times New Roman"/>
          <w:sz w:val="14"/>
          <w:szCs w:val="14"/>
          <w:color w:val="auto"/>
        </w:rPr>
        <w:t>Under our amended and restated memorandum and articles of association, our board of directors may, without further action by the members, fix the rights, preferences, privileges, restrictions and payment obligations of up to an aggregate of up to 1,000,000,000 (being the number of authorized but undesignated shares under our amended and restated memorandum and articles of association) preferred shares of a par value of US$0.00001 each, in one or more series and authorize their issuance. The undesignated shares authorized under our amended and restated memorandum and articles of association are available for issuance without further action by the members, unless such action is required by applicable law or the rules of any stock exchange on which our securities may be listed, provided, however, before any preferred shares of any such series are issued, our board of directors shall by resolution of directors determine, with respect to any series of preferred shares, the terms and rights of that series. These rights, preferences and privileges could include dividend rights, conversion rights, voting rights, terms of redemption, preemption rights, liquidation preferences, sinking fund terms and the number of shares constituting any series or the designation of such series, any or all of which may be greater than the rights of the Class A ordinary shares. The specific terms of any series of preferred shares offered pursuant to this prospectus will be described in the prospectus supplement relating to that series of preferred shares. Any issuance of preferred shares could adversely affect the voting power of holders of Class A ordinary shares and the likelihood that such holders would receive dividend payments and payments on liquidation. In addition, the issuance of preferred shares could have the effect of delaying, deterring or preventing a change of control or other corporate action.</w:t>
      </w:r>
    </w:p>
    <w:p>
      <w:pPr>
        <w:spacing w:after="0" w:line="267"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The preferred shares will have the terms described below unless otherwise provided in the prospectus supplement relating to a particular series of preferred shares. You should read the prospectus supplement relating to the particular series of preferred shares being offered for specific terms, including:</w:t>
      </w:r>
    </w:p>
    <w:p>
      <w:pPr>
        <w:spacing w:after="0" w:line="51" w:lineRule="exact"/>
        <w:rPr>
          <w:sz w:val="20"/>
          <w:szCs w:val="20"/>
          <w:color w:val="auto"/>
        </w:rPr>
      </w:pPr>
    </w:p>
    <w:p>
      <w:pPr>
        <w:ind w:left="1700" w:hanging="141"/>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stated value per share of the preferred shares and the number of shares offered;</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liquidation preference per share;</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the preferred shares will be issued;</w:t>
      </w:r>
    </w:p>
    <w:p>
      <w:pPr>
        <w:spacing w:after="0" w:line="93" w:lineRule="exact"/>
        <w:rPr>
          <w:rFonts w:ascii="Times New Roman" w:cs="Times New Roman" w:eastAsia="Times New Roman" w:hAnsi="Times New Roman"/>
          <w:sz w:val="14"/>
          <w:szCs w:val="14"/>
          <w:color w:val="auto"/>
        </w:rPr>
      </w:pPr>
    </w:p>
    <w:p>
      <w:pPr>
        <w:jc w:val="both"/>
        <w:ind w:left="1700" w:right="1299" w:hanging="141"/>
        <w:spacing w:after="0" w:line="270" w:lineRule="auto"/>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51"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sinking fund provisions;</w:t>
      </w:r>
    </w:p>
    <w:p>
      <w:pPr>
        <w:spacing w:after="0" w:line="93" w:lineRule="exact"/>
        <w:rPr>
          <w:rFonts w:ascii="Times New Roman" w:cs="Times New Roman" w:eastAsia="Times New Roman" w:hAnsi="Times New Roman"/>
          <w:sz w:val="14"/>
          <w:szCs w:val="14"/>
          <w:color w:val="auto"/>
        </w:rPr>
      </w:pPr>
    </w:p>
    <w:p>
      <w:pPr>
        <w:jc w:val="both"/>
        <w:ind w:left="1700" w:right="1299" w:hanging="141"/>
        <w:spacing w:after="0" w:line="280" w:lineRule="auto"/>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currency of the United States, the currency or currencies including composite currencies in which the preferred shares are denominated and/or in which payments will or may be payable;</w:t>
      </w:r>
    </w:p>
    <w:p>
      <w:pPr>
        <w:spacing w:after="0" w:line="219"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provisions; and</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rights, preferences, privileges, limitations and restrictions on the preferred shares.</w:t>
      </w:r>
    </w:p>
    <w:p>
      <w:pPr>
        <w:spacing w:after="0" w:line="1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preferred shares will, when issued, be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2" w:name="page43"/>
    <w:bookmarkEnd w:id="42"/>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b w:val="1"/>
          <w:bCs w:val="1"/>
          <w:color w:val="auto"/>
        </w:rPr>
        <w:t>DESCRIPTION OF AMERICAN DEPOSITARY SHARES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American Depositary Shares</w:t>
      </w:r>
    </w:p>
    <w:p>
      <w:pPr>
        <w:spacing w:after="0" w:line="128" w:lineRule="exact"/>
        <w:rPr>
          <w:sz w:val="20"/>
          <w:szCs w:val="20"/>
          <w:color w:val="auto"/>
        </w:rPr>
      </w:pPr>
    </w:p>
    <w:p>
      <w:pPr>
        <w:jc w:val="both"/>
        <w:ind w:left="1280" w:right="1299"/>
        <w:spacing w:after="0" w:line="250" w:lineRule="auto"/>
        <w:rPr>
          <w:sz w:val="20"/>
          <w:szCs w:val="20"/>
          <w:color w:val="auto"/>
        </w:rPr>
      </w:pPr>
      <w:r>
        <w:rPr>
          <w:rFonts w:ascii="Times New Roman" w:cs="Times New Roman" w:eastAsia="Times New Roman" w:hAnsi="Times New Roman"/>
          <w:sz w:val="14"/>
          <w:szCs w:val="14"/>
          <w:color w:val="auto"/>
        </w:rPr>
        <w:t>Deutsche Bank Trust Company Americas, as depositary, will register and deliver the ADSs. Each ADS will represent ownership of three Class A ordinary shares, deposited with Deutsche Bank AG, Hong Kong Branch, as custodian for the depositary. Each ADS will also represent ownership of any other securities, cash or other property which may be held by the depositary. The depositary’s corporate trust office at which the ADSs will be administered is located at 1 Columbus Circle, New York, NY 10019, USA. The principal executive office of the depositary is located at 1 Columbus Circle, New York, NY 10019, USA.</w:t>
      </w:r>
    </w:p>
    <w:p>
      <w:pPr>
        <w:spacing w:after="0" w:line="88"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84" w:lineRule="exact"/>
        <w:rPr>
          <w:sz w:val="20"/>
          <w:szCs w:val="20"/>
          <w:color w:val="auto"/>
        </w:rPr>
      </w:pPr>
    </w:p>
    <w:p>
      <w:pPr>
        <w:jc w:val="both"/>
        <w:ind w:left="1280" w:right="1299"/>
        <w:spacing w:after="0" w:line="260" w:lineRule="auto"/>
        <w:rPr>
          <w:sz w:val="20"/>
          <w:szCs w:val="20"/>
          <w:color w:val="auto"/>
        </w:rPr>
      </w:pPr>
      <w:r>
        <w:rPr>
          <w:rFonts w:ascii="Times New Roman" w:cs="Times New Roman" w:eastAsia="Times New Roman" w:hAnsi="Times New Roman"/>
          <w:sz w:val="14"/>
          <w:szCs w:val="14"/>
          <w:color w:val="auto"/>
        </w:rPr>
        <w:t>We will not treat ADS holders as our shareholders and accordingly, you, as an ADS holder, will not have shareholder rights. Cayman Islands law governs shareholder rights. The depositary will be the holder of the Class A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“—Jurisdiction and Arbitration.”</w:t>
      </w:r>
    </w:p>
    <w:p>
      <w:pPr>
        <w:spacing w:after="0" w:line="90" w:lineRule="exact"/>
        <w:rPr>
          <w:sz w:val="20"/>
          <w:szCs w:val="20"/>
          <w:color w:val="auto"/>
        </w:rPr>
      </w:pPr>
    </w:p>
    <w:p>
      <w:pPr>
        <w:jc w:val="both"/>
        <w:ind w:left="1280" w:right="1299"/>
        <w:spacing w:after="0" w:line="267" w:lineRule="auto"/>
        <w:rPr>
          <w:sz w:val="20"/>
          <w:szCs w:val="20"/>
          <w:color w:val="auto"/>
        </w:rPr>
      </w:pPr>
      <w:r>
        <w:rPr>
          <w:rFonts w:ascii="Times New Roman" w:cs="Times New Roman" w:eastAsia="Times New Roman" w:hAnsi="Times New Roman"/>
          <w:sz w:val="14"/>
          <w:szCs w:val="14"/>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Additional Information.”</w:t>
      </w:r>
    </w:p>
    <w:p>
      <w:pPr>
        <w:spacing w:after="0" w:line="3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Holding the ADSs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How will you hold your ADSs?</w:t>
      </w:r>
    </w:p>
    <w:p>
      <w:pPr>
        <w:spacing w:after="0" w:line="128" w:lineRule="exact"/>
        <w:rPr>
          <w:sz w:val="20"/>
          <w:szCs w:val="20"/>
          <w:color w:val="auto"/>
        </w:rPr>
      </w:pPr>
    </w:p>
    <w:p>
      <w:pPr>
        <w:jc w:val="both"/>
        <w:ind w:left="1280" w:right="1299"/>
        <w:spacing w:after="0" w:line="259" w:lineRule="auto"/>
        <w:rPr>
          <w:sz w:val="20"/>
          <w:szCs w:val="20"/>
          <w:color w:val="auto"/>
        </w:rPr>
      </w:pPr>
      <w:r>
        <w:rPr>
          <w:rFonts w:ascii="Times New Roman" w:cs="Times New Roman" w:eastAsia="Times New Roman" w:hAnsi="Times New Roman"/>
          <w:sz w:val="14"/>
          <w:szCs w:val="14"/>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How will you receive dividends and other distributions on the shares?</w:t>
      </w:r>
    </w:p>
    <w:p>
      <w:pPr>
        <w:spacing w:after="0" w:line="117" w:lineRule="exact"/>
        <w:rPr>
          <w:sz w:val="20"/>
          <w:szCs w:val="20"/>
          <w:color w:val="auto"/>
        </w:rPr>
      </w:pPr>
    </w:p>
    <w:p>
      <w:pPr>
        <w:jc w:val="both"/>
        <w:ind w:left="1280" w:right="1299"/>
        <w:spacing w:after="0" w:line="261" w:lineRule="auto"/>
        <w:rPr>
          <w:sz w:val="20"/>
          <w:szCs w:val="20"/>
          <w:color w:val="auto"/>
        </w:rPr>
      </w:pPr>
      <w:r>
        <w:rPr>
          <w:rFonts w:ascii="Times New Roman" w:cs="Times New Roman" w:eastAsia="Times New Roman" w:hAnsi="Times New Roman"/>
          <w:sz w:val="14"/>
          <w:szCs w:val="14"/>
          <w:color w:val="auto"/>
        </w:rPr>
        <w:t>The depositary has agreed to pay to you the cash dividends or other distributions it or the custodian receives on Class A ordinary shares or other deposited securities, after deducting its fees and expenses. You will receive these distributions in proportion to the number of Class A ordinary shares your ADSs represent as of the record date (which will be as close as practicable to the record date for our Class A ordinary shares) set by the depositary with respect to the ADSs.</w:t>
      </w:r>
    </w:p>
    <w:p>
      <w:pPr>
        <w:spacing w:after="0" w:line="57" w:lineRule="exact"/>
        <w:rPr>
          <w:sz w:val="20"/>
          <w:szCs w:val="20"/>
          <w:color w:val="auto"/>
        </w:rPr>
      </w:pPr>
    </w:p>
    <w:p>
      <w:pPr>
        <w:jc w:val="both"/>
        <w:ind w:left="1700" w:right="1299" w:hanging="141"/>
        <w:spacing w:after="0" w:line="257" w:lineRule="auto"/>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Cash</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depositary will convert or cause to be converted any cash dividend or other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 we pay on the Class A ordinary shares or any net proceeds from the sale of any Class A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3" w:name="page44"/>
    <w:bookmarkEnd w:id="43"/>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700" w:right="1299"/>
        <w:spacing w:after="0" w:line="287" w:lineRule="auto"/>
        <w:rPr>
          <w:sz w:val="20"/>
          <w:szCs w:val="20"/>
          <w:color w:val="auto"/>
        </w:rPr>
      </w:pPr>
      <w:r>
        <w:rPr>
          <w:rFonts w:ascii="Times New Roman" w:cs="Times New Roman" w:eastAsia="Times New Roman" w:hAnsi="Times New Roman"/>
          <w:sz w:val="14"/>
          <w:szCs w:val="14"/>
          <w:color w:val="auto"/>
        </w:rPr>
        <w:t>held for the respective accounts of the ADS holders. It will not invest the foreign currency and it will not be liable for any interest for the respective accounts of the ADS holders.</w:t>
      </w:r>
    </w:p>
    <w:p>
      <w:pPr>
        <w:spacing w:after="0" w:line="61" w:lineRule="exact"/>
        <w:rPr>
          <w:sz w:val="20"/>
          <w:szCs w:val="20"/>
          <w:color w:val="auto"/>
        </w:rPr>
      </w:pPr>
    </w:p>
    <w:p>
      <w:pPr>
        <w:jc w:val="both"/>
        <w:ind w:left="1680" w:right="1299"/>
        <w:spacing w:after="0" w:line="247" w:lineRule="auto"/>
        <w:rPr>
          <w:sz w:val="20"/>
          <w:szCs w:val="20"/>
          <w:color w:val="auto"/>
        </w:rPr>
      </w:pPr>
      <w:r>
        <w:rPr>
          <w:rFonts w:ascii="Times New Roman" w:cs="Times New Roman" w:eastAsia="Times New Roman" w:hAnsi="Times New Roman"/>
          <w:sz w:val="14"/>
          <w:szCs w:val="14"/>
          <w:color w:val="auto"/>
        </w:rPr>
        <w:t xml:space="preserve">Before making a distribution, any taxes or other governmental charges, together with fees and expenses of the depositary, that must be paid, will be deducted. See the section titled “Taxation” herein, as may be supplemented by any amendments or prospectus supplements hereto. It will distribute only whole U.S. dollars and cents and will round down fractional cents to the nearest whole cent. </w:t>
      </w:r>
      <w:r>
        <w:rPr>
          <w:rFonts w:ascii="Times New Roman" w:cs="Times New Roman" w:eastAsia="Times New Roman" w:hAnsi="Times New Roman"/>
          <w:sz w:val="14"/>
          <w:szCs w:val="14"/>
          <w:i w:val="1"/>
          <w:iCs w:val="1"/>
          <w:color w:val="auto"/>
        </w:rPr>
        <w:t>If the exchange rates fluctuate during a time when the depositary cannot convert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foreign currency, you may lose some or all of the value of the distribution.</w:t>
      </w:r>
    </w:p>
    <w:p>
      <w:pPr>
        <w:spacing w:after="0" w:line="55" w:lineRule="exact"/>
        <w:rPr>
          <w:sz w:val="20"/>
          <w:szCs w:val="20"/>
          <w:color w:val="auto"/>
        </w:rPr>
      </w:pPr>
    </w:p>
    <w:p>
      <w:pPr>
        <w:ind w:left="1700" w:hanging="141"/>
        <w:spacing w:after="0"/>
        <w:tabs>
          <w:tab w:leader="none" w:pos="1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Shares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any Class A ordinary shares we distribute as a dividend or free distribution, either</w:t>
      </w:r>
    </w:p>
    <w:p>
      <w:pPr>
        <w:spacing w:after="0" w:line="25" w:lineRule="exact"/>
        <w:rPr>
          <w:rFonts w:ascii="Times New Roman" w:cs="Times New Roman" w:eastAsia="Times New Roman" w:hAnsi="Times New Roman"/>
          <w:sz w:val="14"/>
          <w:szCs w:val="14"/>
          <w:color w:val="auto"/>
        </w:rPr>
      </w:pPr>
    </w:p>
    <w:p>
      <w:pPr>
        <w:ind w:left="1940" w:hanging="239"/>
        <w:spacing w:after="0"/>
        <w:tabs>
          <w:tab w:leader="none" w:pos="19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will distribute additional ADSs representing such Class A ordinary shares or</w:t>
      </w:r>
    </w:p>
    <w:p>
      <w:pPr>
        <w:spacing w:after="0" w:line="8" w:lineRule="exact"/>
        <w:rPr>
          <w:rFonts w:ascii="Times New Roman" w:cs="Times New Roman" w:eastAsia="Times New Roman" w:hAnsi="Times New Roman"/>
          <w:sz w:val="14"/>
          <w:szCs w:val="14"/>
          <w:color w:val="auto"/>
        </w:rPr>
      </w:pPr>
    </w:p>
    <w:p>
      <w:pPr>
        <w:jc w:val="both"/>
        <w:ind w:left="1700" w:right="1299" w:firstLine="1"/>
        <w:spacing w:after="0" w:line="255" w:lineRule="auto"/>
        <w:tabs>
          <w:tab w:leader="none" w:pos="1914"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ADSs as of the applicable record date will represent rights and interests in the additional Class A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Class A ordinary shares which would require it to deliver a fractional ADS and distribute the net proceeds in the same way as it does with cash. The depositary may sell a portion of the distributed Class A ordinary shares sufficient to pay its fees and expenses, and any taxes and governmental charges, in connection with that distribution.</w:t>
      </w:r>
    </w:p>
    <w:p>
      <w:pPr>
        <w:spacing w:after="0" w:line="230" w:lineRule="exact"/>
        <w:rPr>
          <w:rFonts w:ascii="Times New Roman" w:cs="Times New Roman" w:eastAsia="Times New Roman" w:hAnsi="Times New Roman"/>
          <w:sz w:val="14"/>
          <w:szCs w:val="14"/>
          <w:color w:val="auto"/>
        </w:rPr>
      </w:pPr>
    </w:p>
    <w:p>
      <w:pPr>
        <w:jc w:val="both"/>
        <w:ind w:left="1700" w:right="1299" w:hanging="141"/>
        <w:spacing w:after="0" w:line="256" w:lineRule="auto"/>
        <w:tabs>
          <w:tab w:leader="none" w:pos="1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Elective Distributions in Cash or Shares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If we offer holders of our Class A ordinary shares the option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receive dividends in either cash or shares,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Class A ordinary shares for which no election is made, distribute either cash in the same way as it does in a cash distribution, or additional ADSs representing Class A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Class A ordinary shares.</w:t>
      </w:r>
    </w:p>
    <w:p>
      <w:pPr>
        <w:spacing w:after="0" w:line="231" w:lineRule="exact"/>
        <w:rPr>
          <w:rFonts w:ascii="Times New Roman" w:cs="Times New Roman" w:eastAsia="Times New Roman" w:hAnsi="Times New Roman"/>
          <w:sz w:val="14"/>
          <w:szCs w:val="14"/>
          <w:color w:val="auto"/>
        </w:rPr>
      </w:pPr>
    </w:p>
    <w:p>
      <w:pPr>
        <w:jc w:val="both"/>
        <w:ind w:left="1700" w:right="1299" w:hanging="141"/>
        <w:spacing w:after="0" w:line="257" w:lineRule="auto"/>
        <w:tabs>
          <w:tab w:leader="none" w:pos="1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Rights to Purchase Additional Shares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If we offer holders of our Class A ordinary shares any rights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subscribe for additional shares, the depositary 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80" w:lineRule="exact"/>
        <w:rPr>
          <w:rFonts w:ascii="Times New Roman" w:cs="Times New Roman" w:eastAsia="Times New Roman" w:hAnsi="Times New Roman"/>
          <w:sz w:val="14"/>
          <w:szCs w:val="14"/>
          <w:color w:val="auto"/>
        </w:rPr>
      </w:pPr>
    </w:p>
    <w:p>
      <w:pPr>
        <w:jc w:val="both"/>
        <w:ind w:left="1680" w:right="129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Class A ordinary shares (rather than ADSs).</w:t>
      </w:r>
    </w:p>
    <w:p>
      <w:pPr>
        <w:spacing w:after="0" w:line="85" w:lineRule="exact"/>
        <w:rPr>
          <w:rFonts w:ascii="Times New Roman" w:cs="Times New Roman" w:eastAsia="Times New Roman" w:hAnsi="Times New Roman"/>
          <w:sz w:val="14"/>
          <w:szCs w:val="14"/>
          <w:color w:val="auto"/>
        </w:rPr>
      </w:pPr>
    </w:p>
    <w:p>
      <w:pPr>
        <w:jc w:val="both"/>
        <w:ind w:left="1680" w:right="129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securities laws may restrict transfers and cancellation of the ADSs represented by Class A ordinary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4" w:name="page45"/>
    <w:bookmarkEnd w:id="44"/>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80" w:right="1299"/>
        <w:spacing w:after="0" w:line="287" w:lineRule="auto"/>
        <w:rPr>
          <w:sz w:val="20"/>
          <w:szCs w:val="20"/>
          <w:color w:val="auto"/>
        </w:rPr>
      </w:pPr>
      <w:r>
        <w:rPr>
          <w:rFonts w:ascii="Times New Roman" w:cs="Times New Roman" w:eastAsia="Times New Roman" w:hAnsi="Times New Roman"/>
          <w:sz w:val="14"/>
          <w:szCs w:val="14"/>
          <w:color w:val="auto"/>
        </w:rPr>
        <w:t>There can be no assurance that you will be given the opportunity to exercise rights on the same terms and conditions as the holders of Class A ordinary shares or be able to exercise such rights.</w:t>
      </w:r>
    </w:p>
    <w:p>
      <w:pPr>
        <w:spacing w:after="0" w:line="27" w:lineRule="exact"/>
        <w:rPr>
          <w:sz w:val="20"/>
          <w:szCs w:val="20"/>
          <w:color w:val="auto"/>
        </w:rPr>
      </w:pPr>
    </w:p>
    <w:p>
      <w:pPr>
        <w:jc w:val="both"/>
        <w:ind w:left="1700" w:right="1279" w:hanging="141"/>
        <w:spacing w:after="0" w:line="257"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Other Distributions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Subject to receipt of timely notice, as described in the deposit agreement, from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us with the request to make any such 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253" w:lineRule="exact"/>
        <w:rPr>
          <w:sz w:val="20"/>
          <w:szCs w:val="20"/>
          <w:color w:val="auto"/>
        </w:rPr>
      </w:pPr>
    </w:p>
    <w:p>
      <w:pPr>
        <w:jc w:val="both"/>
        <w:ind w:left="1280" w:right="1299"/>
        <w:spacing w:after="0" w:line="250" w:lineRule="auto"/>
        <w:rPr>
          <w:sz w:val="20"/>
          <w:szCs w:val="20"/>
          <w:color w:val="auto"/>
        </w:rPr>
      </w:pPr>
      <w:r>
        <w:rPr>
          <w:rFonts w:ascii="Times New Roman" w:cs="Times New Roman" w:eastAsia="Times New Roman" w:hAnsi="Times New Roman"/>
          <w:sz w:val="14"/>
          <w:szCs w:val="14"/>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Deposit, Withdrawal and Cancellation</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How are ADSs issued?</w:t>
      </w:r>
    </w:p>
    <w:p>
      <w:pPr>
        <w:spacing w:after="0" w:line="128" w:lineRule="exact"/>
        <w:rPr>
          <w:sz w:val="20"/>
          <w:szCs w:val="20"/>
          <w:color w:val="auto"/>
        </w:rPr>
      </w:pPr>
    </w:p>
    <w:p>
      <w:pPr>
        <w:jc w:val="both"/>
        <w:ind w:left="1280" w:right="1299"/>
        <w:spacing w:after="0" w:line="250" w:lineRule="auto"/>
        <w:rPr>
          <w:sz w:val="20"/>
          <w:szCs w:val="20"/>
          <w:color w:val="auto"/>
        </w:rPr>
      </w:pPr>
      <w:r>
        <w:rPr>
          <w:rFonts w:ascii="Times New Roman" w:cs="Times New Roman" w:eastAsia="Times New Roman" w:hAnsi="Times New Roman"/>
          <w:sz w:val="14"/>
          <w:szCs w:val="14"/>
          <w:color w:val="auto"/>
        </w:rPr>
        <w:t>The depositary will deliver ADSs if you or your broker deposit Class A ordinary shares or evidence of rights to receive Class A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How do ADS holders cancel an American Depositary Share?</w:t>
      </w:r>
    </w:p>
    <w:p>
      <w:pPr>
        <w:spacing w:after="0" w:line="117" w:lineRule="exact"/>
        <w:rPr>
          <w:sz w:val="20"/>
          <w:szCs w:val="20"/>
          <w:color w:val="auto"/>
        </w:rPr>
      </w:pPr>
    </w:p>
    <w:p>
      <w:pPr>
        <w:jc w:val="both"/>
        <w:ind w:left="1280" w:right="1299"/>
        <w:spacing w:after="0" w:line="250" w:lineRule="auto"/>
        <w:rPr>
          <w:sz w:val="20"/>
          <w:szCs w:val="20"/>
          <w:color w:val="auto"/>
        </w:rPr>
      </w:pPr>
      <w:r>
        <w:rPr>
          <w:rFonts w:ascii="Times New Roman" w:cs="Times New Roman" w:eastAsia="Times New Roman" w:hAnsi="Times New Roman"/>
          <w:sz w:val="14"/>
          <w:szCs w:val="14"/>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Class A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How do ADS holders interchange between Certificated ADSs and Uncertificated ADSs?</w:t>
      </w:r>
    </w:p>
    <w:p>
      <w:pPr>
        <w:spacing w:after="0" w:line="128" w:lineRule="exact"/>
        <w:rPr>
          <w:sz w:val="20"/>
          <w:szCs w:val="20"/>
          <w:color w:val="auto"/>
        </w:rPr>
      </w:pPr>
    </w:p>
    <w:p>
      <w:pPr>
        <w:jc w:val="both"/>
        <w:ind w:left="1280" w:right="1299"/>
        <w:spacing w:after="0" w:line="250" w:lineRule="auto"/>
        <w:rPr>
          <w:sz w:val="20"/>
          <w:szCs w:val="20"/>
          <w:color w:val="auto"/>
        </w:rPr>
      </w:pPr>
      <w:r>
        <w:rPr>
          <w:rFonts w:ascii="Times New Roman" w:cs="Times New Roman" w:eastAsia="Times New Roman" w:hAnsi="Times New Roman"/>
          <w:sz w:val="14"/>
          <w:szCs w:val="14"/>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How do you vote?</w:t>
      </w:r>
    </w:p>
    <w:p>
      <w:pPr>
        <w:spacing w:after="0" w:line="117" w:lineRule="exact"/>
        <w:rPr>
          <w:sz w:val="20"/>
          <w:szCs w:val="20"/>
          <w:color w:val="auto"/>
        </w:rPr>
      </w:pPr>
    </w:p>
    <w:p>
      <w:pPr>
        <w:jc w:val="both"/>
        <w:ind w:left="1280" w:right="1299"/>
        <w:spacing w:after="0" w:line="251" w:lineRule="auto"/>
        <w:rPr>
          <w:sz w:val="20"/>
          <w:szCs w:val="20"/>
          <w:color w:val="auto"/>
        </w:rPr>
      </w:pPr>
      <w:r>
        <w:rPr>
          <w:rFonts w:ascii="Times New Roman" w:cs="Times New Roman" w:eastAsia="Times New Roman" w:hAnsi="Times New Roman"/>
          <w:sz w:val="14"/>
          <w:szCs w:val="14"/>
          <w:color w:val="auto"/>
        </w:rPr>
        <w:t>You may instruct the depositary to vote the Class A ordinary shares or other deposited securities underlying your ADSs at any meeting at which you are entitled to vote pursuant to any applicable law, the provisions of our memorandum and articles of association, and the provisions of or governing the deposited securities. Otherwise, you could exercise your right to vote directly if you withdraw the Class A ordinary shares. However, you may not know about the meeting sufficiently enough in advance to withdraw the Class A ordinary shares.</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5" w:name="page46"/>
    <w:bookmarkEnd w:id="45"/>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45" w:lineRule="auto"/>
        <w:rPr>
          <w:sz w:val="20"/>
          <w:szCs w:val="20"/>
          <w:color w:val="auto"/>
        </w:rPr>
      </w:pPr>
      <w:r>
        <w:rPr>
          <w:rFonts w:ascii="Times New Roman" w:cs="Times New Roman" w:eastAsia="Times New Roman" w:hAnsi="Times New Roman"/>
          <w:sz w:val="14"/>
          <w:szCs w:val="14"/>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Class A ordinary shares or other deposited securities represented by such holder’s ADSs; and (c) a brief statement as to the manner in which such instructions may be given to the depositary or deemed given in accordance with the second to last sentence of this paragraph if no instruction is received by the depositary to give a discretionary proxy to a person designated by us. Voting instructions may be given only in respect of a number of ADSs representing an integral number of Class A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Class A ordinary shares or other deposited securities (in person or by proxy) as you instruct. The depositary will only vote or attempt to vote as you instruct.</w:t>
      </w:r>
    </w:p>
    <w:p>
      <w:pPr>
        <w:spacing w:after="0" w:line="254" w:lineRule="exact"/>
        <w:rPr>
          <w:sz w:val="20"/>
          <w:szCs w:val="20"/>
          <w:color w:val="auto"/>
        </w:rPr>
      </w:pPr>
    </w:p>
    <w:p>
      <w:pPr>
        <w:jc w:val="both"/>
        <w:ind w:left="1280" w:right="1299"/>
        <w:spacing w:after="0" w:line="245" w:lineRule="auto"/>
        <w:rPr>
          <w:sz w:val="20"/>
          <w:szCs w:val="20"/>
          <w:color w:val="auto"/>
        </w:rPr>
      </w:pPr>
      <w:r>
        <w:rPr>
          <w:rFonts w:ascii="Times New Roman" w:cs="Times New Roman" w:eastAsia="Times New Roman" w:hAnsi="Times New Roman"/>
          <w:sz w:val="14"/>
          <w:szCs w:val="14"/>
          <w:color w:val="auto"/>
        </w:rPr>
        <w:t>We cannot assure you that you will receive the voting materials in time to ensure that you can instruct the depositary to vote the Class A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Class A ordinary shares.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Class A ordinary shares.</w:t>
      </w:r>
    </w:p>
    <w:p>
      <w:pPr>
        <w:spacing w:after="0" w:line="258" w:lineRule="exact"/>
        <w:rPr>
          <w:sz w:val="20"/>
          <w:szCs w:val="20"/>
          <w:color w:val="auto"/>
        </w:rPr>
      </w:pPr>
    </w:p>
    <w:p>
      <w:pPr>
        <w:jc w:val="both"/>
        <w:ind w:left="1280" w:right="1299"/>
        <w:spacing w:after="0" w:line="267" w:lineRule="auto"/>
        <w:rPr>
          <w:sz w:val="20"/>
          <w:szCs w:val="20"/>
          <w:color w:val="auto"/>
        </w:rPr>
      </w:pPr>
      <w:r>
        <w:rPr>
          <w:rFonts w:ascii="Times New Roman" w:cs="Times New Roman" w:eastAsia="Times New Roman" w:hAnsi="Times New Roman"/>
          <w:sz w:val="14"/>
          <w:szCs w:val="14"/>
          <w:color w:val="auto"/>
        </w:rPr>
        <w:t xml:space="preserve">The depositary and its agents are not responsible for failing to carry out voting instructions or for the manner of carrying out voting instructions. </w:t>
      </w:r>
      <w:r>
        <w:rPr>
          <w:rFonts w:ascii="Times New Roman" w:cs="Times New Roman" w:eastAsia="Times New Roman" w:hAnsi="Times New Roman"/>
          <w:sz w:val="14"/>
          <w:szCs w:val="14"/>
          <w:i w:val="1"/>
          <w:iCs w:val="1"/>
          <w:color w:val="auto"/>
        </w:rPr>
        <w:t>This means that you may not be able to exercise your right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vote and you may have no recourse if the Class A ordinary shares underlying your ADSs are not voted as you requested.</w:t>
      </w:r>
    </w:p>
    <w:p>
      <w:pPr>
        <w:spacing w:after="0" w:line="249" w:lineRule="exact"/>
        <w:rPr>
          <w:sz w:val="20"/>
          <w:szCs w:val="20"/>
          <w:color w:val="auto"/>
        </w:rPr>
      </w:pPr>
    </w:p>
    <w:p>
      <w:pPr>
        <w:jc w:val="both"/>
        <w:ind w:left="1280" w:right="1299"/>
        <w:spacing w:after="0" w:line="267" w:lineRule="auto"/>
        <w:rPr>
          <w:sz w:val="20"/>
          <w:szCs w:val="20"/>
          <w:color w:val="auto"/>
        </w:rPr>
      </w:pPr>
      <w:r>
        <w:rPr>
          <w:rFonts w:ascii="Times New Roman" w:cs="Times New Roman" w:eastAsia="Times New Roman" w:hAnsi="Times New Roman"/>
          <w:sz w:val="14"/>
          <w:szCs w:val="14"/>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3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Compliance with Regulations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Information Requests</w:t>
      </w:r>
    </w:p>
    <w:p>
      <w:pPr>
        <w:spacing w:after="0" w:line="128" w:lineRule="exact"/>
        <w:rPr>
          <w:sz w:val="20"/>
          <w:szCs w:val="20"/>
          <w:color w:val="auto"/>
        </w:rPr>
      </w:pPr>
    </w:p>
    <w:p>
      <w:pPr>
        <w:jc w:val="both"/>
        <w:ind w:left="1280" w:right="1299"/>
        <w:spacing w:after="0" w:line="255" w:lineRule="auto"/>
        <w:rPr>
          <w:sz w:val="20"/>
          <w:szCs w:val="20"/>
          <w:color w:val="auto"/>
        </w:rPr>
      </w:pPr>
      <w:r>
        <w:rPr>
          <w:rFonts w:ascii="Times New Roman" w:cs="Times New Roman" w:eastAsia="Times New Roman" w:hAnsi="Times New Roman"/>
          <w:sz w:val="14"/>
          <w:szCs w:val="14"/>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Class A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w:t>
      </w:r>
    </w:p>
    <w:p>
      <w:pPr>
        <w:spacing w:after="0" w:line="5" w:lineRule="exact"/>
        <w:rPr>
          <w:sz w:val="20"/>
          <w:szCs w:val="20"/>
          <w:color w:val="auto"/>
        </w:rPr>
      </w:pPr>
    </w:p>
    <w:p>
      <w:pPr>
        <w:jc w:val="both"/>
        <w:ind w:left="1280" w:right="1299" w:hanging="4"/>
        <w:spacing w:after="0" w:line="257" w:lineRule="auto"/>
        <w:tabs>
          <w:tab w:leader="none" w:pos="150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bound by and subject to applicable provisions of the laws of the Cayman Islands, our memorandum and articles of association, and the requirements of any markets or exchanges upon which the ADSs, ADRs or Class A ordinary shares are listed or traded, or pursuant to any requirements of any electronic book-entry system by which the ADSs,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6" w:name="page47"/>
    <w:bookmarkEnd w:id="46"/>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ADRs or Class A ordinary shares may be transferred, to the same extent as if such ADS holder or beneficial owner held Class A ordinary shares directly, in each case irrespective of whether or not they are ADS holders or beneficial owners at the time such request is made.</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Disclosure of Interests</w:t>
      </w:r>
    </w:p>
    <w:p>
      <w:pPr>
        <w:spacing w:after="0" w:line="128" w:lineRule="exact"/>
        <w:rPr>
          <w:sz w:val="20"/>
          <w:szCs w:val="20"/>
          <w:color w:val="auto"/>
        </w:rPr>
      </w:pPr>
    </w:p>
    <w:p>
      <w:pPr>
        <w:jc w:val="both"/>
        <w:ind w:left="1280" w:right="1299"/>
        <w:spacing w:after="0" w:line="259" w:lineRule="auto"/>
        <w:rPr>
          <w:sz w:val="20"/>
          <w:szCs w:val="20"/>
          <w:color w:val="auto"/>
        </w:rPr>
      </w:pPr>
      <w:r>
        <w:rPr>
          <w:rFonts w:ascii="Times New Roman" w:cs="Times New Roman" w:eastAsia="Times New Roman" w:hAnsi="Times New Roman"/>
          <w:sz w:val="14"/>
          <w:szCs w:val="14"/>
          <w:color w:val="auto"/>
        </w:rPr>
        <w:t>Each ADS holder and beneficial owner shall comply with our requests pursuant to Cayman Islands law, the rules and requirements of Nasdaq and any other stock exchange on which the Class A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3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128" w:lineRule="exact"/>
        <w:rPr>
          <w:sz w:val="20"/>
          <w:szCs w:val="20"/>
          <w:color w:val="auto"/>
        </w:rPr>
      </w:pPr>
    </w:p>
    <w:p>
      <w:pPr>
        <w:jc w:val="both"/>
        <w:ind w:left="1280" w:right="1299"/>
        <w:spacing w:after="0" w:line="260" w:lineRule="auto"/>
        <w:rPr>
          <w:sz w:val="20"/>
          <w:szCs w:val="20"/>
          <w:color w:val="auto"/>
        </w:rPr>
      </w:pPr>
      <w:r>
        <w:rPr>
          <w:rFonts w:ascii="Times New Roman" w:cs="Times New Roman" w:eastAsia="Times New Roman" w:hAnsi="Times New Roman"/>
          <w:sz w:val="14"/>
          <w:szCs w:val="14"/>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ectPr>
          <w:pgSz w:w="11900" w:h="16838" w:orient="portrait"/>
          <w:cols w:equalWidth="0" w:num="1">
            <w:col w:w="9019"/>
          </w:cols>
          <w:pgMar w:left="1440" w:top="108" w:right="1440" w:bottom="1440" w:gutter="0" w:footer="0" w:header="0"/>
        </w:sectPr>
      </w:pP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ind w:left="1120"/>
        <w:spacing w:after="0"/>
        <w:tabs>
          <w:tab w:leader="none" w:pos="2880" w:val="left"/>
          <w:tab w:leader="none" w:pos="4480" w:val="left"/>
        </w:tabs>
        <w:rPr>
          <w:sz w:val="20"/>
          <w:szCs w:val="20"/>
          <w:color w:val="auto"/>
        </w:rPr>
      </w:pPr>
      <w:r>
        <w:rPr>
          <w:rFonts w:ascii="Times New Roman" w:cs="Times New Roman" w:eastAsia="Times New Roman" w:hAnsi="Times New Roman"/>
          <w:sz w:val="11"/>
          <w:szCs w:val="11"/>
          <w:b w:val="1"/>
          <w:bCs w:val="1"/>
          <w:color w:val="auto"/>
        </w:rPr>
        <w:t>Service</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21590</wp:posOffset>
            </wp:positionV>
            <wp:extent cx="410019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4100195" cy="6985"/>
                    </a:xfrm>
                    <a:prstGeom prst="rect">
                      <a:avLst/>
                    </a:prstGeom>
                    <a:noFill/>
                  </pic:spPr>
                </pic:pic>
              </a:graphicData>
            </a:graphic>
          </wp:anchor>
        </w:drawing>
      </w:r>
    </w:p>
    <w:p>
      <w:pPr>
        <w:spacing w:after="0" w:line="16" w:lineRule="exact"/>
        <w:rPr>
          <w:sz w:val="20"/>
          <w:szCs w:val="20"/>
          <w:color w:val="auto"/>
        </w:rPr>
      </w:pPr>
    </w:p>
    <w:p>
      <w:pPr>
        <w:ind w:right="580"/>
        <w:spacing w:after="0" w:line="267" w:lineRule="auto"/>
        <w:rPr>
          <w:sz w:val="20"/>
          <w:szCs w:val="20"/>
          <w:color w:val="auto"/>
        </w:rPr>
      </w:pPr>
      <w:r>
        <w:rPr>
          <w:rFonts w:ascii="Times New Roman" w:cs="Times New Roman" w:eastAsia="Times New Roman" w:hAnsi="Times New Roman"/>
          <w:sz w:val="14"/>
          <w:szCs w:val="14"/>
          <w:color w:val="auto"/>
        </w:rPr>
        <w:t>To any person to which ADSs are issued or to​ ​ Up to US$0.05 per ADS issued any person to which a distribution is made in respect of ADS distributions pursuant to stock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dividends or other free distributions of stock,</w:t>
      </w:r>
    </w:p>
    <w:p>
      <w:pPr>
        <w:spacing w:after="0" w:line="9" w:lineRule="exact"/>
        <w:rPr>
          <w:sz w:val="20"/>
          <w:szCs w:val="20"/>
          <w:color w:val="auto"/>
        </w:rPr>
      </w:pPr>
    </w:p>
    <w:p>
      <w:pPr>
        <w:spacing w:after="0"/>
        <w:tabs>
          <w:tab w:leader="none" w:pos="460" w:val="left"/>
          <w:tab w:leader="none" w:pos="1380" w:val="left"/>
          <w:tab w:leader="none" w:pos="1820" w:val="left"/>
          <w:tab w:leader="none" w:pos="2260" w:val="left"/>
          <w:tab w:leader="none" w:pos="2520" w:val="left"/>
        </w:tabs>
        <w:rPr>
          <w:sz w:val="20"/>
          <w:szCs w:val="20"/>
          <w:color w:val="auto"/>
        </w:rPr>
      </w:pPr>
      <w:r>
        <w:rPr>
          <w:rFonts w:ascii="Times New Roman" w:cs="Times New Roman" w:eastAsia="Times New Roman" w:hAnsi="Times New Roman"/>
          <w:sz w:val="14"/>
          <w:szCs w:val="14"/>
          <w:color w:val="auto"/>
        </w:rPr>
        <w:t>bonus</w:t>
        <w:tab/>
        <w:t>distributions,</w:t>
        <w:tab/>
        <w:t>stock</w:t>
        <w:tab/>
        <w:t>splits</w:t>
        <w:tab/>
        <w:t>or</w:t>
        <w:tab/>
        <w:t>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distributions (except where converted to cash)</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ind w:right="1259"/>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2" w:lineRule="exact"/>
        <w:rPr>
          <w:sz w:val="20"/>
          <w:szCs w:val="20"/>
          <w:color w:val="auto"/>
        </w:rPr>
      </w:pPr>
    </w:p>
    <w:p>
      <w:pPr>
        <w:jc w:val="center"/>
        <w:ind w:right="1259"/>
        <w:spacing w:after="0"/>
        <w:rPr>
          <w:sz w:val="20"/>
          <w:szCs w:val="20"/>
          <w:color w:val="auto"/>
        </w:rPr>
      </w:pPr>
      <w:r>
        <w:rPr>
          <w:rFonts w:ascii="Times New Roman" w:cs="Times New Roman" w:eastAsia="Times New Roman" w:hAnsi="Times New Roman"/>
          <w:sz w:val="14"/>
          <w:szCs w:val="14"/>
          <w:color w:val="auto"/>
        </w:rPr>
        <w:t>​</w:t>
      </w:r>
    </w:p>
    <w:p>
      <w:pPr>
        <w:spacing w:after="0" w:line="879" w:lineRule="exact"/>
        <w:rPr>
          <w:sz w:val="20"/>
          <w:szCs w:val="20"/>
          <w:color w:val="auto"/>
        </w:rPr>
      </w:pPr>
    </w:p>
    <w:p>
      <w:pPr>
        <w:sectPr>
          <w:pgSz w:w="11900" w:h="16838" w:orient="portrait"/>
          <w:cols w:equalWidth="0" w:num="3">
            <w:col w:w="1320" w:space="240"/>
            <w:col w:w="5460" w:space="720"/>
            <w:col w:w="1279"/>
          </w:cols>
          <w:pgMar w:left="1440" w:top="108" w:right="1440" w:bottom="1440" w:gutter="0" w:footer="0" w:header="0"/>
          <w:type w:val="continuous"/>
        </w:sectPr>
      </w:pPr>
    </w:p>
    <w:tbl>
      <w:tblPr>
        <w:tblLayout w:type="fixed"/>
        <w:tblInd w:w="1280" w:type="dxa"/>
        <w:tblCellMar>
          <w:top w:w="0" w:type="dxa"/>
          <w:left w:w="0" w:type="dxa"/>
          <w:bottom w:w="0" w:type="dxa"/>
          <w:right w:w="0" w:type="dxa"/>
        </w:tblCellMar>
      </w:tblPr>
      <w:tr>
        <w:trPr>
          <w:trHeight w:val="147"/>
        </w:trPr>
        <w:tc>
          <w:tcPr>
            <w:tcW w:w="1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2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Cancellation of ADSs, including in the case of</w:t>
            </w:r>
          </w:p>
        </w:tc>
        <w:tc>
          <w:tcPr>
            <w:tcW w:w="1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Up to US$0.05 per ADS cancelled</w:t>
            </w:r>
          </w:p>
        </w:tc>
        <w:tc>
          <w:tcPr>
            <w:tcW w:w="0" w:type="dxa"/>
            <w:vAlign w:val="bottom"/>
          </w:tcPr>
          <w:p>
            <w:pPr>
              <w:spacing w:after="0"/>
              <w:rPr>
                <w:sz w:val="1"/>
                <w:szCs w:val="1"/>
                <w:color w:val="auto"/>
              </w:rPr>
            </w:pPr>
          </w:p>
        </w:tc>
      </w:tr>
      <w:tr>
        <w:trPr>
          <w:trHeight w:val="49"/>
        </w:trPr>
        <w:tc>
          <w:tcPr>
            <w:tcW w:w="160" w:type="dxa"/>
            <w:vAlign w:val="bottom"/>
          </w:tcPr>
          <w:p>
            <w:pPr>
              <w:spacing w:after="0" w:line="49" w:lineRule="exact"/>
              <w:rPr>
                <w:sz w:val="20"/>
                <w:szCs w:val="20"/>
                <w:color w:val="auto"/>
              </w:rPr>
            </w:pPr>
            <w:r>
              <w:rPr>
                <w:rFonts w:ascii="Times New Roman" w:cs="Times New Roman" w:eastAsia="Times New Roman" w:hAnsi="Times New Roman"/>
                <w:sz w:val="5"/>
                <w:szCs w:val="5"/>
                <w:color w:val="auto"/>
              </w:rPr>
              <w:t>•</w:t>
            </w:r>
          </w:p>
        </w:tc>
        <w:tc>
          <w:tcPr>
            <w:tcW w:w="29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termination of the deposit agreement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60" w:type="dxa"/>
            <w:vAlign w:val="bottom"/>
            <w:vMerge w:val="continue"/>
          </w:tcPr>
          <w:p>
            <w:pPr>
              <w:spacing w:after="0"/>
              <w:rPr>
                <w:sz w:val="11"/>
                <w:szCs w:val="11"/>
                <w:color w:val="auto"/>
              </w:rPr>
            </w:pPr>
          </w:p>
        </w:tc>
        <w:tc>
          <w:tcPr>
            <w:tcW w:w="2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Distribution of cash dividends</w:t>
            </w:r>
          </w:p>
        </w:tc>
        <w:tc>
          <w:tcPr>
            <w:tcW w:w="140" w:type="dxa"/>
            <w:vAlign w:val="bottom"/>
            <w:vMerge w:val="continue"/>
          </w:tcPr>
          <w:p>
            <w:pPr>
              <w:spacing w:after="0"/>
              <w:rPr>
                <w:sz w:val="11"/>
                <w:szCs w:val="11"/>
                <w:color w:val="auto"/>
              </w:rPr>
            </w:pPr>
          </w:p>
        </w:tc>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Up to US$0.05 per ADS held</w:t>
            </w:r>
          </w:p>
        </w:tc>
        <w:tc>
          <w:tcPr>
            <w:tcW w:w="0" w:type="dxa"/>
            <w:vAlign w:val="bottom"/>
          </w:tcPr>
          <w:p>
            <w:pPr>
              <w:spacing w:after="0"/>
              <w:rPr>
                <w:sz w:val="1"/>
                <w:szCs w:val="1"/>
                <w:color w:val="auto"/>
              </w:rPr>
            </w:pPr>
          </w:p>
        </w:tc>
      </w:tr>
      <w:tr>
        <w:trPr>
          <w:trHeight w:val="70"/>
        </w:trPr>
        <w:tc>
          <w:tcPr>
            <w:tcW w:w="160" w:type="dxa"/>
            <w:vAlign w:val="bottom"/>
          </w:tcPr>
          <w:p>
            <w:pPr>
              <w:spacing w:after="0" w:line="71" w:lineRule="exact"/>
              <w:rPr>
                <w:sz w:val="20"/>
                <w:szCs w:val="20"/>
                <w:color w:val="auto"/>
              </w:rPr>
            </w:pPr>
            <w:r>
              <w:rPr>
                <w:rFonts w:ascii="Times New Roman" w:cs="Times New Roman" w:eastAsia="Times New Roman" w:hAnsi="Times New Roman"/>
                <w:sz w:val="8"/>
                <w:szCs w:val="8"/>
                <w:color w:val="auto"/>
              </w:rPr>
              <w:t>•</w:t>
            </w:r>
          </w:p>
        </w:tc>
        <w:tc>
          <w:tcPr>
            <w:tcW w:w="29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Distribution of cash entitlements (other than</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 ​</w:t>
            </w:r>
          </w:p>
        </w:tc>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Up to US$0.05 per ADS held</w:t>
            </w:r>
          </w:p>
        </w:tc>
        <w:tc>
          <w:tcPr>
            <w:tcW w:w="0" w:type="dxa"/>
            <w:vAlign w:val="bottom"/>
          </w:tcPr>
          <w:p>
            <w:pPr>
              <w:spacing w:after="0"/>
              <w:rPr>
                <w:sz w:val="1"/>
                <w:szCs w:val="1"/>
                <w:color w:val="auto"/>
              </w:rPr>
            </w:pPr>
          </w:p>
        </w:tc>
      </w:tr>
      <w:tr>
        <w:trPr>
          <w:trHeight w:val="49"/>
        </w:trPr>
        <w:tc>
          <w:tcPr>
            <w:tcW w:w="160" w:type="dxa"/>
            <w:vAlign w:val="bottom"/>
          </w:tcPr>
          <w:p>
            <w:pPr>
              <w:spacing w:after="0" w:line="49" w:lineRule="exact"/>
              <w:rPr>
                <w:sz w:val="20"/>
                <w:szCs w:val="20"/>
                <w:color w:val="auto"/>
              </w:rPr>
            </w:pPr>
            <w:r>
              <w:rPr>
                <w:rFonts w:ascii="Times New Roman" w:cs="Times New Roman" w:eastAsia="Times New Roman" w:hAnsi="Times New Roman"/>
                <w:sz w:val="5"/>
                <w:szCs w:val="5"/>
                <w:color w:val="auto"/>
              </w:rPr>
              <w:t>•</w:t>
            </w:r>
          </w:p>
        </w:tc>
        <w:tc>
          <w:tcPr>
            <w:tcW w:w="29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2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dividends) and/or cash proceeds from the</w:t>
            </w:r>
          </w:p>
        </w:tc>
        <w:tc>
          <w:tcPr>
            <w:tcW w:w="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2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 of rights, securities and other entitlements</w:t>
            </w:r>
          </w:p>
        </w:tc>
        <w:tc>
          <w:tcPr>
            <w:tcW w:w="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5" w:lineRule="exact"/>
        <w:rPr>
          <w:sz w:val="20"/>
          <w:szCs w:val="20"/>
          <w:color w:val="auto"/>
        </w:rPr>
      </w:pPr>
    </w:p>
    <w:p>
      <w:pPr>
        <w:sectPr>
          <w:pgSz w:w="11900" w:h="16838" w:orient="portrait"/>
          <w:cols w:equalWidth="0" w:num="2">
            <w:col w:w="7020" w:space="720"/>
            <w:col w:w="1279"/>
          </w:cols>
          <w:pgMar w:left="1440" w:top="108" w:right="1440" w:bottom="1440" w:gutter="0" w:footer="0" w:header="0"/>
          <w:type w:val="continuous"/>
        </w:sectPr>
      </w:pPr>
    </w:p>
    <w:tbl>
      <w:tblPr>
        <w:tblLayout w:type="fixed"/>
        <w:tblInd w:w="1280" w:type="dxa"/>
        <w:tblCellMar>
          <w:top w:w="0" w:type="dxa"/>
          <w:left w:w="0" w:type="dxa"/>
          <w:bottom w:w="0" w:type="dxa"/>
          <w:right w:w="0" w:type="dxa"/>
        </w:tblCellMar>
      </w:tblPr>
      <w:tr>
        <w:trPr>
          <w:trHeight w:val="139"/>
        </w:trPr>
        <w:tc>
          <w:tcPr>
            <w:tcW w:w="1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2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Distribution of ADSs pursuant to exercise of</w:t>
            </w:r>
          </w:p>
        </w:tc>
        <w:tc>
          <w:tcPr>
            <w:tcW w:w="1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Up to US$0.05 per ADS held</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9"/>
        </w:trPr>
        <w:tc>
          <w:tcPr>
            <w:tcW w:w="160" w:type="dxa"/>
            <w:vAlign w:val="bottom"/>
          </w:tcPr>
          <w:p>
            <w:pPr>
              <w:spacing w:after="0" w:line="49" w:lineRule="exact"/>
              <w:rPr>
                <w:sz w:val="20"/>
                <w:szCs w:val="20"/>
                <w:color w:val="auto"/>
              </w:rPr>
            </w:pPr>
            <w:r>
              <w:rPr>
                <w:rFonts w:ascii="Times New Roman" w:cs="Times New Roman" w:eastAsia="Times New Roman" w:hAnsi="Times New Roman"/>
                <w:sz w:val="5"/>
                <w:szCs w:val="5"/>
                <w:color w:val="auto"/>
              </w:rPr>
              <w:t>•</w:t>
            </w:r>
          </w:p>
        </w:tc>
        <w:tc>
          <w:tcPr>
            <w:tcW w:w="29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31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rights</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160" w:type="dxa"/>
            <w:vAlign w:val="bottom"/>
          </w:tcPr>
          <w:p>
            <w:pPr>
              <w:spacing w:after="0"/>
              <w:rPr>
                <w:sz w:val="16"/>
                <w:szCs w:val="16"/>
                <w:color w:val="auto"/>
              </w:rPr>
            </w:pP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9"/>
        </w:trPr>
        <w:tc>
          <w:tcPr>
            <w:tcW w:w="160" w:type="dxa"/>
            <w:vAlign w:val="bottom"/>
            <w:vMerge w:val="continue"/>
          </w:tcPr>
          <w:p>
            <w:pPr>
              <w:spacing w:after="0"/>
              <w:rPr>
                <w:sz w:val="12"/>
                <w:szCs w:val="12"/>
                <w:color w:val="auto"/>
              </w:rPr>
            </w:pPr>
          </w:p>
        </w:tc>
        <w:tc>
          <w:tcPr>
            <w:tcW w:w="2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Distribution of securities other than ADSs or</w:t>
            </w:r>
          </w:p>
        </w:tc>
        <w:tc>
          <w:tcPr>
            <w:tcW w:w="140" w:type="dxa"/>
            <w:vAlign w:val="bottom"/>
            <w:vMerge w:val="continue"/>
          </w:tcPr>
          <w:p>
            <w:pPr>
              <w:spacing w:after="0"/>
              <w:rPr>
                <w:sz w:val="12"/>
                <w:szCs w:val="12"/>
                <w:color w:val="auto"/>
              </w:rPr>
            </w:pPr>
          </w:p>
        </w:tc>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Up to US$0.05 per ADS held</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60" w:type="dxa"/>
            <w:vAlign w:val="bottom"/>
          </w:tcPr>
          <w:p>
            <w:pPr>
              <w:spacing w:after="0" w:line="49" w:lineRule="exact"/>
              <w:rPr>
                <w:sz w:val="20"/>
                <w:szCs w:val="20"/>
                <w:color w:val="auto"/>
              </w:rPr>
            </w:pPr>
            <w:r>
              <w:rPr>
                <w:rFonts w:ascii="Times New Roman" w:cs="Times New Roman" w:eastAsia="Times New Roman" w:hAnsi="Times New Roman"/>
                <w:sz w:val="5"/>
                <w:szCs w:val="5"/>
                <w:color w:val="auto"/>
              </w:rPr>
              <w:t>•</w:t>
            </w:r>
          </w:p>
        </w:tc>
        <w:tc>
          <w:tcPr>
            <w:tcW w:w="29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31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rights to purchase additional ADSs</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160" w:type="dxa"/>
            <w:vAlign w:val="bottom"/>
          </w:tcPr>
          <w:p>
            <w:pPr>
              <w:spacing w:after="0"/>
              <w:rPr>
                <w:sz w:val="16"/>
                <w:szCs w:val="16"/>
                <w:color w:val="auto"/>
              </w:rPr>
            </w:pP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9"/>
        </w:trPr>
        <w:tc>
          <w:tcPr>
            <w:tcW w:w="160" w:type="dxa"/>
            <w:vAlign w:val="bottom"/>
            <w:vMerge w:val="continue"/>
          </w:tcPr>
          <w:p>
            <w:pPr>
              <w:spacing w:after="0"/>
              <w:rPr>
                <w:sz w:val="12"/>
                <w:szCs w:val="12"/>
                <w:color w:val="auto"/>
              </w:rPr>
            </w:pPr>
          </w:p>
        </w:tc>
        <w:tc>
          <w:tcPr>
            <w:tcW w:w="2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Depositary services</w:t>
            </w:r>
          </w:p>
        </w:tc>
        <w:tc>
          <w:tcPr>
            <w:tcW w:w="140" w:type="dxa"/>
            <w:vAlign w:val="bottom"/>
            <w:vMerge w:val="continue"/>
          </w:tcPr>
          <w:p>
            <w:pPr>
              <w:spacing w:after="0"/>
              <w:rPr>
                <w:sz w:val="12"/>
                <w:szCs w:val="12"/>
                <w:color w:val="auto"/>
              </w:rPr>
            </w:pPr>
          </w:p>
        </w:tc>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Up to US$0.05 per ADS held on the applicable</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60" w:type="dxa"/>
            <w:vAlign w:val="bottom"/>
          </w:tcPr>
          <w:p>
            <w:pPr>
              <w:spacing w:after="0" w:line="49" w:lineRule="exact"/>
              <w:rPr>
                <w:sz w:val="20"/>
                <w:szCs w:val="20"/>
                <w:color w:val="auto"/>
              </w:rPr>
            </w:pPr>
            <w:r>
              <w:rPr>
                <w:rFonts w:ascii="Times New Roman" w:cs="Times New Roman" w:eastAsia="Times New Roman" w:hAnsi="Times New Roman"/>
                <w:sz w:val="5"/>
                <w:szCs w:val="5"/>
                <w:color w:val="auto"/>
              </w:rPr>
              <w:t>•</w:t>
            </w:r>
          </w:p>
        </w:tc>
        <w:tc>
          <w:tcPr>
            <w:tcW w:w="29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31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record date(s) established by the depositary bank</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1280" w:right="1299"/>
        <w:spacing w:after="0" w:line="267" w:lineRule="auto"/>
        <w:rPr>
          <w:sz w:val="20"/>
          <w:szCs w:val="20"/>
          <w:color w:val="auto"/>
        </w:rPr>
      </w:pPr>
      <w:r>
        <w:rPr>
          <w:rFonts w:ascii="Times New Roman" w:cs="Times New Roman" w:eastAsia="Times New Roman" w:hAnsi="Times New Roman"/>
          <w:sz w:val="14"/>
          <w:szCs w:val="14"/>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227" w:lineRule="exact"/>
        <w:rPr>
          <w:sz w:val="20"/>
          <w:szCs w:val="20"/>
          <w:color w:val="auto"/>
        </w:rPr>
      </w:pPr>
    </w:p>
    <w:p>
      <w:pPr>
        <w:jc w:val="both"/>
        <w:ind w:left="1700" w:right="1299" w:hanging="141"/>
        <w:spacing w:after="0" w:line="270" w:lineRule="auto"/>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51"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for converting foreign currency into U.S. dollars.</w:t>
      </w:r>
    </w:p>
    <w:p>
      <w:pPr>
        <w:spacing w:after="0" w:line="104"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for cable, telex and fax transmissions and for delivery of securities.</w:t>
      </w:r>
    </w:p>
    <w:p>
      <w:pPr>
        <w:spacing w:after="0" w:line="93" w:lineRule="exact"/>
        <w:rPr>
          <w:rFonts w:ascii="Times New Roman" w:cs="Times New Roman" w:eastAsia="Times New Roman" w:hAnsi="Times New Roman"/>
          <w:sz w:val="14"/>
          <w:szCs w:val="14"/>
          <w:color w:val="auto"/>
        </w:rPr>
      </w:pPr>
    </w:p>
    <w:p>
      <w:pPr>
        <w:jc w:val="both"/>
        <w:ind w:left="1700" w:right="1299" w:hanging="141"/>
        <w:spacing w:after="0" w:line="280" w:lineRule="auto"/>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Taxes and duties upon the transfer of securities, including any applicable stamp duties, any stock transfer charges or withholding taxes (i.e., when Class A ordinary shares are deposited or withdrawn from deposit).</w:t>
      </w:r>
    </w:p>
    <w:p>
      <w:pPr>
        <w:spacing w:after="0" w:line="21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incurred in connection with the delivery or servicing of Class A ordinary shares on deposit.</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47" w:name="page48"/>
    <w:bookmarkEnd w:id="47"/>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700" w:right="1299" w:hanging="141"/>
        <w:spacing w:after="0" w:line="280" w:lineRule="auto"/>
        <w:tabs>
          <w:tab w:leader="none" w:pos="1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incurred in connection with complying with exchange control regulations and other regulatory requirements applicable to Class A ordinary shares, deposited securities, ADSs and ADRs.</w:t>
      </w:r>
    </w:p>
    <w:p>
      <w:pPr>
        <w:spacing w:after="0" w:line="219"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fees and penalties thereon.</w:t>
      </w:r>
    </w:p>
    <w:p>
      <w:pPr>
        <w:spacing w:after="0" w:line="115" w:lineRule="exact"/>
        <w:rPr>
          <w:sz w:val="20"/>
          <w:szCs w:val="20"/>
          <w:color w:val="auto"/>
        </w:rPr>
      </w:pPr>
    </w:p>
    <w:p>
      <w:pPr>
        <w:jc w:val="both"/>
        <w:ind w:left="1280" w:right="1299"/>
        <w:spacing w:after="0" w:line="250" w:lineRule="auto"/>
        <w:rPr>
          <w:sz w:val="20"/>
          <w:szCs w:val="20"/>
          <w:color w:val="auto"/>
        </w:rPr>
      </w:pPr>
      <w:r>
        <w:rPr>
          <w:rFonts w:ascii="Times New Roman" w:cs="Times New Roman" w:eastAsia="Times New Roman" w:hAnsi="Times New Roman"/>
          <w:sz w:val="14"/>
          <w:szCs w:val="14"/>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88" w:lineRule="exact"/>
        <w:rPr>
          <w:sz w:val="20"/>
          <w:szCs w:val="20"/>
          <w:color w:val="auto"/>
        </w:rPr>
      </w:pPr>
    </w:p>
    <w:p>
      <w:pPr>
        <w:jc w:val="both"/>
        <w:ind w:left="1280" w:right="1299"/>
        <w:spacing w:after="0" w:line="246" w:lineRule="auto"/>
        <w:rPr>
          <w:sz w:val="20"/>
          <w:szCs w:val="20"/>
          <w:color w:val="auto"/>
        </w:rPr>
      </w:pPr>
      <w:r>
        <w:rPr>
          <w:rFonts w:ascii="Times New Roman" w:cs="Times New Roman" w:eastAsia="Times New Roman" w:hAnsi="Times New Roman"/>
          <w:sz w:val="14"/>
          <w:szCs w:val="14"/>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257"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84" w:lineRule="exact"/>
        <w:rPr>
          <w:sz w:val="20"/>
          <w:szCs w:val="20"/>
          <w:color w:val="auto"/>
        </w:rPr>
      </w:pPr>
    </w:p>
    <w:p>
      <w:pPr>
        <w:jc w:val="both"/>
        <w:ind w:left="1280" w:right="1299"/>
        <w:spacing w:after="0" w:line="262" w:lineRule="auto"/>
        <w:rPr>
          <w:sz w:val="20"/>
          <w:szCs w:val="20"/>
          <w:color w:val="auto"/>
        </w:rPr>
      </w:pPr>
      <w:r>
        <w:rPr>
          <w:rFonts w:ascii="Times New Roman" w:cs="Times New Roman" w:eastAsia="Times New Roman" w:hAnsi="Times New Roman"/>
          <w:sz w:val="14"/>
          <w:szCs w:val="14"/>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Payment of Taxes</w:t>
      </w:r>
    </w:p>
    <w:p>
      <w:pPr>
        <w:spacing w:after="0" w:line="128" w:lineRule="exact"/>
        <w:rPr>
          <w:sz w:val="20"/>
          <w:szCs w:val="20"/>
          <w:color w:val="auto"/>
        </w:rPr>
      </w:pPr>
    </w:p>
    <w:p>
      <w:pPr>
        <w:jc w:val="both"/>
        <w:ind w:left="1280" w:right="1299"/>
        <w:spacing w:after="0" w:line="245" w:lineRule="auto"/>
        <w:rPr>
          <w:sz w:val="20"/>
          <w:szCs w:val="20"/>
          <w:color w:val="auto"/>
        </w:rPr>
      </w:pPr>
      <w:r>
        <w:rPr>
          <w:rFonts w:ascii="Times New Roman" w:cs="Times New Roman" w:eastAsia="Times New Roman" w:hAnsi="Times New Roman"/>
          <w:sz w:val="14"/>
          <w:szCs w:val="14"/>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3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Reclassifications, Recapitalizations and Mergers</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79"/>
        </w:trPr>
        <w:tc>
          <w:tcPr>
            <w:tcW w:w="1000" w:type="dxa"/>
            <w:vAlign w:val="bottom"/>
          </w:tcPr>
          <w:p>
            <w:pPr>
              <w:spacing w:after="0"/>
              <w:rPr>
                <w:sz w:val="15"/>
                <w:szCs w:val="15"/>
                <w:color w:val="auto"/>
              </w:rPr>
            </w:pP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If we:</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316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1"/>
                <w:szCs w:val="11"/>
                <w:b w:val="1"/>
                <w:bCs w:val="1"/>
                <w:color w:val="auto"/>
              </w:rPr>
              <w:t>Then:</w:t>
            </w:r>
          </w:p>
        </w:tc>
        <w:tc>
          <w:tcPr>
            <w:tcW w:w="9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30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w:t>
            </w:r>
          </w:p>
        </w:tc>
        <w:tc>
          <w:tcPr>
            <w:tcW w:w="1840" w:type="dxa"/>
            <w:vAlign w:val="bottom"/>
          </w:tcPr>
          <w:p>
            <w:pPr>
              <w:spacing w:after="0"/>
              <w:rPr>
                <w:sz w:val="10"/>
                <w:szCs w:val="10"/>
                <w:color w:val="auto"/>
              </w:rPr>
            </w:pPr>
          </w:p>
        </w:tc>
        <w:tc>
          <w:tcPr>
            <w:tcW w:w="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w:t>
            </w:r>
          </w:p>
        </w:tc>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cash, shares or other securities received by the</w:t>
            </w:r>
          </w:p>
        </w:tc>
        <w:tc>
          <w:tcPr>
            <w:tcW w:w="9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9"/>
        </w:trPr>
        <w:tc>
          <w:tcPr>
            <w:tcW w:w="1000" w:type="dxa"/>
            <w:vAlign w:val="bottom"/>
          </w:tcPr>
          <w:p>
            <w:pPr>
              <w:spacing w:after="0"/>
              <w:rPr>
                <w:sz w:val="4"/>
                <w:szCs w:val="4"/>
                <w:color w:val="auto"/>
              </w:rPr>
            </w:pPr>
          </w:p>
        </w:tc>
        <w:tc>
          <w:tcPr>
            <w:tcW w:w="3140" w:type="dxa"/>
            <w:vAlign w:val="bottom"/>
            <w:gridSpan w:val="2"/>
          </w:tcPr>
          <w:p>
            <w:pPr>
              <w:spacing w:after="0" w:line="49" w:lineRule="exact"/>
              <w:rPr>
                <w:sz w:val="20"/>
                <w:szCs w:val="20"/>
                <w:color w:val="auto"/>
              </w:rPr>
            </w:pPr>
            <w:r>
              <w:rPr>
                <w:rFonts w:ascii="Times New Roman" w:cs="Times New Roman" w:eastAsia="Times New Roman" w:hAnsi="Times New Roman"/>
                <w:sz w:val="5"/>
                <w:szCs w:val="5"/>
                <w:color w:val="auto"/>
              </w:rPr>
              <w:t>Change the nominal or par value of our Class A</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depositary will become deposited securities.</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3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Each ADS will automatically represent its equal</w:t>
            </w:r>
          </w:p>
        </w:tc>
        <w:tc>
          <w:tcPr>
            <w:tcW w:w="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9"/>
        </w:trPr>
        <w:tc>
          <w:tcPr>
            <w:tcW w:w="1000" w:type="dxa"/>
            <w:vAlign w:val="bottom"/>
          </w:tcPr>
          <w:p>
            <w:pPr>
              <w:spacing w:after="0"/>
              <w:rPr>
                <w:sz w:val="4"/>
                <w:szCs w:val="4"/>
                <w:color w:val="auto"/>
              </w:rPr>
            </w:pPr>
          </w:p>
        </w:tc>
        <w:tc>
          <w:tcPr>
            <w:tcW w:w="3140" w:type="dxa"/>
            <w:vAlign w:val="bottom"/>
            <w:gridSpan w:val="2"/>
          </w:tcPr>
          <w:p>
            <w:pPr>
              <w:spacing w:after="0" w:line="49" w:lineRule="exact"/>
              <w:rPr>
                <w:sz w:val="20"/>
                <w:szCs w:val="20"/>
                <w:color w:val="auto"/>
              </w:rPr>
            </w:pPr>
            <w:r>
              <w:rPr>
                <w:rFonts w:ascii="Times New Roman" w:cs="Times New Roman" w:eastAsia="Times New Roman" w:hAnsi="Times New Roman"/>
                <w:sz w:val="5"/>
                <w:szCs w:val="5"/>
                <w:color w:val="auto"/>
              </w:rPr>
              <w:t>Reclassify,  split  up  or  consolidate  any  of  the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deposited securities</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share of the new deposited securities.</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3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depositary may distribute some or all of the</w:t>
            </w:r>
          </w:p>
        </w:tc>
        <w:tc>
          <w:tcPr>
            <w:tcW w:w="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9"/>
        </w:trPr>
        <w:tc>
          <w:tcPr>
            <w:tcW w:w="1000" w:type="dxa"/>
            <w:vAlign w:val="bottom"/>
          </w:tcPr>
          <w:p>
            <w:pPr>
              <w:spacing w:after="0"/>
              <w:rPr>
                <w:sz w:val="4"/>
                <w:szCs w:val="4"/>
                <w:color w:val="auto"/>
              </w:rPr>
            </w:pPr>
          </w:p>
        </w:tc>
        <w:tc>
          <w:tcPr>
            <w:tcW w:w="3140" w:type="dxa"/>
            <w:vAlign w:val="bottom"/>
            <w:gridSpan w:val="2"/>
          </w:tcPr>
          <w:p>
            <w:pPr>
              <w:spacing w:after="0" w:line="49" w:lineRule="exact"/>
              <w:rPr>
                <w:sz w:val="20"/>
                <w:szCs w:val="20"/>
                <w:color w:val="auto"/>
              </w:rPr>
            </w:pPr>
            <w:r>
              <w:rPr>
                <w:rFonts w:ascii="Times New Roman" w:cs="Times New Roman" w:eastAsia="Times New Roman" w:hAnsi="Times New Roman"/>
                <w:sz w:val="5"/>
                <w:szCs w:val="5"/>
                <w:color w:val="auto"/>
              </w:rPr>
              <w:t>Distribute securities on the Class A ordinary shares</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that  are  not  distributed  to  you,  or  recapitalize,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cash, shares or other securities it received. It may</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reorganize, merge, liquidate, sell all or substantially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also deliver new ADSs or ask you to surrender your</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of our assets, or take any similar action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ADRs  in  exchange  for  new  ADRs</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identifying the new deposited securities.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0"/>
        </w:trPr>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40</w:t>
            </w:r>
          </w:p>
        </w:tc>
        <w:tc>
          <w:tcPr>
            <w:tcW w:w="3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170180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8" w:name="page49"/>
    <w:bookmarkEnd w:id="48"/>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Amendment and Termination</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How may the deposit agreement be amended?</w:t>
      </w:r>
    </w:p>
    <w:p>
      <w:pPr>
        <w:spacing w:after="0" w:line="128" w:lineRule="exact"/>
        <w:rPr>
          <w:sz w:val="20"/>
          <w:szCs w:val="20"/>
          <w:color w:val="auto"/>
        </w:rPr>
      </w:pPr>
    </w:p>
    <w:p>
      <w:pPr>
        <w:jc w:val="both"/>
        <w:ind w:left="1280" w:right="1299"/>
        <w:spacing w:after="0" w:line="256" w:lineRule="auto"/>
        <w:rPr>
          <w:sz w:val="20"/>
          <w:szCs w:val="20"/>
          <w:color w:val="auto"/>
        </w:rPr>
      </w:pPr>
      <w:r>
        <w:rPr>
          <w:rFonts w:ascii="Times New Roman" w:cs="Times New Roman" w:eastAsia="Times New Roman" w:hAnsi="Times New Roman"/>
          <w:sz w:val="14"/>
          <w:szCs w:val="14"/>
          <w:color w:val="auto"/>
        </w:rPr>
        <w:t xml:space="preserve">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Times New Roman" w:cs="Times New Roman" w:eastAsia="Times New Roman" w:hAnsi="Times New Roman"/>
          <w:sz w:val="14"/>
          <w:szCs w:val="14"/>
          <w:i w:val="1"/>
          <w:iCs w:val="1"/>
          <w:color w:val="auto"/>
        </w:rPr>
        <w:t>At the time an amendment becomes effective,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you are considered, by continuing to hold your ADSs, to agree to the amendment and to be bound by the ADRs and the deposit agreement as amended</w:t>
      </w:r>
      <w:r>
        <w:rPr>
          <w:rFonts w:ascii="Times New Roman" w:cs="Times New Roman" w:eastAsia="Times New Roman" w:hAnsi="Times New Roman"/>
          <w:sz w:val="14"/>
          <w:szCs w:val="14"/>
          <w:color w:val="auto"/>
        </w:rPr>
        <w:t>. If any new laws are adopted which would require the deposit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to be amended in order to comply therewith, we and the depositary may amend the deposit agreement in accordance with such laws and such amendment may become effective before notice thereof is given to ADS holders.</w:t>
      </w:r>
    </w:p>
    <w:p>
      <w:pPr>
        <w:spacing w:after="0" w:line="3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How may the deposit agreement be terminated?</w:t>
      </w:r>
    </w:p>
    <w:p>
      <w:pPr>
        <w:spacing w:after="0" w:line="128" w:lineRule="exact"/>
        <w:rPr>
          <w:sz w:val="20"/>
          <w:szCs w:val="20"/>
          <w:color w:val="auto"/>
        </w:rPr>
      </w:pPr>
    </w:p>
    <w:p>
      <w:pPr>
        <w:jc w:val="both"/>
        <w:ind w:left="1280" w:right="1299"/>
        <w:spacing w:after="0" w:line="261" w:lineRule="auto"/>
        <w:rPr>
          <w:sz w:val="20"/>
          <w:szCs w:val="20"/>
          <w:color w:val="auto"/>
        </w:rPr>
      </w:pPr>
      <w:r>
        <w:rPr>
          <w:rFonts w:ascii="Times New Roman" w:cs="Times New Roman" w:eastAsia="Times New Roman" w:hAnsi="Times New Roman"/>
          <w:sz w:val="14"/>
          <w:szCs w:val="14"/>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80" w:lineRule="exact"/>
        <w:rPr>
          <w:sz w:val="20"/>
          <w:szCs w:val="20"/>
          <w:color w:val="auto"/>
        </w:rPr>
      </w:pPr>
    </w:p>
    <w:p>
      <w:pPr>
        <w:jc w:val="both"/>
        <w:ind w:left="1280" w:right="1299"/>
        <w:spacing w:after="0" w:line="257" w:lineRule="auto"/>
        <w:rPr>
          <w:sz w:val="20"/>
          <w:szCs w:val="20"/>
          <w:color w:val="auto"/>
        </w:rPr>
      </w:pPr>
      <w:r>
        <w:rPr>
          <w:rFonts w:ascii="Times New Roman" w:cs="Times New Roman" w:eastAsia="Times New Roman" w:hAnsi="Times New Roman"/>
          <w:sz w:val="14"/>
          <w:szCs w:val="14"/>
          <w:color w:val="auto"/>
        </w:rPr>
        <w:t xml:space="preserve">After termination, the depositary and its agents will do the following under the deposit agreement but nothing else: collect distributions on the deposited securities, sell rights and other property and deliver Class A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Books of Depositary</w:t>
      </w:r>
    </w:p>
    <w:p>
      <w:pPr>
        <w:spacing w:after="0" w:line="128"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83" w:lineRule="exact"/>
        <w:rPr>
          <w:sz w:val="20"/>
          <w:szCs w:val="20"/>
          <w:color w:val="auto"/>
        </w:rPr>
      </w:pPr>
    </w:p>
    <w:p>
      <w:pPr>
        <w:jc w:val="both"/>
        <w:ind w:left="1280" w:right="1299"/>
        <w:spacing w:after="0" w:line="287" w:lineRule="auto"/>
        <w:rPr>
          <w:sz w:val="20"/>
          <w:szCs w:val="20"/>
          <w:color w:val="auto"/>
        </w:rPr>
      </w:pPr>
      <w:r>
        <w:rPr>
          <w:rFonts w:ascii="Times New Roman" w:cs="Times New Roman" w:eastAsia="Times New Roman" w:hAnsi="Times New Roman"/>
          <w:sz w:val="14"/>
          <w:szCs w:val="14"/>
          <w:color w:val="auto"/>
        </w:rPr>
        <w:t>The depositary will maintain facilities in the Borough of Manhattan, The City of New York to record and process the issuance, cancellation, combination, split-up and transfer of ADRs.</w:t>
      </w:r>
    </w:p>
    <w:p>
      <w:pPr>
        <w:spacing w:after="0" w:line="61"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Limitations on Obligations and Liability</w:t>
      </w:r>
    </w:p>
    <w:p>
      <w:pPr>
        <w:spacing w:after="0" w:line="179" w:lineRule="exact"/>
        <w:rPr>
          <w:sz w:val="20"/>
          <w:szCs w:val="20"/>
          <w:color w:val="auto"/>
        </w:rPr>
      </w:pPr>
    </w:p>
    <w:p>
      <w:pPr>
        <w:ind w:left="1280" w:right="141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Limits on our Obligations and the Obligations of the Depositary and the Custodian; Limits on Liability to Holders of ADSs</w:t>
      </w:r>
    </w:p>
    <w:p>
      <w:pPr>
        <w:spacing w:after="0" w:line="70" w:lineRule="exact"/>
        <w:rPr>
          <w:sz w:val="20"/>
          <w:szCs w:val="20"/>
          <w:color w:val="auto"/>
        </w:rPr>
      </w:pPr>
    </w:p>
    <w:p>
      <w:pPr>
        <w:ind w:left="1280" w:right="1299"/>
        <w:spacing w:after="0" w:line="287" w:lineRule="auto"/>
        <w:rPr>
          <w:sz w:val="20"/>
          <w:szCs w:val="20"/>
          <w:color w:val="auto"/>
        </w:rPr>
      </w:pPr>
      <w:r>
        <w:rPr>
          <w:rFonts w:ascii="Times New Roman" w:cs="Times New Roman" w:eastAsia="Times New Roman" w:hAnsi="Times New Roman"/>
          <w:sz w:val="14"/>
          <w:szCs w:val="14"/>
          <w:color w:val="auto"/>
        </w:rPr>
        <w:t>The deposit agreement expressly limits our obligations and the obligations of the depositary and the custodian. It also limits our liability and the liability of the depositary. The depositary and the custodian:</w:t>
      </w:r>
    </w:p>
    <w:p>
      <w:pPr>
        <w:spacing w:after="0" w:line="40" w:lineRule="exact"/>
        <w:rPr>
          <w:sz w:val="20"/>
          <w:szCs w:val="20"/>
          <w:color w:val="auto"/>
        </w:rPr>
      </w:pPr>
    </w:p>
    <w:p>
      <w:pPr>
        <w:ind w:left="1700" w:right="1299" w:hanging="141"/>
        <w:spacing w:after="0" w:line="287" w:lineRule="auto"/>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only obligated to take the actions specifically set forth in the deposit agreement without gross negligence or willful misconduct;</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9" w:name="page50"/>
    <w:bookmarkEnd w:id="49"/>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700" w:right="1299" w:hanging="141"/>
        <w:spacing w:after="0" w:line="256" w:lineRule="auto"/>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236" w:lineRule="exact"/>
        <w:rPr>
          <w:rFonts w:ascii="Times New Roman" w:cs="Times New Roman" w:eastAsia="Times New Roman" w:hAnsi="Times New Roman"/>
          <w:sz w:val="14"/>
          <w:szCs w:val="14"/>
          <w:color w:val="auto"/>
        </w:rPr>
      </w:pPr>
    </w:p>
    <w:p>
      <w:pPr>
        <w:jc w:val="both"/>
        <w:ind w:left="1700" w:right="1299" w:hanging="141"/>
        <w:spacing w:after="0" w:line="270" w:lineRule="auto"/>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51" w:lineRule="exact"/>
        <w:rPr>
          <w:rFonts w:ascii="Times New Roman" w:cs="Times New Roman" w:eastAsia="Times New Roman" w:hAnsi="Times New Roman"/>
          <w:sz w:val="14"/>
          <w:szCs w:val="14"/>
          <w:color w:val="auto"/>
        </w:rPr>
      </w:pPr>
    </w:p>
    <w:p>
      <w:pPr>
        <w:jc w:val="both"/>
        <w:ind w:left="1700" w:right="1299" w:hanging="141"/>
        <w:spacing w:after="0" w:line="264" w:lineRule="auto"/>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for any action or inaction of the depositary, the custodian or us or their or our respective controlling persons or agents in reliance upon the advice of or information from legal counsel, any person presenting Class A ordinary shares for deposit or any other person believed by it in good faith to be competent to give such advice or information;</w:t>
      </w:r>
    </w:p>
    <w:p>
      <w:pPr>
        <w:spacing w:after="0" w:line="56"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for the inability of any holder of ADSs to benefit from any distribution on deposited securities that is not made available to holders of ADSs under the terms of the deposit agreement;</w:t>
      </w:r>
    </w:p>
    <w:p>
      <w:pPr>
        <w:spacing w:after="0" w:line="3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for any special, consequential, indirect or punitive damages for any breach of the terms of the deposit agreement, or otherwise;</w:t>
      </w:r>
    </w:p>
    <w:p>
      <w:pPr>
        <w:spacing w:after="0" w:line="3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rely upon any documents we believe in good faith to be genuine and to have been signed or presented by the proper party;</w:t>
      </w:r>
    </w:p>
    <w:p>
      <w:pPr>
        <w:spacing w:after="0" w:line="39" w:lineRule="exact"/>
        <w:rPr>
          <w:rFonts w:ascii="Times New Roman" w:cs="Times New Roman" w:eastAsia="Times New Roman" w:hAnsi="Times New Roman"/>
          <w:sz w:val="14"/>
          <w:szCs w:val="14"/>
          <w:color w:val="auto"/>
        </w:rPr>
      </w:pPr>
    </w:p>
    <w:p>
      <w:pPr>
        <w:jc w:val="both"/>
        <w:ind w:left="1700" w:right="1299" w:hanging="141"/>
        <w:spacing w:after="0" w:line="263" w:lineRule="auto"/>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disclaim any liability for any action or inaction of any of us or our respective controlling persons or agents in reliance upon the advice of or information from legal counsel, accountants, any person presenting Class A ordinary shares for deposit, holders and beneficial owners (or authorized representatives) of ADSs, or any person believed in good faith to be competent to give such advice or information; and</w:t>
      </w:r>
    </w:p>
    <w:p>
      <w:pPr>
        <w:spacing w:after="0" w:line="228" w:lineRule="exact"/>
        <w:rPr>
          <w:rFonts w:ascii="Times New Roman" w:cs="Times New Roman" w:eastAsia="Times New Roman" w:hAnsi="Times New Roman"/>
          <w:sz w:val="14"/>
          <w:szCs w:val="14"/>
          <w:color w:val="auto"/>
        </w:rPr>
      </w:pPr>
    </w:p>
    <w:p>
      <w:pPr>
        <w:jc w:val="both"/>
        <w:ind w:left="1700" w:right="1299" w:hanging="141"/>
        <w:spacing w:after="0" w:line="280" w:lineRule="auto"/>
        <w:tabs>
          <w:tab w:leader="none" w:pos="1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disclaim any liability for inability of any holder to benefit from any distribution, offering, right or other benefit made available to holders of deposited securities but not made available to holders of ADS.</w:t>
      </w:r>
    </w:p>
    <w:p>
      <w:pPr>
        <w:spacing w:after="0" w:line="251" w:lineRule="exact"/>
        <w:rPr>
          <w:sz w:val="20"/>
          <w:szCs w:val="20"/>
          <w:color w:val="auto"/>
        </w:rPr>
      </w:pPr>
    </w:p>
    <w:p>
      <w:pPr>
        <w:jc w:val="both"/>
        <w:ind w:left="1280" w:right="1299"/>
        <w:spacing w:after="0" w:line="256" w:lineRule="auto"/>
        <w:rPr>
          <w:sz w:val="20"/>
          <w:szCs w:val="20"/>
          <w:color w:val="auto"/>
        </w:rPr>
      </w:pPr>
      <w:r>
        <w:rPr>
          <w:rFonts w:ascii="Times New Roman" w:cs="Times New Roman" w:eastAsia="Times New Roman" w:hAnsi="Times New Roman"/>
          <w:sz w:val="14"/>
          <w:szCs w:val="14"/>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for the failure or timeliness of any notice from us, the content of any information submitted to it by us for distribution to you or for any inaccuracy of any translation thereof, (iii) for any investment risk associated with the acquisition of an interest in the deposited securities, the validity or worth of the deposited securities, the credit-worthiness of any third party, (iv) for any tax consequences that may result from ownership of ADSs, Class A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In the deposit agreement, we and the depositary agree to indemnify each other under certain circumstances.</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Jurisdiction and Arbitration</w:t>
      </w:r>
    </w:p>
    <w:p>
      <w:pPr>
        <w:spacing w:after="0" w:line="128"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The laws of the State of New York govern the deposit agreement and the ADSs and we have agreed with the depositary that the United States District Court for the Southern District of New York (or, if the United States District Court for the Southern District of New York lacks subject matter jurisdiction over a particular</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0" w:name="page51"/>
    <w:bookmarkEnd w:id="50"/>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49" w:lineRule="auto"/>
        <w:rPr>
          <w:sz w:val="20"/>
          <w:szCs w:val="20"/>
          <w:color w:val="auto"/>
        </w:rPr>
      </w:pPr>
      <w:r>
        <w:rPr>
          <w:rFonts w:ascii="Times New Roman" w:cs="Times New Roman" w:eastAsia="Times New Roman" w:hAnsi="Times New Roman"/>
          <w:sz w:val="14"/>
          <w:szCs w:val="14"/>
          <w:color w:val="auto"/>
        </w:rPr>
        <w:t>dispute, the state courts in New York County, New York) shall have exclusive jurisdiction to hear and determine any dispute arising from or in any way relating to the deposit agreement and that the depositary will have the right to refer any claim or dispute arising from the relationship created by the deposit agreement to arbitration in accordance with the Commercial Arbitration Rules of the American Arbitration Association. The arbitration provisions of the deposit agreement do not preclude you from pursuing claims under the Securities Act or the Exchange Act in the United States District Court for the Southern District of New York (or such state courts if the United States District Court for the Southern District of New York lacks subject matter jurisdiction).</w:t>
      </w:r>
    </w:p>
    <w:p>
      <w:pPr>
        <w:spacing w:after="0" w:line="3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Jury Trial Waiver</w:t>
      </w:r>
    </w:p>
    <w:p>
      <w:pPr>
        <w:spacing w:after="0" w:line="128" w:lineRule="exact"/>
        <w:rPr>
          <w:sz w:val="20"/>
          <w:szCs w:val="20"/>
          <w:color w:val="auto"/>
        </w:rPr>
      </w:pPr>
    </w:p>
    <w:p>
      <w:pPr>
        <w:jc w:val="both"/>
        <w:ind w:left="1280" w:right="1299"/>
        <w:spacing w:after="0" w:line="248" w:lineRule="auto"/>
        <w:rPr>
          <w:sz w:val="20"/>
          <w:szCs w:val="20"/>
          <w:color w:val="auto"/>
        </w:rPr>
      </w:pPr>
      <w:r>
        <w:rPr>
          <w:rFonts w:ascii="Times New Roman" w:cs="Times New Roman" w:eastAsia="Times New Roman" w:hAnsi="Times New Roman"/>
          <w:sz w:val="14"/>
          <w:szCs w:val="14"/>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w:t>
      </w:r>
    </w:p>
    <w:p>
      <w:pPr>
        <w:spacing w:after="0" w:line="30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Requirements for Depositary Actions</w:t>
      </w:r>
    </w:p>
    <w:p>
      <w:pPr>
        <w:spacing w:after="0" w:line="128" w:lineRule="exact"/>
        <w:rPr>
          <w:sz w:val="20"/>
          <w:szCs w:val="20"/>
          <w:color w:val="auto"/>
        </w:rPr>
      </w:pPr>
    </w:p>
    <w:p>
      <w:pPr>
        <w:jc w:val="both"/>
        <w:ind w:left="1280" w:right="1299"/>
        <w:spacing w:after="0" w:line="259" w:lineRule="auto"/>
        <w:rPr>
          <w:sz w:val="20"/>
          <w:szCs w:val="20"/>
          <w:color w:val="auto"/>
        </w:rPr>
      </w:pPr>
      <w:r>
        <w:rPr>
          <w:rFonts w:ascii="Times New Roman" w:cs="Times New Roman" w:eastAsia="Times New Roman" w:hAnsi="Times New Roman"/>
          <w:sz w:val="14"/>
          <w:szCs w:val="14"/>
          <w:color w:val="auto"/>
        </w:rPr>
        <w:t>Before the depositary will issue, deliver or register a transfer of an ADS, split up, subdivide or combine ADSs, make a distribution on an ADS, or permit withdrawal of Class A ordinary shares, the depositary may require:</w:t>
      </w:r>
    </w:p>
    <w:p>
      <w:pPr>
        <w:spacing w:after="0" w:line="215" w:lineRule="exact"/>
        <w:rPr>
          <w:sz w:val="20"/>
          <w:szCs w:val="20"/>
          <w:color w:val="auto"/>
        </w:rPr>
      </w:pPr>
    </w:p>
    <w:p>
      <w:pPr>
        <w:jc w:val="both"/>
        <w:ind w:left="1700" w:right="1299" w:hanging="141"/>
        <w:spacing w:after="0" w:line="270" w:lineRule="auto"/>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stock transfer or other taxes or other governmental charges and transfer or registration fees charged by third parties for the transfer of any Class A ordinary shares or other deposited securities and payment of the applicable fees, expenses and charges of the depositary;</w:t>
      </w:r>
    </w:p>
    <w:p>
      <w:pPr>
        <w:spacing w:after="0" w:line="40"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proof of the identity and genuineness of any signature or any other matters contemplated in the deposit agreement; and</w:t>
      </w:r>
    </w:p>
    <w:p>
      <w:pPr>
        <w:spacing w:after="0" w:line="18" w:lineRule="exact"/>
        <w:rPr>
          <w:rFonts w:ascii="Times New Roman" w:cs="Times New Roman" w:eastAsia="Times New Roman" w:hAnsi="Times New Roman"/>
          <w:sz w:val="14"/>
          <w:szCs w:val="14"/>
          <w:color w:val="auto"/>
        </w:rPr>
      </w:pPr>
    </w:p>
    <w:p>
      <w:pPr>
        <w:jc w:val="both"/>
        <w:ind w:left="1700" w:right="1299" w:hanging="141"/>
        <w:spacing w:after="0" w:line="264" w:lineRule="auto"/>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88"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Your Right to Receive the Shares Underlying Your ADSs</w:t>
      </w:r>
    </w:p>
    <w:p>
      <w:pPr>
        <w:spacing w:after="0" w:line="117" w:lineRule="exact"/>
        <w:rPr>
          <w:sz w:val="20"/>
          <w:szCs w:val="20"/>
          <w:color w:val="auto"/>
        </w:rPr>
      </w:pPr>
    </w:p>
    <w:p>
      <w:pPr>
        <w:jc w:val="both"/>
        <w:ind w:left="1280" w:right="1299"/>
        <w:spacing w:after="0" w:line="263" w:lineRule="auto"/>
        <w:rPr>
          <w:sz w:val="20"/>
          <w:szCs w:val="20"/>
          <w:color w:val="auto"/>
        </w:rPr>
      </w:pPr>
      <w:r>
        <w:rPr>
          <w:rFonts w:ascii="Times New Roman" w:cs="Times New Roman" w:eastAsia="Times New Roman" w:hAnsi="Times New Roman"/>
          <w:sz w:val="14"/>
          <w:szCs w:val="14"/>
          <w:color w:val="auto"/>
        </w:rPr>
        <w:t>You have the right to cancel your ADSs and withdraw the underlying Class A ordinary shares at any time except:</w:t>
      </w:r>
    </w:p>
    <w:p>
      <w:pPr>
        <w:spacing w:after="0" w:line="238" w:lineRule="exact"/>
        <w:rPr>
          <w:sz w:val="20"/>
          <w:szCs w:val="20"/>
          <w:color w:val="auto"/>
        </w:rPr>
      </w:pPr>
    </w:p>
    <w:p>
      <w:pPr>
        <w:jc w:val="both"/>
        <w:ind w:left="1700" w:right="1299" w:hanging="141"/>
        <w:spacing w:after="0" w:line="270" w:lineRule="auto"/>
        <w:tabs>
          <w:tab w:leader="none" w:pos="1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temporary delays arise because: (1) the depositary has closed its transfer books or we have closed our transfer books; (2) the transfer of Class A ordinary shares is blocked to permit voting at a shareholders’ meeting; or (3) we are paying a dividend on our Class A ordinary shares;</w:t>
      </w:r>
    </w:p>
    <w:p>
      <w:pPr>
        <w:spacing w:after="0" w:line="30"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you owe money to pay fees, taxes and similar charges;</w:t>
      </w:r>
    </w:p>
    <w:p>
      <w:pPr>
        <w:spacing w:after="0" w:line="83" w:lineRule="exact"/>
        <w:rPr>
          <w:rFonts w:ascii="Times New Roman" w:cs="Times New Roman" w:eastAsia="Times New Roman" w:hAnsi="Times New Roman"/>
          <w:sz w:val="14"/>
          <w:szCs w:val="14"/>
          <w:color w:val="auto"/>
        </w:rPr>
      </w:pPr>
    </w:p>
    <w:p>
      <w:pPr>
        <w:jc w:val="both"/>
        <w:ind w:left="1700" w:right="1299" w:hanging="141"/>
        <w:spacing w:after="0" w:line="264" w:lineRule="auto"/>
        <w:tabs>
          <w:tab w:leader="none" w:pos="1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it is necessary to prohibit withdrawals in order to comply with any laws or governmental regulations that apply to ADSs or to the withdrawal of Class A ordinary shares or other deposited securities, or other circumstances specifically contemplated by Section I.A.(l) of the General Instructions to Form F-6 (as such General Instructions may be amended from time to time); or</w:t>
      </w:r>
    </w:p>
    <w:p>
      <w:pPr>
        <w:spacing w:after="0" w:line="35"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other reason if the depositary or we determine, in good faith, that it is necessary or advisable to prohibit withdrawals.</w:t>
      </w:r>
    </w:p>
    <w:p>
      <w:pPr>
        <w:spacing w:after="0" w:line="72"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color w:val="auto"/>
        </w:rPr>
        <w:t>The depositary shall not knowingly accept for deposit under the deposit agreement any Class A ordinary shares or other deposited securities required to be registered under the provisions of the Securities Act, unless a registration statement is in effect as to such Class A ordinary shares.</w:t>
      </w: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1" w:name="page52"/>
    <w:bookmarkEnd w:id="51"/>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This right of withdrawal may not be limited by any other provision of the deposit agreement.</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Direct Registration System</w:t>
      </w:r>
    </w:p>
    <w:p>
      <w:pPr>
        <w:spacing w:after="0" w:line="128" w:lineRule="exact"/>
        <w:rPr>
          <w:sz w:val="20"/>
          <w:szCs w:val="20"/>
          <w:color w:val="auto"/>
        </w:rPr>
      </w:pPr>
    </w:p>
    <w:p>
      <w:pPr>
        <w:jc w:val="both"/>
        <w:ind w:left="1280" w:right="1299"/>
        <w:spacing w:after="0" w:line="258" w:lineRule="auto"/>
        <w:rPr>
          <w:sz w:val="20"/>
          <w:szCs w:val="20"/>
          <w:color w:val="auto"/>
        </w:rPr>
      </w:pPr>
      <w:r>
        <w:rPr>
          <w:rFonts w:ascii="Times New Roman" w:cs="Times New Roman" w:eastAsia="Times New Roman" w:hAnsi="Times New Roman"/>
          <w:sz w:val="14"/>
          <w:szCs w:val="14"/>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2" w:name="page53"/>
    <w:bookmarkEnd w:id="52"/>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28" w:lineRule="exact"/>
        <w:rPr>
          <w:sz w:val="20"/>
          <w:szCs w:val="20"/>
          <w:color w:val="auto"/>
        </w:rPr>
      </w:pPr>
    </w:p>
    <w:p>
      <w:pPr>
        <w:jc w:val="both"/>
        <w:ind w:left="1280" w:right="1299"/>
        <w:spacing w:after="0" w:line="248" w:lineRule="auto"/>
        <w:rPr>
          <w:sz w:val="20"/>
          <w:szCs w:val="20"/>
          <w:color w:val="auto"/>
        </w:rPr>
      </w:pPr>
      <w:r>
        <w:rPr>
          <w:rFonts w:ascii="Times New Roman" w:cs="Times New Roman" w:eastAsia="Times New Roman" w:hAnsi="Times New Roman"/>
          <w:sz w:val="14"/>
          <w:szCs w:val="14"/>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89" w:lineRule="exact"/>
        <w:rPr>
          <w:sz w:val="20"/>
          <w:szCs w:val="20"/>
          <w:color w:val="auto"/>
        </w:rPr>
      </w:pPr>
    </w:p>
    <w:p>
      <w:pPr>
        <w:jc w:val="both"/>
        <w:ind w:left="1280" w:right="1299"/>
        <w:spacing w:after="0" w:line="250" w:lineRule="auto"/>
        <w:rPr>
          <w:sz w:val="20"/>
          <w:szCs w:val="20"/>
          <w:color w:val="auto"/>
        </w:rPr>
      </w:pPr>
      <w:r>
        <w:rPr>
          <w:rFonts w:ascii="Times New Roman" w:cs="Times New Roman" w:eastAsia="Times New Roman" w:hAnsi="Times New Roman"/>
          <w:sz w:val="14"/>
          <w:szCs w:val="14"/>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88" w:lineRule="exact"/>
        <w:rPr>
          <w:sz w:val="20"/>
          <w:szCs w:val="20"/>
          <w:color w:val="auto"/>
        </w:rPr>
      </w:pPr>
    </w:p>
    <w:p>
      <w:pPr>
        <w:jc w:val="both"/>
        <w:ind w:left="1280" w:right="1299"/>
        <w:spacing w:after="0" w:line="250" w:lineRule="auto"/>
        <w:rPr>
          <w:sz w:val="20"/>
          <w:szCs w:val="20"/>
          <w:color w:val="auto"/>
        </w:rPr>
      </w:pPr>
      <w:r>
        <w:rPr>
          <w:rFonts w:ascii="Times New Roman" w:cs="Times New Roman" w:eastAsia="Times New Roman" w:hAnsi="Times New Roman"/>
          <w:sz w:val="14"/>
          <w:szCs w:val="14"/>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8" w:lineRule="exact"/>
        <w:rPr>
          <w:sz w:val="20"/>
          <w:szCs w:val="20"/>
          <w:color w:val="auto"/>
        </w:rPr>
      </w:pPr>
    </w:p>
    <w:p>
      <w:pPr>
        <w:jc w:val="both"/>
        <w:ind w:left="1280" w:right="1299"/>
        <w:spacing w:after="0" w:line="247"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89" w:lineRule="exact"/>
        <w:rPr>
          <w:sz w:val="20"/>
          <w:szCs w:val="20"/>
          <w:color w:val="auto"/>
        </w:rPr>
      </w:pPr>
    </w:p>
    <w:p>
      <w:pPr>
        <w:jc w:val="both"/>
        <w:ind w:left="1280" w:right="1299"/>
        <w:spacing w:after="0" w:line="250" w:lineRule="auto"/>
        <w:rPr>
          <w:sz w:val="20"/>
          <w:szCs w:val="20"/>
          <w:color w:val="auto"/>
        </w:rPr>
      </w:pPr>
      <w:r>
        <w:rPr>
          <w:rFonts w:ascii="Times New Roman" w:cs="Times New Roman" w:eastAsia="Times New Roman" w:hAnsi="Times New Roman"/>
          <w:sz w:val="14"/>
          <w:szCs w:val="14"/>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88" w:lineRule="exact"/>
        <w:rPr>
          <w:sz w:val="20"/>
          <w:szCs w:val="20"/>
          <w:color w:val="auto"/>
        </w:rPr>
      </w:pPr>
    </w:p>
    <w:p>
      <w:pPr>
        <w:jc w:val="both"/>
        <w:ind w:left="1280" w:right="1299"/>
        <w:spacing w:after="0" w:line="271" w:lineRule="auto"/>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debt securities being offered, including:</w:t>
      </w:r>
    </w:p>
    <w:p>
      <w:pPr>
        <w:spacing w:after="0" w:line="51" w:lineRule="exact"/>
        <w:rPr>
          <w:sz w:val="20"/>
          <w:szCs w:val="20"/>
          <w:color w:val="auto"/>
        </w:rPr>
      </w:pPr>
    </w:p>
    <w:p>
      <w:pPr>
        <w:ind w:left="1700" w:hanging="141"/>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debt securities;</w:t>
      </w:r>
    </w:p>
    <w:p>
      <w:pPr>
        <w:spacing w:after="0" w:line="8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that may be issued;</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 of the series;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93"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rank as senior debt, senior subordinated debt, subordinated debt or any combination thereof, and the terms of any subordination;</w:t>
      </w:r>
    </w:p>
    <w:p>
      <w:pPr>
        <w:spacing w:after="0" w:line="39" w:lineRule="exact"/>
        <w:rPr>
          <w:rFonts w:ascii="Times New Roman" w:cs="Times New Roman" w:eastAsia="Times New Roman" w:hAnsi="Times New Roman"/>
          <w:sz w:val="14"/>
          <w:szCs w:val="14"/>
          <w:color w:val="auto"/>
        </w:rPr>
      </w:pPr>
    </w:p>
    <w:p>
      <w:pPr>
        <w:jc w:val="both"/>
        <w:ind w:left="1700" w:right="1299" w:hanging="141"/>
        <w:spacing w:after="0" w:line="261" w:lineRule="auto"/>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3" w:name="page54"/>
    <w:bookmarkEnd w:id="53"/>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700" w:right="1299" w:hanging="141"/>
        <w:spacing w:after="0" w:line="270"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1"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93" w:lineRule="exact"/>
        <w:rPr>
          <w:rFonts w:ascii="Times New Roman" w:cs="Times New Roman" w:eastAsia="Times New Roman" w:hAnsi="Times New Roman"/>
          <w:sz w:val="14"/>
          <w:szCs w:val="14"/>
          <w:color w:val="auto"/>
        </w:rPr>
      </w:pPr>
    </w:p>
    <w:p>
      <w:pPr>
        <w:jc w:val="both"/>
        <w:ind w:left="1700" w:right="1299" w:hanging="141"/>
        <w:spacing w:after="0" w:line="270"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51" w:lineRule="exact"/>
        <w:rPr>
          <w:rFonts w:ascii="Times New Roman" w:cs="Times New Roman" w:eastAsia="Times New Roman" w:hAnsi="Times New Roman"/>
          <w:sz w:val="14"/>
          <w:szCs w:val="14"/>
          <w:color w:val="auto"/>
        </w:rPr>
      </w:pPr>
    </w:p>
    <w:p>
      <w:pPr>
        <w:jc w:val="both"/>
        <w:ind w:left="1700" w:right="1299" w:hanging="141"/>
        <w:spacing w:after="0" w:line="264"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66"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39" w:lineRule="exact"/>
        <w:rPr>
          <w:rFonts w:ascii="Times New Roman" w:cs="Times New Roman" w:eastAsia="Times New Roman" w:hAnsi="Times New Roman"/>
          <w:sz w:val="14"/>
          <w:szCs w:val="14"/>
          <w:color w:val="auto"/>
        </w:rPr>
      </w:pPr>
    </w:p>
    <w:p>
      <w:pPr>
        <w:jc w:val="both"/>
        <w:ind w:left="1700" w:right="1299" w:hanging="141"/>
        <w:spacing w:after="0" w:line="270"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61" w:lineRule="exact"/>
        <w:rPr>
          <w:rFonts w:ascii="Times New Roman" w:cs="Times New Roman" w:eastAsia="Times New Roman" w:hAnsi="Times New Roman"/>
          <w:sz w:val="14"/>
          <w:szCs w:val="14"/>
          <w:color w:val="auto"/>
        </w:rPr>
      </w:pPr>
    </w:p>
    <w:p>
      <w:pPr>
        <w:jc w:val="both"/>
        <w:ind w:left="1700" w:right="1299" w:hanging="141"/>
        <w:spacing w:after="0" w:line="264"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56" w:lineRule="exact"/>
        <w:rPr>
          <w:rFonts w:ascii="Times New Roman" w:cs="Times New Roman" w:eastAsia="Times New Roman" w:hAnsi="Times New Roman"/>
          <w:sz w:val="14"/>
          <w:szCs w:val="14"/>
          <w:color w:val="auto"/>
        </w:rPr>
      </w:pPr>
    </w:p>
    <w:p>
      <w:pPr>
        <w:jc w:val="both"/>
        <w:ind w:left="1700" w:right="1299" w:hanging="141"/>
        <w:spacing w:after="0" w:line="261"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22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full principal amount thereof, the portion of the principal amount of debt securities of the series which shall be payable upon declaration of acceleration of the maturity thereof;</w:t>
      </w:r>
    </w:p>
    <w:p>
      <w:pPr>
        <w:spacing w:after="0" w:line="3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covenants applicable to the particular debt securities being issued, including, among others, the consolidation, merger or sale covenant;</w:t>
      </w:r>
    </w:p>
    <w:p>
      <w:pPr>
        <w:spacing w:after="0" w:line="50" w:lineRule="exact"/>
        <w:rPr>
          <w:rFonts w:ascii="Times New Roman" w:cs="Times New Roman" w:eastAsia="Times New Roman" w:hAnsi="Times New Roman"/>
          <w:sz w:val="14"/>
          <w:szCs w:val="14"/>
          <w:color w:val="auto"/>
        </w:rPr>
      </w:pPr>
    </w:p>
    <w:p>
      <w:pPr>
        <w:jc w:val="both"/>
        <w:ind w:left="1700" w:right="1299" w:hanging="141"/>
        <w:spacing w:after="0" w:line="270"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1"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39"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satisfaction and discharge of the indenture;</w:t>
      </w:r>
    </w:p>
    <w:p>
      <w:pPr>
        <w:spacing w:after="0" w:line="104"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the modification of the indenture both with and without the consent of holders of debt securities issued under the indenture;</w:t>
      </w:r>
    </w:p>
    <w:p>
      <w:pPr>
        <w:spacing w:after="0" w:line="3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payment of debt securities if other than U.S. dollars and the manner of determining the equivalent amount in U.S. dollars;</w:t>
      </w:r>
    </w:p>
    <w:p>
      <w:pPr>
        <w:spacing w:after="0" w:line="3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debt securities at our or the holders’ option and the terms and conditions upon which the election may be made;</w:t>
      </w:r>
    </w:p>
    <w:p>
      <w:pPr>
        <w:spacing w:after="0" w:line="39" w:lineRule="exact"/>
        <w:rPr>
          <w:rFonts w:ascii="Times New Roman" w:cs="Times New Roman" w:eastAsia="Times New Roman" w:hAnsi="Times New Roman"/>
          <w:sz w:val="14"/>
          <w:szCs w:val="14"/>
          <w:color w:val="auto"/>
        </w:rPr>
      </w:pPr>
    </w:p>
    <w:p>
      <w:pPr>
        <w:jc w:val="both"/>
        <w:ind w:left="1700" w:right="1299" w:hanging="141"/>
        <w:spacing w:after="0" w:line="270" w:lineRule="auto"/>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1"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4" w:name="page55"/>
    <w:bookmarkEnd w:id="54"/>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700" w:right="1299" w:hanging="141"/>
        <w:spacing w:after="0" w:line="270" w:lineRule="auto"/>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128" w:lineRule="exact"/>
        <w:rPr>
          <w:sz w:val="20"/>
          <w:szCs w:val="20"/>
          <w:color w:val="auto"/>
        </w:rPr>
      </w:pPr>
    </w:p>
    <w:p>
      <w:pPr>
        <w:jc w:val="both"/>
        <w:ind w:left="1280" w:right="1299"/>
        <w:spacing w:after="0" w:line="251" w:lineRule="auto"/>
        <w:rPr>
          <w:sz w:val="20"/>
          <w:szCs w:val="20"/>
          <w:color w:val="auto"/>
        </w:rPr>
      </w:pPr>
      <w:r>
        <w:rPr>
          <w:rFonts w:ascii="Times New Roman" w:cs="Times New Roman" w:eastAsia="Times New Roman" w:hAnsi="Times New Roman"/>
          <w:sz w:val="14"/>
          <w:szCs w:val="14"/>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3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128" w:lineRule="exact"/>
        <w:rPr>
          <w:sz w:val="20"/>
          <w:szCs w:val="20"/>
          <w:color w:val="auto"/>
        </w:rPr>
      </w:pPr>
    </w:p>
    <w:p>
      <w:pPr>
        <w:jc w:val="both"/>
        <w:ind w:left="1280" w:right="1299"/>
        <w:spacing w:after="0" w:line="250"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128"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201" w:lineRule="exact"/>
        <w:rPr>
          <w:sz w:val="20"/>
          <w:szCs w:val="20"/>
          <w:color w:val="auto"/>
        </w:rPr>
      </w:pPr>
    </w:p>
    <w:p>
      <w:pPr>
        <w:jc w:val="both"/>
        <w:ind w:left="1700" w:right="1299" w:hanging="141"/>
        <w:spacing w:after="0" w:line="263" w:lineRule="auto"/>
        <w:tabs>
          <w:tab w:leader="none" w:pos="1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228" w:lineRule="exact"/>
        <w:rPr>
          <w:rFonts w:ascii="Times New Roman" w:cs="Times New Roman" w:eastAsia="Times New Roman" w:hAnsi="Times New Roman"/>
          <w:sz w:val="14"/>
          <w:szCs w:val="14"/>
          <w:color w:val="auto"/>
        </w:rPr>
      </w:pPr>
    </w:p>
    <w:p>
      <w:pPr>
        <w:jc w:val="both"/>
        <w:ind w:left="1700" w:right="1299" w:hanging="141"/>
        <w:spacing w:after="0" w:line="260" w:lineRule="auto"/>
        <w:tabs>
          <w:tab w:leader="none" w:pos="1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58" w:lineRule="exact"/>
        <w:rPr>
          <w:rFonts w:ascii="Times New Roman" w:cs="Times New Roman" w:eastAsia="Times New Roman" w:hAnsi="Times New Roman"/>
          <w:sz w:val="14"/>
          <w:szCs w:val="14"/>
          <w:color w:val="auto"/>
        </w:rPr>
      </w:pPr>
    </w:p>
    <w:p>
      <w:pPr>
        <w:jc w:val="both"/>
        <w:ind w:left="1700" w:right="1299" w:hanging="141"/>
        <w:spacing w:after="0" w:line="261" w:lineRule="auto"/>
        <w:tabs>
          <w:tab w:leader="none" w:pos="1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59"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w:t>
      </w:r>
    </w:p>
    <w:p>
      <w:pPr>
        <w:spacing w:after="0" w:line="115" w:lineRule="exact"/>
        <w:rPr>
          <w:sz w:val="20"/>
          <w:szCs w:val="20"/>
          <w:color w:val="auto"/>
        </w:rPr>
      </w:pPr>
    </w:p>
    <w:p>
      <w:pPr>
        <w:jc w:val="both"/>
        <w:ind w:left="1280" w:right="1299"/>
        <w:spacing w:after="0" w:line="249"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254" w:lineRule="exact"/>
        <w:rPr>
          <w:sz w:val="20"/>
          <w:szCs w:val="20"/>
          <w:color w:val="auto"/>
        </w:rPr>
      </w:pPr>
    </w:p>
    <w:p>
      <w:pPr>
        <w:jc w:val="both"/>
        <w:ind w:left="1280" w:right="1299"/>
        <w:spacing w:after="0" w:line="250"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5" w:name="page56"/>
    <w:bookmarkEnd w:id="55"/>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48" w:lineRule="auto"/>
        <w:rPr>
          <w:sz w:val="20"/>
          <w:szCs w:val="20"/>
          <w:color w:val="auto"/>
        </w:rPr>
      </w:pPr>
      <w:r>
        <w:rPr>
          <w:rFonts w:ascii="Times New Roman" w:cs="Times New Roman" w:eastAsia="Times New Roman" w:hAnsi="Times New Roman"/>
          <w:sz w:val="14"/>
          <w:szCs w:val="14"/>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57" w:lineRule="exact"/>
        <w:rPr>
          <w:sz w:val="20"/>
          <w:szCs w:val="20"/>
          <w:color w:val="auto"/>
        </w:rPr>
      </w:pPr>
    </w:p>
    <w:p>
      <w:pPr>
        <w:ind w:left="1700" w:hanging="141"/>
        <w:spacing w:after="0"/>
        <w:tabs>
          <w:tab w:leader="none" w:pos="17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applicable indenture; and</w:t>
      </w:r>
    </w:p>
    <w:p>
      <w:pPr>
        <w:spacing w:after="0" w:line="93" w:lineRule="exact"/>
        <w:rPr>
          <w:rFonts w:ascii="Times New Roman" w:cs="Times New Roman" w:eastAsia="Times New Roman" w:hAnsi="Times New Roman"/>
          <w:sz w:val="14"/>
          <w:szCs w:val="14"/>
          <w:color w:val="auto"/>
        </w:rPr>
      </w:pPr>
    </w:p>
    <w:p>
      <w:pPr>
        <w:jc w:val="both"/>
        <w:ind w:left="1700" w:right="1299" w:hanging="141"/>
        <w:spacing w:after="0" w:line="280" w:lineRule="auto"/>
        <w:tabs>
          <w:tab w:leader="none" w:pos="17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w:t>
      </w:r>
    </w:p>
    <w:p>
      <w:pPr>
        <w:spacing w:after="0" w:line="251" w:lineRule="exact"/>
        <w:rPr>
          <w:sz w:val="20"/>
          <w:szCs w:val="20"/>
          <w:color w:val="auto"/>
        </w:rPr>
      </w:pPr>
    </w:p>
    <w:p>
      <w:pPr>
        <w:ind w:left="1280" w:right="1299"/>
        <w:spacing w:after="0" w:line="271" w:lineRule="auto"/>
        <w:rPr>
          <w:sz w:val="20"/>
          <w:szCs w:val="20"/>
          <w:color w:val="auto"/>
        </w:rPr>
      </w:pPr>
      <w:r>
        <w:rPr>
          <w:rFonts w:ascii="Times New Roman" w:cs="Times New Roman" w:eastAsia="Times New Roman" w:hAnsi="Times New Roman"/>
          <w:sz w:val="14"/>
          <w:szCs w:val="14"/>
          <w:color w:val="auto"/>
        </w:rPr>
        <w:t>A holder of the debt securities of any series will have the right to institute a proceeding under the indenture or to appoint a receiver or trustee, or to seek other remedies only if:</w:t>
      </w:r>
    </w:p>
    <w:p>
      <w:pPr>
        <w:spacing w:after="0" w:line="40" w:lineRule="exact"/>
        <w:rPr>
          <w:sz w:val="20"/>
          <w:szCs w:val="20"/>
          <w:color w:val="auto"/>
        </w:rPr>
      </w:pPr>
    </w:p>
    <w:p>
      <w:pPr>
        <w:ind w:left="1700" w:right="1299" w:hanging="141"/>
        <w:spacing w:after="0" w:line="263" w:lineRule="auto"/>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248"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w:t>
      </w:r>
    </w:p>
    <w:p>
      <w:pPr>
        <w:spacing w:after="0" w:line="3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to the trustee indemnity satisfactory to it against the costs, expenses and liabilities to be incurred by the trustee in compliance with the request; and</w:t>
      </w:r>
    </w:p>
    <w:p>
      <w:pPr>
        <w:spacing w:after="0" w:line="29" w:lineRule="exact"/>
        <w:rPr>
          <w:rFonts w:ascii="Times New Roman" w:cs="Times New Roman" w:eastAsia="Times New Roman" w:hAnsi="Times New Roman"/>
          <w:sz w:val="14"/>
          <w:szCs w:val="14"/>
          <w:color w:val="auto"/>
        </w:rPr>
      </w:pPr>
    </w:p>
    <w:p>
      <w:pPr>
        <w:jc w:val="both"/>
        <w:ind w:left="1700" w:right="1299" w:hanging="141"/>
        <w:spacing w:after="0" w:line="270" w:lineRule="auto"/>
        <w:tabs>
          <w:tab w:leader="none" w:pos="1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83" w:lineRule="exact"/>
        <w:rPr>
          <w:sz w:val="20"/>
          <w:szCs w:val="20"/>
          <w:color w:val="auto"/>
        </w:rPr>
      </w:pPr>
    </w:p>
    <w:p>
      <w:pPr>
        <w:ind w:left="1280" w:right="1299"/>
        <w:spacing w:after="0" w:line="271" w:lineRule="auto"/>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w:t>
      </w:r>
    </w:p>
    <w:p>
      <w:pPr>
        <w:spacing w:after="0" w:line="72" w:lineRule="exact"/>
        <w:rPr>
          <w:sz w:val="20"/>
          <w:szCs w:val="20"/>
          <w:color w:val="auto"/>
        </w:rPr>
      </w:pPr>
    </w:p>
    <w:p>
      <w:pPr>
        <w:ind w:left="1280" w:right="1299"/>
        <w:spacing w:after="0" w:line="287" w:lineRule="auto"/>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w:t>
      </w:r>
    </w:p>
    <w:p>
      <w:pPr>
        <w:spacing w:after="0" w:line="1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128" w:lineRule="exact"/>
        <w:rPr>
          <w:sz w:val="20"/>
          <w:szCs w:val="20"/>
          <w:color w:val="auto"/>
        </w:rPr>
      </w:pPr>
    </w:p>
    <w:p>
      <w:pPr>
        <w:ind w:left="1280" w:right="1299"/>
        <w:spacing w:after="0" w:line="255" w:lineRule="auto"/>
        <w:rPr>
          <w:sz w:val="20"/>
          <w:szCs w:val="20"/>
          <w:color w:val="auto"/>
        </w:rPr>
      </w:pPr>
      <w:r>
        <w:rPr>
          <w:rFonts w:ascii="Times New Roman" w:cs="Times New Roman" w:eastAsia="Times New Roman" w:hAnsi="Times New Roman"/>
          <w:sz w:val="14"/>
          <w:szCs w:val="14"/>
          <w:color w:val="auto"/>
        </w:rPr>
        <w:t>We and the trustee may change an indenture without the consent of any holders with respect to specific matters:</w:t>
      </w:r>
    </w:p>
    <w:p>
      <w:pPr>
        <w:spacing w:after="0" w:line="233" w:lineRule="exact"/>
        <w:rPr>
          <w:sz w:val="20"/>
          <w:szCs w:val="20"/>
          <w:color w:val="auto"/>
        </w:rPr>
      </w:pPr>
    </w:p>
    <w:p>
      <w:pPr>
        <w:ind w:left="1700" w:hanging="141"/>
        <w:spacing w:after="0"/>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 or in the debt securities of any series;</w:t>
      </w:r>
    </w:p>
    <w:p>
      <w:pPr>
        <w:spacing w:after="0" w:line="93"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provisions described above under “Description of Debt Securities— Consolidation, Merger or Sale;”</w:t>
      </w:r>
    </w:p>
    <w:p>
      <w:pPr>
        <w:spacing w:after="0" w:line="29"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93" w:lineRule="exact"/>
        <w:rPr>
          <w:rFonts w:ascii="Times New Roman" w:cs="Times New Roman" w:eastAsia="Times New Roman" w:hAnsi="Times New Roman"/>
          <w:sz w:val="14"/>
          <w:szCs w:val="14"/>
          <w:color w:val="auto"/>
        </w:rPr>
      </w:pPr>
    </w:p>
    <w:p>
      <w:pPr>
        <w:jc w:val="both"/>
        <w:ind w:left="1700" w:right="1299" w:hanging="141"/>
        <w:spacing w:after="0" w:line="263" w:lineRule="auto"/>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228" w:lineRule="exact"/>
        <w:rPr>
          <w:rFonts w:ascii="Times New Roman" w:cs="Times New Roman" w:eastAsia="Times New Roman" w:hAnsi="Times New Roman"/>
          <w:sz w:val="14"/>
          <w:szCs w:val="14"/>
          <w:color w:val="auto"/>
        </w:rPr>
      </w:pPr>
    </w:p>
    <w:p>
      <w:pPr>
        <w:jc w:val="both"/>
        <w:ind w:left="1700" w:right="1299" w:hanging="141"/>
        <w:spacing w:after="0" w:line="280" w:lineRule="auto"/>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indenture;</w:t>
      </w:r>
    </w:p>
    <w:p>
      <w:pPr>
        <w:spacing w:after="0" w:line="21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interests of any holder of debt securities of any series in any material respect;</w:t>
      </w:r>
    </w:p>
    <w:p>
      <w:pPr>
        <w:spacing w:after="0" w:line="29" w:lineRule="exact"/>
        <w:rPr>
          <w:rFonts w:ascii="Times New Roman" w:cs="Times New Roman" w:eastAsia="Times New Roman" w:hAnsi="Times New Roman"/>
          <w:sz w:val="14"/>
          <w:szCs w:val="14"/>
          <w:color w:val="auto"/>
        </w:rPr>
      </w:pPr>
    </w:p>
    <w:p>
      <w:pPr>
        <w:jc w:val="both"/>
        <w:ind w:left="1700" w:right="1299" w:hanging="141"/>
        <w:spacing w:after="0" w:line="264" w:lineRule="auto"/>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6" w:name="page57"/>
    <w:bookmarkEnd w:id="56"/>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700" w:right="1299" w:hanging="141"/>
        <w:spacing w:after="0" w:line="263" w:lineRule="auto"/>
        <w:tabs>
          <w:tab w:leader="none" w:pos="17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any indenture by a successor trustee; or</w:t>
      </w:r>
    </w:p>
    <w:p>
      <w:pPr>
        <w:spacing w:after="0" w:line="248"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the qualification of any indenture under the Trust Indenture Act.</w:t>
      </w:r>
    </w:p>
    <w:p>
      <w:pPr>
        <w:spacing w:after="0" w:line="61"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51" w:lineRule="exact"/>
        <w:rPr>
          <w:sz w:val="20"/>
          <w:szCs w:val="20"/>
          <w:color w:val="auto"/>
        </w:rPr>
      </w:pPr>
    </w:p>
    <w:p>
      <w:pPr>
        <w:ind w:left="1700" w:hanging="141"/>
        <w:spacing w:after="0"/>
        <w:tabs>
          <w:tab w:leader="none" w:pos="17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fixed maturity of any debt securities of any series;</w:t>
      </w:r>
    </w:p>
    <w:p>
      <w:pPr>
        <w:spacing w:after="0" w:line="83"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of any series of any debt securities; or</w:t>
      </w:r>
    </w:p>
    <w:p>
      <w:pPr>
        <w:spacing w:after="0" w:line="2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supplement, modification or waiver.</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128" w:lineRule="exact"/>
        <w:rPr>
          <w:sz w:val="20"/>
          <w:szCs w:val="20"/>
          <w:color w:val="auto"/>
        </w:rPr>
      </w:pPr>
    </w:p>
    <w:p>
      <w:pPr>
        <w:ind w:left="1280" w:right="1299"/>
        <w:spacing w:after="0" w:line="271" w:lineRule="auto"/>
        <w:rPr>
          <w:sz w:val="20"/>
          <w:szCs w:val="20"/>
          <w:color w:val="auto"/>
        </w:rPr>
      </w:pPr>
      <w:r>
        <w:rPr>
          <w:rFonts w:ascii="Times New Roman" w:cs="Times New Roman" w:eastAsia="Times New Roman" w:hAnsi="Times New Roman"/>
          <w:sz w:val="14"/>
          <w:szCs w:val="14"/>
          <w:color w:val="auto"/>
        </w:rPr>
        <w:t>Each indenture provides that we can elect to be discharged from our obligations with respect to one or more series of debt securities, except for specified obligations, including obligations to:</w:t>
      </w:r>
    </w:p>
    <w:p>
      <w:pPr>
        <w:spacing w:after="0" w:line="40" w:lineRule="exact"/>
        <w:rPr>
          <w:sz w:val="20"/>
          <w:szCs w:val="20"/>
          <w:color w:val="auto"/>
        </w:rPr>
      </w:pPr>
    </w:p>
    <w:p>
      <w:pPr>
        <w:ind w:left="1700" w:hanging="141"/>
        <w:spacing w:after="0"/>
        <w:tabs>
          <w:tab w:leader="none" w:pos="17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payment;</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8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8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principal of and premium and interest on any debt securities of the series;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8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8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 excess money held by the trustee;</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compensate and indemnify the trustee; and</w:t>
      </w:r>
    </w:p>
    <w:p>
      <w:pPr>
        <w:spacing w:after="0" w:line="8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126"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117" w:lineRule="exact"/>
        <w:rPr>
          <w:sz w:val="20"/>
          <w:szCs w:val="20"/>
          <w:color w:val="auto"/>
        </w:rPr>
      </w:pPr>
    </w:p>
    <w:p>
      <w:pPr>
        <w:jc w:val="both"/>
        <w:ind w:left="1280" w:right="1299"/>
        <w:spacing w:after="0" w:line="249"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254"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83" w:lineRule="exact"/>
        <w:rPr>
          <w:sz w:val="20"/>
          <w:szCs w:val="20"/>
          <w:color w:val="auto"/>
        </w:rPr>
      </w:pPr>
    </w:p>
    <w:p>
      <w:pPr>
        <w:jc w:val="both"/>
        <w:ind w:left="1280" w:right="1299"/>
        <w:spacing w:after="0" w:line="259" w:lineRule="auto"/>
        <w:rPr>
          <w:sz w:val="20"/>
          <w:szCs w:val="20"/>
          <w:color w:val="auto"/>
        </w:rPr>
      </w:pPr>
      <w:r>
        <w:rPr>
          <w:rFonts w:ascii="Times New Roman" w:cs="Times New Roman" w:eastAsia="Times New Roman" w:hAnsi="Times New Roman"/>
          <w:sz w:val="14"/>
          <w:szCs w:val="14"/>
          <w:color w:val="auto"/>
        </w:rPr>
        <w:t>Subject to the terms of the indenture and the limitations applicable to global securities set forth in the applicable prospectus supplement, holders of the debt securities may present the debt securities for exchange</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7" w:name="page58"/>
    <w:bookmarkEnd w:id="57"/>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61" w:lineRule="auto"/>
        <w:rPr>
          <w:sz w:val="20"/>
          <w:szCs w:val="20"/>
          <w:color w:val="auto"/>
        </w:rPr>
      </w:pPr>
      <w:r>
        <w:rPr>
          <w:rFonts w:ascii="Times New Roman" w:cs="Times New Roman" w:eastAsia="Times New Roman" w:hAnsi="Times New Roman"/>
          <w:sz w:val="14"/>
          <w:szCs w:val="14"/>
          <w:color w:val="auto"/>
        </w:rPr>
        <w:t>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91" w:lineRule="exact"/>
        <w:rPr>
          <w:sz w:val="20"/>
          <w:szCs w:val="20"/>
          <w:color w:val="auto"/>
        </w:rPr>
      </w:pPr>
    </w:p>
    <w:p>
      <w:pPr>
        <w:jc w:val="both"/>
        <w:ind w:left="1280" w:right="1299"/>
        <w:spacing w:after="0" w:line="261" w:lineRule="auto"/>
        <w:rPr>
          <w:sz w:val="20"/>
          <w:szCs w:val="20"/>
          <w:color w:val="auto"/>
        </w:rPr>
      </w:pPr>
      <w:r>
        <w:rPr>
          <w:rFonts w:ascii="Times New Roman" w:cs="Times New Roman" w:eastAsia="Times New Roman" w:hAnsi="Times New Roman"/>
          <w:sz w:val="14"/>
          <w:szCs w:val="14"/>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If we elect to redeem the debt securities of any series, we will not be required to:</w:t>
      </w:r>
    </w:p>
    <w:p>
      <w:pPr>
        <w:spacing w:after="0" w:line="94" w:lineRule="exact"/>
        <w:rPr>
          <w:sz w:val="20"/>
          <w:szCs w:val="20"/>
          <w:color w:val="auto"/>
        </w:rPr>
      </w:pPr>
    </w:p>
    <w:p>
      <w:pPr>
        <w:jc w:val="both"/>
        <w:ind w:left="1700" w:right="1299" w:hanging="141"/>
        <w:spacing w:after="0" w:line="267" w:lineRule="auto"/>
        <w:tabs>
          <w:tab w:leader="none" w:pos="17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27"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117" w:lineRule="exact"/>
        <w:rPr>
          <w:sz w:val="20"/>
          <w:szCs w:val="20"/>
          <w:color w:val="auto"/>
        </w:rPr>
      </w:pPr>
    </w:p>
    <w:p>
      <w:pPr>
        <w:jc w:val="both"/>
        <w:ind w:left="1280" w:right="1299"/>
        <w:spacing w:after="0" w:line="259"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3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128" w:lineRule="exact"/>
        <w:rPr>
          <w:sz w:val="20"/>
          <w:szCs w:val="20"/>
          <w:color w:val="auto"/>
        </w:rPr>
      </w:pPr>
    </w:p>
    <w:p>
      <w:pPr>
        <w:jc w:val="both"/>
        <w:ind w:left="1280" w:right="1299"/>
        <w:spacing w:after="0" w:line="267"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259" w:lineRule="exact"/>
        <w:rPr>
          <w:sz w:val="20"/>
          <w:szCs w:val="20"/>
          <w:color w:val="auto"/>
        </w:rPr>
      </w:pPr>
    </w:p>
    <w:p>
      <w:pPr>
        <w:jc w:val="both"/>
        <w:ind w:left="1280" w:right="1299"/>
        <w:spacing w:after="0" w:line="258"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81" w:lineRule="exact"/>
        <w:rPr>
          <w:sz w:val="20"/>
          <w:szCs w:val="20"/>
          <w:color w:val="auto"/>
        </w:rPr>
      </w:pPr>
    </w:p>
    <w:p>
      <w:pPr>
        <w:jc w:val="both"/>
        <w:ind w:left="1280" w:right="1299"/>
        <w:spacing w:after="0" w:line="264" w:lineRule="auto"/>
        <w:rPr>
          <w:sz w:val="20"/>
          <w:szCs w:val="20"/>
          <w:color w:val="auto"/>
        </w:rPr>
      </w:pPr>
      <w:r>
        <w:rPr>
          <w:rFonts w:ascii="Times New Roman" w:cs="Times New Roman" w:eastAsia="Times New Roman" w:hAnsi="Times New Roman"/>
          <w:sz w:val="14"/>
          <w:szCs w:val="14"/>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8" w:lineRule="exact"/>
        <w:rPr>
          <w:sz w:val="20"/>
          <w:szCs w:val="20"/>
          <w:color w:val="auto"/>
        </w:rPr>
      </w:pPr>
    </w:p>
    <w:p>
      <w:pPr>
        <w:jc w:val="both"/>
        <w:ind w:left="1280" w:right="1299"/>
        <w:spacing w:after="0" w:line="287"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internal laws of the State of New York, except to the extent that the Trust Indenture Act of 1939 is applicable.</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8" w:name="page59"/>
    <w:bookmarkEnd w:id="58"/>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28"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We may issue and offer warrants under the material terms and conditions described in this prospectus and any accompanying prospectus supplement. The accompanying prospectus supplement may add, update or change the terms and conditions of the warrants as described in this prospectus.</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8" w:lineRule="exact"/>
        <w:rPr>
          <w:sz w:val="20"/>
          <w:szCs w:val="20"/>
          <w:color w:val="auto"/>
        </w:rPr>
      </w:pPr>
    </w:p>
    <w:p>
      <w:pPr>
        <w:jc w:val="both"/>
        <w:ind w:left="1280" w:right="1299"/>
        <w:spacing w:after="0" w:line="259" w:lineRule="auto"/>
        <w:rPr>
          <w:sz w:val="20"/>
          <w:szCs w:val="20"/>
          <w:color w:val="auto"/>
        </w:rPr>
      </w:pPr>
      <w:r>
        <w:rPr>
          <w:rFonts w:ascii="Times New Roman" w:cs="Times New Roman" w:eastAsia="Times New Roman" w:hAnsi="Times New Roman"/>
          <w:sz w:val="14"/>
          <w:szCs w:val="14"/>
          <w:color w:val="auto"/>
        </w:rPr>
        <w:t>We may issue warrants to purchase our Class A ordinary shares, Class B ordinary shares, preferred shares, ADSs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Equity Warrants</w:t>
      </w:r>
    </w:p>
    <w:p>
      <w:pPr>
        <w:spacing w:after="0" w:line="117"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spacing w:after="0" w:line="83"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The equity warrants are to be issued under equity warrant agreements to be entered into between us and one or more banks or trust companies, as equity warrant agent, as will be set forth in the applicable prospectus supplement and this prospectus.</w:t>
      </w:r>
    </w:p>
    <w:p>
      <w:pPr>
        <w:spacing w:after="0" w:line="83"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The particular terms of the equity warrants, the equity warrant agreements relating to the equity warrants and the equity warrant certificates representing the equity warrants will be described in the applicable prospectus supplement, including, as applicable:</w:t>
      </w:r>
    </w:p>
    <w:p>
      <w:pPr>
        <w:spacing w:after="0" w:line="51" w:lineRule="exact"/>
        <w:rPr>
          <w:sz w:val="20"/>
          <w:szCs w:val="20"/>
          <w:color w:val="auto"/>
        </w:rPr>
      </w:pPr>
    </w:p>
    <w:p>
      <w:pPr>
        <w:ind w:left="1700" w:hanging="141"/>
        <w:spacing w:after="0"/>
        <w:tabs>
          <w:tab w:leader="none" w:pos="17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equity warrants;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w:t>
      </w:r>
    </w:p>
    <w:p>
      <w:pPr>
        <w:spacing w:after="0" w:line="93"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amount of equity warrants and the aggregate amount of equity securities purchasable upon exercise of the equity warrants;</w:t>
      </w:r>
    </w:p>
    <w:p>
      <w:pPr>
        <w:spacing w:after="0" w:line="39"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93"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equity securities with which the equity warrants are issued, and the amount of equity warrants issued with each equity security;</w:t>
      </w:r>
    </w:p>
    <w:p>
      <w:pPr>
        <w:spacing w:after="0" w:line="3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equity warrants and the related equity security will be separately transferable;</w:t>
      </w:r>
    </w:p>
    <w:p>
      <w:pPr>
        <w:spacing w:after="0" w:line="3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equity warrants that may be exercised at any one time;</w:t>
      </w:r>
    </w:p>
    <w:p>
      <w:pPr>
        <w:spacing w:after="0" w:line="50"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equity warrants will commence and the date on which the right will expire;</w:t>
      </w:r>
    </w:p>
    <w:p>
      <w:pPr>
        <w:spacing w:after="0" w:line="3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United States federal income tax, accounting or other considerations applicable to the equity warrants;</w:t>
      </w:r>
    </w:p>
    <w:p>
      <w:pPr>
        <w:spacing w:after="0" w:line="39"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of the equity warrants, if any;</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call provisions, if any, applicable to the equity warrants; and</w:t>
      </w:r>
    </w:p>
    <w:p>
      <w:pPr>
        <w:spacing w:after="0" w:line="93"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equity warrants, including terms, procedures and limitations relating to the exchange and exercise of the equity warrants.</w:t>
      </w:r>
    </w:p>
    <w:p>
      <w:pPr>
        <w:spacing w:after="0" w:line="72" w:lineRule="exact"/>
        <w:rPr>
          <w:sz w:val="20"/>
          <w:szCs w:val="20"/>
          <w:color w:val="auto"/>
        </w:rPr>
      </w:pPr>
    </w:p>
    <w:p>
      <w:pPr>
        <w:jc w:val="both"/>
        <w:ind w:left="1280" w:right="1299"/>
        <w:spacing w:after="0" w:line="280" w:lineRule="auto"/>
        <w:rPr>
          <w:sz w:val="20"/>
          <w:szCs w:val="20"/>
          <w:color w:val="auto"/>
        </w:rPr>
      </w:pPr>
      <w:r>
        <w:rPr>
          <w:rFonts w:ascii="Times New Roman" w:cs="Times New Roman" w:eastAsia="Times New Roman" w:hAnsi="Times New Roman"/>
          <w:sz w:val="14"/>
          <w:szCs w:val="14"/>
          <w:color w:val="auto"/>
        </w:rPr>
        <w:t>Holders of equity warrants will not be entitled, solely by virtue of being holders, to vote, to consent, to receive dividends, to receive notice as shareholders with respect to any meeting of shareholders for the election of</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9" w:name="page60"/>
    <w:bookmarkEnd w:id="59"/>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87" w:lineRule="auto"/>
        <w:rPr>
          <w:sz w:val="20"/>
          <w:szCs w:val="20"/>
          <w:color w:val="auto"/>
        </w:rPr>
      </w:pPr>
      <w:r>
        <w:rPr>
          <w:rFonts w:ascii="Times New Roman" w:cs="Times New Roman" w:eastAsia="Times New Roman" w:hAnsi="Times New Roman"/>
          <w:sz w:val="14"/>
          <w:szCs w:val="14"/>
          <w:color w:val="auto"/>
        </w:rPr>
        <w:t>directors or any other matters, or to exercise any rights whatsoever as a holder of the equity securities purchasable upon exercise of the equity warrants.</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Debt Warrants</w:t>
      </w:r>
    </w:p>
    <w:p>
      <w:pPr>
        <w:spacing w:after="0" w:line="128"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Each debt warrant issued by us will entitle its holder to purchase the debt securities designated at an exercise price set forth in, or to be determinable as set forth in, the related prospectus supplement. Debt warrants may be issued separately or together with debt securities.</w:t>
      </w:r>
    </w:p>
    <w:p>
      <w:pPr>
        <w:spacing w:after="0" w:line="83"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The debt warrants are to be issued under debt warrant agreements to be entered into between us, and one or more banks or trust companies, as debt warrant agent, as will be set forth in the applicable prospectus supplement and this prospectus.</w:t>
      </w:r>
    </w:p>
    <w:p>
      <w:pPr>
        <w:spacing w:after="0" w:line="73"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The particular terms of each issue of debt warrants, the debt warrant agreement relating to the debt warrants and the debt warrant certificates representing debt warrants will be described in the applicable prospectus supplement, including, as applicable:</w:t>
      </w:r>
    </w:p>
    <w:p>
      <w:pPr>
        <w:spacing w:after="0" w:line="51" w:lineRule="exact"/>
        <w:rPr>
          <w:sz w:val="20"/>
          <w:szCs w:val="20"/>
          <w:color w:val="auto"/>
        </w:rPr>
      </w:pPr>
    </w:p>
    <w:p>
      <w:pPr>
        <w:ind w:left="1700" w:hanging="141"/>
        <w:spacing w:after="0"/>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warrants;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w:t>
      </w:r>
    </w:p>
    <w:p>
      <w:pPr>
        <w:spacing w:after="0" w:line="93"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aggregate principal amount and terms of the debt securities purchasable upon exercise of the debt warrants;</w:t>
      </w:r>
    </w:p>
    <w:p>
      <w:pPr>
        <w:spacing w:after="0" w:line="39"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93"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terms of any related debt securities with which the debt warrants are issued and the amount of the debt warrants issued with each debt security;</w:t>
      </w:r>
    </w:p>
    <w:p>
      <w:pPr>
        <w:spacing w:after="0" w:line="3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debt warrants and the related debt securities will be separately transferable;</w:t>
      </w:r>
    </w:p>
    <w:p>
      <w:pPr>
        <w:spacing w:after="0" w:line="39" w:lineRule="exact"/>
        <w:rPr>
          <w:rFonts w:ascii="Times New Roman" w:cs="Times New Roman" w:eastAsia="Times New Roman" w:hAnsi="Times New Roman"/>
          <w:sz w:val="14"/>
          <w:szCs w:val="14"/>
          <w:color w:val="auto"/>
        </w:rPr>
      </w:pPr>
    </w:p>
    <w:p>
      <w:pPr>
        <w:jc w:val="both"/>
        <w:ind w:left="1700" w:right="1299" w:hanging="141"/>
        <w:spacing w:after="0" w:line="280" w:lineRule="auto"/>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debt securities purchasable upon exercise of each debt warrant and the price at which that principal amount of debt securities may be purchased upon exercise of each debt warrant;</w:t>
      </w:r>
    </w:p>
    <w:p>
      <w:pPr>
        <w:spacing w:after="0" w:line="219"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warrants that may be exercised at any one time;</w:t>
      </w:r>
    </w:p>
    <w:p>
      <w:pPr>
        <w:spacing w:after="0" w:line="93"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debt warrants will commence and the date on which the right will expire;</w:t>
      </w:r>
    </w:p>
    <w:p>
      <w:pPr>
        <w:spacing w:after="0" w:line="3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United States federal income tax, accounting or other considerations applicable to the debt warrants;</w:t>
      </w:r>
    </w:p>
    <w:p>
      <w:pPr>
        <w:spacing w:after="0" w:line="3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warrants represented by the debt warrant certificates will be issued in registered or bearer form, and, if registered, where they may be transferred and registered;</w:t>
      </w:r>
    </w:p>
    <w:p>
      <w:pPr>
        <w:spacing w:after="0" w:line="39"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of the debt warrants, if any;</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call provisions, if any, applicable to the debt warrants; and</w:t>
      </w:r>
    </w:p>
    <w:p>
      <w:pPr>
        <w:spacing w:after="0" w:line="93"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debt warrants, including terms, procedures and limitations relating to the exchange and exercise of the debt warrants.</w:t>
      </w:r>
    </w:p>
    <w:p>
      <w:pPr>
        <w:spacing w:after="0" w:line="72" w:lineRule="exact"/>
        <w:rPr>
          <w:sz w:val="20"/>
          <w:szCs w:val="20"/>
          <w:color w:val="auto"/>
        </w:rPr>
      </w:pPr>
    </w:p>
    <w:p>
      <w:pPr>
        <w:jc w:val="both"/>
        <w:ind w:left="1280" w:right="1299"/>
        <w:spacing w:after="0" w:line="260" w:lineRule="auto"/>
        <w:rPr>
          <w:sz w:val="20"/>
          <w:szCs w:val="20"/>
          <w:color w:val="auto"/>
        </w:rPr>
      </w:pPr>
      <w:r>
        <w:rPr>
          <w:rFonts w:ascii="Times New Roman" w:cs="Times New Roman" w:eastAsia="Times New Roman" w:hAnsi="Times New Roman"/>
          <w:sz w:val="14"/>
          <w:szCs w:val="14"/>
          <w:color w:val="auto"/>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0" w:name="page61"/>
    <w:bookmarkEnd w:id="60"/>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28" w:lineRule="exact"/>
        <w:rPr>
          <w:sz w:val="20"/>
          <w:szCs w:val="20"/>
          <w:color w:val="auto"/>
        </w:rPr>
      </w:pPr>
    </w:p>
    <w:p>
      <w:pPr>
        <w:jc w:val="both"/>
        <w:ind w:left="1280" w:right="1299"/>
        <w:spacing w:after="0" w:line="261" w:lineRule="auto"/>
        <w:rPr>
          <w:sz w:val="20"/>
          <w:szCs w:val="20"/>
          <w:color w:val="auto"/>
        </w:rPr>
      </w:pPr>
      <w:r>
        <w:rPr>
          <w:rFonts w:ascii="Times New Roman" w:cs="Times New Roman" w:eastAsia="Times New Roman" w:hAnsi="Times New Roman"/>
          <w:sz w:val="14"/>
          <w:szCs w:val="14"/>
          <w:color w:val="auto"/>
        </w:rPr>
        <w:t>We may issue units composed of any combination of our Class A ordinary shares, Class B ordinary shares, preferred shares, ADSs, debt securities or warrants.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261" w:lineRule="exact"/>
        <w:rPr>
          <w:sz w:val="20"/>
          <w:szCs w:val="20"/>
          <w:color w:val="auto"/>
        </w:rPr>
      </w:pPr>
    </w:p>
    <w:p>
      <w:pPr>
        <w:jc w:val="both"/>
        <w:ind w:left="1280" w:right="1299"/>
        <w:spacing w:after="0" w:line="260" w:lineRule="auto"/>
        <w:rPr>
          <w:sz w:val="20"/>
          <w:szCs w:val="20"/>
          <w:color w:val="auto"/>
        </w:rPr>
      </w:pPr>
      <w:r>
        <w:rPr>
          <w:rFonts w:ascii="Times New Roman" w:cs="Times New Roman" w:eastAsia="Times New Roman" w:hAnsi="Times New Roman"/>
          <w:sz w:val="14"/>
          <w:szCs w:val="14"/>
          <w:color w:val="auto"/>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spacing w:after="0" w:line="79" w:lineRule="exact"/>
        <w:rPr>
          <w:sz w:val="20"/>
          <w:szCs w:val="20"/>
          <w:color w:val="auto"/>
        </w:rPr>
      </w:pPr>
    </w:p>
    <w:p>
      <w:pPr>
        <w:jc w:val="both"/>
        <w:ind w:left="1280" w:right="1299"/>
        <w:spacing w:after="0" w:line="259" w:lineRule="auto"/>
        <w:rPr>
          <w:sz w:val="20"/>
          <w:szCs w:val="20"/>
          <w:color w:val="auto"/>
        </w:rPr>
      </w:pPr>
      <w:r>
        <w:rPr>
          <w:rFonts w:ascii="Times New Roman" w:cs="Times New Roman" w:eastAsia="Times New Roman" w:hAnsi="Times New Roman"/>
          <w:sz w:val="14"/>
          <w:szCs w:val="14"/>
          <w:color w:val="auto"/>
        </w:rPr>
        <w:t>This summary and any description of units in the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we issue a series of units. See “Where You Can Find More Information about Us” and “Incorporation of Documents by Reference” above for information on how to obtain a copy of a document when it is filed.</w:t>
      </w:r>
    </w:p>
    <w:p>
      <w:pPr>
        <w:spacing w:after="0" w:line="90" w:lineRule="exact"/>
        <w:rPr>
          <w:sz w:val="20"/>
          <w:szCs w:val="20"/>
          <w:color w:val="auto"/>
        </w:rPr>
      </w:pPr>
    </w:p>
    <w:p>
      <w:pPr>
        <w:jc w:val="both"/>
        <w:ind w:left="1280" w:right="1299"/>
        <w:spacing w:after="0" w:line="287" w:lineRule="auto"/>
        <w:rPr>
          <w:sz w:val="20"/>
          <w:szCs w:val="20"/>
          <w:color w:val="auto"/>
        </w:rPr>
      </w:pPr>
      <w:r>
        <w:rPr>
          <w:rFonts w:ascii="Times New Roman" w:cs="Times New Roman" w:eastAsia="Times New Roman" w:hAnsi="Times New Roman"/>
          <w:sz w:val="14"/>
          <w:szCs w:val="14"/>
          <w:color w:val="auto"/>
        </w:rPr>
        <w:t>The applicable prospectus supplement, information incorporated by reference or free writing prospectus may describe:</w:t>
      </w:r>
    </w:p>
    <w:p>
      <w:pPr>
        <w:spacing w:after="0" w:line="40" w:lineRule="exact"/>
        <w:rPr>
          <w:sz w:val="20"/>
          <w:szCs w:val="20"/>
          <w:color w:val="auto"/>
        </w:rPr>
      </w:pPr>
    </w:p>
    <w:p>
      <w:pPr>
        <w:ind w:left="1700" w:right="1299" w:hanging="141"/>
        <w:spacing w:after="0" w:line="287" w:lineRule="auto"/>
        <w:tabs>
          <w:tab w:leader="none" w:pos="17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39"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composing the units;</w:t>
      </w:r>
    </w:p>
    <w:p>
      <w:pPr>
        <w:spacing w:after="0" w:line="39"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units will be issued in fully registered or global form; and</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w:t>
      </w:r>
    </w:p>
    <w:p>
      <w:pPr>
        <w:spacing w:after="0" w:line="126"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The applicable provisions described in this section, as well as those described under “Description of Share Capital,” “Description of American Depositary Shares,” “Description of Debt Securities” and “Description of Warrants,” will apply to each unit and to each security included in each unit,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1" w:name="page62"/>
    <w:bookmarkEnd w:id="61"/>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8" w:lineRule="exact"/>
        <w:rPr>
          <w:sz w:val="20"/>
          <w:szCs w:val="20"/>
          <w:color w:val="auto"/>
        </w:rPr>
      </w:pPr>
    </w:p>
    <w:p>
      <w:pPr>
        <w:ind w:left="1280" w:right="1299"/>
        <w:spacing w:after="0" w:line="271" w:lineRule="auto"/>
        <w:rPr>
          <w:sz w:val="20"/>
          <w:szCs w:val="20"/>
          <w:color w:val="auto"/>
        </w:rPr>
      </w:pPr>
      <w:r>
        <w:rPr>
          <w:rFonts w:ascii="Times New Roman" w:cs="Times New Roman" w:eastAsia="Times New Roman" w:hAnsi="Times New Roman"/>
          <w:sz w:val="14"/>
          <w:szCs w:val="14"/>
          <w:color w:val="auto"/>
        </w:rPr>
        <w:t>We or any selling securityholders may sell or distribute the securities offered by this prospectus, from time to time, in one or more offerings, as follows:</w:t>
      </w:r>
    </w:p>
    <w:p>
      <w:pPr>
        <w:spacing w:after="0" w:line="40" w:lineRule="exact"/>
        <w:rPr>
          <w:sz w:val="20"/>
          <w:szCs w:val="20"/>
          <w:color w:val="auto"/>
        </w:rPr>
      </w:pPr>
    </w:p>
    <w:p>
      <w:pPr>
        <w:ind w:left="1700" w:hanging="141"/>
        <w:spacing w:after="0"/>
        <w:tabs>
          <w:tab w:leader="none" w:pos="17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dealers or underwriters for resale;</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w:t>
      </w:r>
    </w:p>
    <w:p>
      <w:pPr>
        <w:spacing w:after="0" w:line="93"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“at-the-market offerings,” within the meaning of Rule 415(a)(4) of the Securities Act, to or through a market maker or into an existing trading market, on an exchange or otherwise; or</w:t>
      </w:r>
    </w:p>
    <w:p>
      <w:pPr>
        <w:spacing w:after="0" w:line="39"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26" w:lineRule="exact"/>
        <w:rPr>
          <w:sz w:val="20"/>
          <w:szCs w:val="20"/>
          <w:color w:val="auto"/>
        </w:rPr>
      </w:pPr>
    </w:p>
    <w:p>
      <w:pPr>
        <w:jc w:val="both"/>
        <w:ind w:left="1280" w:right="1299"/>
        <w:spacing w:after="0" w:line="271" w:lineRule="auto"/>
        <w:rPr>
          <w:sz w:val="20"/>
          <w:szCs w:val="20"/>
          <w:color w:val="auto"/>
        </w:rPr>
      </w:pPr>
      <w:r>
        <w:rPr>
          <w:rFonts w:ascii="Times New Roman" w:cs="Times New Roman" w:eastAsia="Times New Roman" w:hAnsi="Times New Roman"/>
          <w:sz w:val="14"/>
          <w:szCs w:val="14"/>
          <w:color w:val="auto"/>
        </w:rPr>
        <w:t>The prospectus supplement with respect to the securities may state or supplement the terms of the offering of the securities.</w:t>
      </w:r>
    </w:p>
    <w:p>
      <w:pPr>
        <w:spacing w:after="0" w:line="72" w:lineRule="exact"/>
        <w:rPr>
          <w:sz w:val="20"/>
          <w:szCs w:val="20"/>
          <w:color w:val="auto"/>
        </w:rPr>
      </w:pPr>
    </w:p>
    <w:p>
      <w:pPr>
        <w:jc w:val="both"/>
        <w:ind w:left="1280" w:right="1299"/>
        <w:spacing w:after="0" w:line="261" w:lineRule="auto"/>
        <w:rPr>
          <w:sz w:val="20"/>
          <w:szCs w:val="20"/>
          <w:color w:val="auto"/>
        </w:rPr>
      </w:pPr>
      <w:r>
        <w:rPr>
          <w:rFonts w:ascii="Times New Roman" w:cs="Times New Roman" w:eastAsia="Times New Roman" w:hAnsi="Times New Roman"/>
          <w:sz w:val="14"/>
          <w:szCs w:val="14"/>
          <w:color w:val="auto"/>
        </w:rPr>
        <w:t>In addition, 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91" w:lineRule="exact"/>
        <w:rPr>
          <w:sz w:val="20"/>
          <w:szCs w:val="20"/>
          <w:color w:val="auto"/>
        </w:rPr>
      </w:pPr>
    </w:p>
    <w:p>
      <w:pPr>
        <w:jc w:val="both"/>
        <w:ind w:left="1280" w:right="1299"/>
        <w:spacing w:after="0" w:line="263" w:lineRule="auto"/>
        <w:rPr>
          <w:sz w:val="20"/>
          <w:szCs w:val="20"/>
          <w:color w:val="auto"/>
        </w:rPr>
      </w:pPr>
      <w:r>
        <w:rPr>
          <w:rFonts w:ascii="Times New Roman" w:cs="Times New Roman" w:eastAsia="Times New Roman" w:hAnsi="Times New Roman"/>
          <w:sz w:val="14"/>
          <w:szCs w:val="14"/>
          <w:color w:val="auto"/>
        </w:rPr>
        <w:t>Our securities distributed by any of these methods may be sold to the public, in one or more transactions, either:</w:t>
      </w:r>
    </w:p>
    <w:p>
      <w:pPr>
        <w:spacing w:after="0" w:line="248" w:lineRule="exact"/>
        <w:rPr>
          <w:sz w:val="20"/>
          <w:szCs w:val="20"/>
          <w:color w:val="auto"/>
        </w:rPr>
      </w:pPr>
    </w:p>
    <w:p>
      <w:pPr>
        <w:ind w:left="1700" w:hanging="141"/>
        <w:spacing w:after="0"/>
        <w:tabs>
          <w:tab w:leader="none" w:pos="17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prevailing market prices; or</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prospectus supplement relating to any offering will identify or describe:</w:t>
      </w:r>
    </w:p>
    <w:p>
      <w:pPr>
        <w:spacing w:after="0" w:line="94" w:lineRule="exact"/>
        <w:rPr>
          <w:sz w:val="20"/>
          <w:szCs w:val="20"/>
          <w:color w:val="auto"/>
        </w:rPr>
      </w:pPr>
    </w:p>
    <w:p>
      <w:pPr>
        <w:ind w:left="1700" w:hanging="141"/>
        <w:spacing w:after="0"/>
        <w:tabs>
          <w:tab w:leader="none" w:pos="17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of the offering;</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underwriter, dealers or agents;</w:t>
      </w:r>
    </w:p>
    <w:p>
      <w:pPr>
        <w:spacing w:after="0" w:line="93"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agency fees or underwriting discounts and other items constituting agents’ or underwriters’ compensation;</w:t>
      </w:r>
    </w:p>
    <w:p>
      <w:pPr>
        <w:spacing w:after="0" w:line="39"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over-allotment options under which underwriters may purchase additional securities from us;</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price;</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 on which the securities will be listed.</w:t>
      </w:r>
    </w:p>
    <w:p>
      <w:pPr>
        <w:spacing w:after="0" w:line="126" w:lineRule="exact"/>
        <w:rPr>
          <w:sz w:val="20"/>
          <w:szCs w:val="20"/>
          <w:color w:val="auto"/>
        </w:rPr>
      </w:pPr>
    </w:p>
    <w:p>
      <w:pPr>
        <w:jc w:val="both"/>
        <w:ind w:left="1280" w:right="1299"/>
        <w:spacing w:after="0" w:line="257" w:lineRule="auto"/>
        <w:rPr>
          <w:sz w:val="20"/>
          <w:szCs w:val="20"/>
          <w:color w:val="auto"/>
        </w:rPr>
      </w:pPr>
      <w:r>
        <w:rPr>
          <w:rFonts w:ascii="Times New Roman" w:cs="Times New Roman" w:eastAsia="Times New Roman" w:hAnsi="Times New Roman"/>
          <w:sz w:val="14"/>
          <w:szCs w:val="14"/>
          <w:color w:val="auto"/>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 the series offered if they purchase any of the securities of that series. We may change from time to time any public offering price and any discounts or concessions the underwriters allow or reallow or pay to dealers. We may use underwriters with whom we have a material relationship. The prospectus supplement will include the names of the principal</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2" w:name="page63"/>
    <w:bookmarkEnd w:id="62"/>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80" w:lineRule="auto"/>
        <w:rPr>
          <w:sz w:val="20"/>
          <w:szCs w:val="20"/>
          <w:color w:val="auto"/>
        </w:rPr>
      </w:pPr>
      <w:r>
        <w:rPr>
          <w:rFonts w:ascii="Times New Roman" w:cs="Times New Roman" w:eastAsia="Times New Roman" w:hAnsi="Times New Roman"/>
          <w:sz w:val="14"/>
          <w:szCs w:val="14"/>
          <w:color w:val="auto"/>
        </w:rPr>
        <w:t>underwriters, the respective amount of securities underwritten, the nature of the obligation of the underwriters to take the securities and the nature of any material relationship between an underwriter and us.</w:t>
      </w:r>
    </w:p>
    <w:p>
      <w:pPr>
        <w:spacing w:after="0" w:line="251" w:lineRule="exact"/>
        <w:rPr>
          <w:sz w:val="20"/>
          <w:szCs w:val="20"/>
          <w:color w:val="auto"/>
        </w:rPr>
      </w:pPr>
    </w:p>
    <w:p>
      <w:pPr>
        <w:jc w:val="both"/>
        <w:ind w:left="1280" w:right="1299"/>
        <w:spacing w:after="0" w:line="267" w:lineRule="auto"/>
        <w:rPr>
          <w:sz w:val="20"/>
          <w:szCs w:val="20"/>
          <w:color w:val="auto"/>
        </w:rPr>
      </w:pPr>
      <w:r>
        <w:rPr>
          <w:rFonts w:ascii="Times New Roman" w:cs="Times New Roman" w:eastAsia="Times New Roman" w:hAnsi="Times New Roman"/>
          <w:sz w:val="14"/>
          <w:szCs w:val="14"/>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259" w:lineRule="exact"/>
        <w:rPr>
          <w:sz w:val="20"/>
          <w:szCs w:val="20"/>
          <w:color w:val="auto"/>
        </w:rPr>
      </w:pPr>
    </w:p>
    <w:p>
      <w:pPr>
        <w:jc w:val="both"/>
        <w:ind w:left="1280" w:right="1299"/>
        <w:spacing w:after="0" w:line="287" w:lineRule="auto"/>
        <w:rPr>
          <w:sz w:val="20"/>
          <w:szCs w:val="20"/>
          <w:color w:val="auto"/>
        </w:rPr>
      </w:pPr>
      <w:r>
        <w:rPr>
          <w:rFonts w:ascii="Times New Roman" w:cs="Times New Roman" w:eastAsia="Times New Roman" w:hAnsi="Times New Roman"/>
          <w:sz w:val="14"/>
          <w:szCs w:val="14"/>
          <w:color w:val="auto"/>
        </w:rPr>
        <w:t>We or any selling securityholders may designate agents who agree to use their reasonable efforts to solicit purchases for the period of their appointment or to sell securities on a continuing basis.</w:t>
      </w:r>
    </w:p>
    <w:p>
      <w:pPr>
        <w:spacing w:after="0" w:line="61" w:lineRule="exact"/>
        <w:rPr>
          <w:sz w:val="20"/>
          <w:szCs w:val="20"/>
          <w:color w:val="auto"/>
        </w:rPr>
      </w:pPr>
    </w:p>
    <w:p>
      <w:pPr>
        <w:jc w:val="both"/>
        <w:ind w:left="1280" w:right="1299"/>
        <w:spacing w:after="0" w:line="258" w:lineRule="auto"/>
        <w:rPr>
          <w:sz w:val="20"/>
          <w:szCs w:val="20"/>
          <w:color w:val="auto"/>
        </w:rPr>
      </w:pPr>
      <w:r>
        <w:rPr>
          <w:rFonts w:ascii="Times New Roman" w:cs="Times New Roman" w:eastAsia="Times New Roman" w:hAnsi="Times New Roman"/>
          <w:sz w:val="14"/>
          <w:szCs w:val="14"/>
          <w:color w:val="auto"/>
        </w:rPr>
        <w:t>We or any selling securityholders may also sell securities directly to one or more purchasers without using underwriters or agents.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92"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83" w:lineRule="exact"/>
        <w:rPr>
          <w:sz w:val="20"/>
          <w:szCs w:val="20"/>
          <w:color w:val="auto"/>
        </w:rPr>
      </w:pPr>
    </w:p>
    <w:p>
      <w:pPr>
        <w:jc w:val="both"/>
        <w:ind w:left="1280" w:right="1299"/>
        <w:spacing w:after="0" w:line="258" w:lineRule="auto"/>
        <w:rPr>
          <w:sz w:val="20"/>
          <w:szCs w:val="20"/>
          <w:color w:val="auto"/>
        </w:rPr>
      </w:pPr>
      <w:r>
        <w:rPr>
          <w:rFonts w:ascii="Times New Roman" w:cs="Times New Roman" w:eastAsia="Times New Roman" w:hAnsi="Times New Roman"/>
          <w:sz w:val="14"/>
          <w:szCs w:val="14"/>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spacing w:after="0" w:line="254" w:lineRule="exact"/>
        <w:rPr>
          <w:sz w:val="20"/>
          <w:szCs w:val="20"/>
          <w:color w:val="auto"/>
        </w:rPr>
      </w:pPr>
    </w:p>
    <w:p>
      <w:pPr>
        <w:jc w:val="both"/>
        <w:ind w:left="1280" w:right="1299"/>
        <w:spacing w:after="0" w:line="261" w:lineRule="auto"/>
        <w:rPr>
          <w:sz w:val="20"/>
          <w:szCs w:val="20"/>
          <w:color w:val="auto"/>
        </w:rPr>
      </w:pPr>
      <w:r>
        <w:rPr>
          <w:rFonts w:ascii="Times New Roman" w:cs="Times New Roman" w:eastAsia="Times New Roman" w:hAnsi="Times New Roman"/>
          <w:sz w:val="14"/>
          <w:szCs w:val="14"/>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91" w:lineRule="exact"/>
        <w:rPr>
          <w:sz w:val="20"/>
          <w:szCs w:val="20"/>
          <w:color w:val="auto"/>
        </w:rPr>
      </w:pPr>
    </w:p>
    <w:p>
      <w:pPr>
        <w:jc w:val="both"/>
        <w:ind w:left="1280" w:right="1299"/>
        <w:spacing w:after="0" w:line="259"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or any free writing prospectus, each class or series of securities offered will be a new issue with no established trading market, other than our ADSs and Class A ordinary shares which are listed on the Nasdaq Global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90" w:lineRule="exact"/>
        <w:rPr>
          <w:sz w:val="20"/>
          <w:szCs w:val="20"/>
          <w:color w:val="auto"/>
        </w:rPr>
      </w:pPr>
    </w:p>
    <w:p>
      <w:pPr>
        <w:jc w:val="both"/>
        <w:ind w:left="1280" w:right="1299"/>
        <w:spacing w:after="0" w:line="256" w:lineRule="auto"/>
        <w:rPr>
          <w:sz w:val="20"/>
          <w:szCs w:val="20"/>
          <w:color w:val="auto"/>
        </w:rPr>
      </w:pPr>
      <w:r>
        <w:rPr>
          <w:rFonts w:ascii="Times New Roman" w:cs="Times New Roman" w:eastAsia="Times New Roman" w:hAnsi="Times New Roman"/>
          <w:sz w:val="14"/>
          <w:szCs w:val="14"/>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3" w:name="page64"/>
    <w:bookmarkEnd w:id="63"/>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80" w:lineRule="auto"/>
        <w:rPr>
          <w:sz w:val="20"/>
          <w:szCs w:val="20"/>
          <w:color w:val="auto"/>
        </w:rPr>
      </w:pPr>
      <w:r>
        <w:rPr>
          <w:rFonts w:ascii="Times New Roman" w:cs="Times New Roman" w:eastAsia="Times New Roman" w:hAnsi="Times New Roman"/>
          <w:sz w:val="14"/>
          <w:szCs w:val="14"/>
          <w:color w:val="auto"/>
        </w:rPr>
        <w:t>likely to be created if the underwriters are concerned that there may be downward pressure on the price of the securities in the open market after pricing that could adversely affect investors who purchase in the offering.</w:t>
      </w:r>
    </w:p>
    <w:p>
      <w:pPr>
        <w:spacing w:after="0" w:line="251" w:lineRule="exact"/>
        <w:rPr>
          <w:sz w:val="20"/>
          <w:szCs w:val="20"/>
          <w:color w:val="auto"/>
        </w:rPr>
      </w:pPr>
    </w:p>
    <w:p>
      <w:pPr>
        <w:jc w:val="both"/>
        <w:ind w:left="1280" w:right="1299"/>
        <w:spacing w:after="0" w:line="257" w:lineRule="auto"/>
        <w:rPr>
          <w:sz w:val="20"/>
          <w:szCs w:val="20"/>
          <w:color w:val="auto"/>
        </w:rPr>
      </w:pPr>
      <w:r>
        <w:rPr>
          <w:rFonts w:ascii="Times New Roman" w:cs="Times New Roman" w:eastAsia="Times New Roman" w:hAnsi="Times New Roman"/>
          <w:sz w:val="14"/>
          <w:szCs w:val="14"/>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Nasdaq Capital Market or otherwise and, if commenced, may be discontinued at any time.</w:t>
      </w:r>
    </w:p>
    <w:p>
      <w:pPr>
        <w:spacing w:after="0" w:line="264" w:lineRule="exact"/>
        <w:rPr>
          <w:sz w:val="20"/>
          <w:szCs w:val="20"/>
          <w:color w:val="auto"/>
        </w:rPr>
      </w:pPr>
    </w:p>
    <w:p>
      <w:pPr>
        <w:jc w:val="both"/>
        <w:ind w:left="1280" w:right="1299"/>
        <w:spacing w:after="0" w:line="257" w:lineRule="auto"/>
        <w:rPr>
          <w:sz w:val="20"/>
          <w:szCs w:val="20"/>
          <w:color w:val="auto"/>
        </w:rPr>
      </w:pPr>
      <w:r>
        <w:rPr>
          <w:rFonts w:ascii="Times New Roman" w:cs="Times New Roman" w:eastAsia="Times New Roman" w:hAnsi="Times New Roman"/>
          <w:sz w:val="14"/>
          <w:szCs w:val="14"/>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w:t>
      </w:r>
    </w:p>
    <w:p>
      <w:pPr>
        <w:spacing w:after="0" w:line="256" w:lineRule="exact"/>
        <w:rPr>
          <w:sz w:val="20"/>
          <w:szCs w:val="20"/>
          <w:color w:val="auto"/>
        </w:rPr>
      </w:pPr>
    </w:p>
    <w:p>
      <w:pPr>
        <w:jc w:val="both"/>
        <w:ind w:left="1280" w:right="1299"/>
        <w:spacing w:after="0" w:line="263" w:lineRule="auto"/>
        <w:rPr>
          <w:sz w:val="20"/>
          <w:szCs w:val="20"/>
          <w:color w:val="auto"/>
        </w:rPr>
      </w:pPr>
      <w:r>
        <w:rPr>
          <w:rFonts w:ascii="Times New Roman" w:cs="Times New Roman" w:eastAsia="Times New Roman" w:hAnsi="Times New Roman"/>
          <w:sz w:val="14"/>
          <w:szCs w:val="14"/>
          <w:color w:val="auto"/>
        </w:rPr>
        <w:t>We may loan or pledge securities to a financial institution or other third party that in turn may sell the securities short using this prospectus and applicable prospectus supplement. Such financial institution or third party may transfer its economic short position to investors in our securities or in connection with a concurrent offering of other securities offered by this prospectus and applicable prospectus supplement,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4" w:name="page65"/>
    <w:bookmarkEnd w:id="64"/>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28"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5" w:name="page66"/>
    <w:bookmarkEnd w:id="65"/>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ENFORCEABILITY OF CIVIL LIABILITIES</w:t>
      </w:r>
    </w:p>
    <w:p>
      <w:pPr>
        <w:spacing w:after="0" w:line="128" w:lineRule="exact"/>
        <w:rPr>
          <w:sz w:val="20"/>
          <w:szCs w:val="20"/>
          <w:color w:val="auto"/>
        </w:rPr>
      </w:pPr>
    </w:p>
    <w:p>
      <w:pPr>
        <w:jc w:val="both"/>
        <w:ind w:left="1280" w:right="1299"/>
        <w:spacing w:after="0" w:line="262" w:lineRule="auto"/>
        <w:rPr>
          <w:sz w:val="20"/>
          <w:szCs w:val="20"/>
          <w:color w:val="auto"/>
        </w:rPr>
      </w:pPr>
      <w:r>
        <w:rPr>
          <w:rFonts w:ascii="Times New Roman" w:cs="Times New Roman" w:eastAsia="Times New Roman" w:hAnsi="Times New Roman"/>
          <w:sz w:val="14"/>
          <w:szCs w:val="14"/>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46" w:lineRule="exact"/>
        <w:rPr>
          <w:sz w:val="20"/>
          <w:szCs w:val="20"/>
          <w:color w:val="auto"/>
        </w:rPr>
      </w:pPr>
    </w:p>
    <w:p>
      <w:pPr>
        <w:ind w:left="1700" w:hanging="141"/>
        <w:spacing w:after="0"/>
        <w:tabs>
          <w:tab w:leader="none" w:pos="17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stability;</w:t>
      </w:r>
    </w:p>
    <w:p>
      <w:pPr>
        <w:spacing w:after="0" w:line="8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effective judicial system;</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favorable tax system;</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exchange control or currency restrictions; and</w:t>
      </w:r>
    </w:p>
    <w:p>
      <w:pPr>
        <w:spacing w:after="0" w:line="93" w:lineRule="exact"/>
        <w:rPr>
          <w:rFonts w:ascii="Times New Roman" w:cs="Times New Roman" w:eastAsia="Times New Roman" w:hAnsi="Times New Roman"/>
          <w:sz w:val="14"/>
          <w:szCs w:val="14"/>
          <w:color w:val="auto"/>
        </w:rPr>
      </w:pPr>
    </w:p>
    <w:p>
      <w:pPr>
        <w:ind w:left="1700" w:hanging="141"/>
        <w:spacing w:after="0"/>
        <w:tabs>
          <w:tab w:leader="none" w:pos="17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professional and support services.</w:t>
      </w:r>
    </w:p>
    <w:p>
      <w:pPr>
        <w:spacing w:after="0" w:line="115" w:lineRule="exact"/>
        <w:rPr>
          <w:sz w:val="20"/>
          <w:szCs w:val="20"/>
          <w:color w:val="auto"/>
        </w:rPr>
      </w:pPr>
    </w:p>
    <w:p>
      <w:pPr>
        <w:ind w:left="1280" w:right="1299"/>
        <w:spacing w:after="0" w:line="287" w:lineRule="auto"/>
        <w:rPr>
          <w:sz w:val="20"/>
          <w:szCs w:val="20"/>
          <w:color w:val="auto"/>
        </w:rPr>
      </w:pPr>
      <w:r>
        <w:rPr>
          <w:rFonts w:ascii="Times New Roman" w:cs="Times New Roman" w:eastAsia="Times New Roman" w:hAnsi="Times New Roman"/>
          <w:sz w:val="14"/>
          <w:szCs w:val="14"/>
          <w:color w:val="auto"/>
        </w:rPr>
        <w:t>However, certain disadvantages accompany incorporation in the Cayman Islands. These disadvantages include but are not limited to:</w:t>
      </w:r>
    </w:p>
    <w:p>
      <w:pPr>
        <w:spacing w:after="0" w:line="29" w:lineRule="exact"/>
        <w:rPr>
          <w:sz w:val="20"/>
          <w:szCs w:val="20"/>
          <w:color w:val="auto"/>
        </w:rPr>
      </w:pPr>
    </w:p>
    <w:p>
      <w:pPr>
        <w:jc w:val="both"/>
        <w:ind w:left="1700" w:right="1299" w:hanging="141"/>
        <w:spacing w:after="0" w:line="270" w:lineRule="auto"/>
        <w:tabs>
          <w:tab w:leader="none" w:pos="17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Cayman Islands has a less developed body of securities laws as compared to the United States and these securities laws provide significantly less protection to investors as compared to the United States; and</w:t>
      </w:r>
    </w:p>
    <w:p>
      <w:pPr>
        <w:spacing w:after="0" w:line="40" w:lineRule="exact"/>
        <w:rPr>
          <w:rFonts w:ascii="Times New Roman" w:cs="Times New Roman" w:eastAsia="Times New Roman" w:hAnsi="Times New Roman"/>
          <w:sz w:val="14"/>
          <w:szCs w:val="14"/>
          <w:color w:val="auto"/>
        </w:rPr>
      </w:pPr>
    </w:p>
    <w:p>
      <w:pPr>
        <w:ind w:left="1700" w:right="1299" w:hanging="141"/>
        <w:spacing w:after="0" w:line="263" w:lineRule="auto"/>
        <w:tabs>
          <w:tab w:leader="none" w:pos="17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Cayman Islands companies may not have standing to sue before the federal courts of the United States.</w:t>
      </w:r>
    </w:p>
    <w:p>
      <w:pPr>
        <w:spacing w:after="0" w:line="280"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Our constitutional documents do not contain provisions requiring that disputes, including those arising under the securities laws of the United States, between us, our officers, directors and shareholders, be arbitrated.</w:t>
      </w:r>
    </w:p>
    <w:p>
      <w:pPr>
        <w:spacing w:after="0" w:line="243" w:lineRule="exact"/>
        <w:rPr>
          <w:sz w:val="20"/>
          <w:szCs w:val="20"/>
          <w:color w:val="auto"/>
        </w:rPr>
      </w:pPr>
    </w:p>
    <w:p>
      <w:pPr>
        <w:jc w:val="both"/>
        <w:ind w:left="1280" w:right="1299"/>
        <w:spacing w:after="0" w:line="245" w:lineRule="auto"/>
        <w:rPr>
          <w:sz w:val="20"/>
          <w:szCs w:val="20"/>
          <w:color w:val="auto"/>
        </w:rPr>
      </w:pPr>
      <w:r>
        <w:rPr>
          <w:rFonts w:ascii="Times New Roman" w:cs="Times New Roman" w:eastAsia="Times New Roman" w:hAnsi="Times New Roman"/>
          <w:sz w:val="14"/>
          <w:szCs w:val="14"/>
          <w:color w:val="auto"/>
        </w:rPr>
        <w:t>Most of our operations are conducted in China, and a majority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officers and directors.</w:t>
      </w:r>
    </w:p>
    <w:p>
      <w:pPr>
        <w:spacing w:after="0" w:line="93" w:lineRule="exact"/>
        <w:rPr>
          <w:sz w:val="20"/>
          <w:szCs w:val="20"/>
          <w:color w:val="auto"/>
        </w:rPr>
      </w:pPr>
    </w:p>
    <w:p>
      <w:pPr>
        <w:jc w:val="both"/>
        <w:ind w:left="1280" w:right="1299"/>
        <w:spacing w:after="0" w:line="262" w:lineRule="auto"/>
        <w:rPr>
          <w:sz w:val="20"/>
          <w:szCs w:val="20"/>
          <w:color w:val="auto"/>
        </w:rPr>
      </w:pPr>
      <w:r>
        <w:rPr>
          <w:rFonts w:ascii="Times New Roman" w:cs="Times New Roman" w:eastAsia="Times New Roman" w:hAnsi="Times New Roman"/>
          <w:sz w:val="14"/>
          <w:szCs w:val="14"/>
          <w:color w:val="auto"/>
        </w:rPr>
        <w:t>We have appointed Cogency Global Inc., located at 122 East 42nd Street, 18th Floor, New York, NY 10168, as our agent to receive service of process with respect to any action brought against us under the securities laws of the United States.</w:t>
      </w:r>
    </w:p>
    <w:p>
      <w:pPr>
        <w:spacing w:after="0" w:line="78" w:lineRule="exact"/>
        <w:rPr>
          <w:sz w:val="20"/>
          <w:szCs w:val="20"/>
          <w:color w:val="auto"/>
        </w:rPr>
      </w:pPr>
    </w:p>
    <w:p>
      <w:pPr>
        <w:jc w:val="both"/>
        <w:ind w:left="1280" w:right="1299"/>
        <w:spacing w:after="0" w:line="244" w:lineRule="auto"/>
        <w:rPr>
          <w:sz w:val="20"/>
          <w:szCs w:val="20"/>
          <w:color w:val="auto"/>
        </w:rPr>
      </w:pPr>
      <w:r>
        <w:rPr>
          <w:rFonts w:ascii="Times New Roman" w:cs="Times New Roman" w:eastAsia="Times New Roman" w:hAnsi="Times New Roman"/>
          <w:sz w:val="14"/>
          <w:szCs w:val="14"/>
          <w:color w:val="auto"/>
        </w:rPr>
        <w:t>We have been informed by Travers Thorp Alberga, our counsel as to Cayman Islands law, that there is uncertainty as to whether the courts of the Cayman Islands would (i) recognize or enforce judgments of U.S. courts obtained against us or our directors or officers that are predicated upon the civil liability provisions of the securities laws of the United States or any state in the United States, or (ii) entertain original actions brought in the Cayman Islands against us or our directors or officers that are predicated upon the securities laws of the United States or any state in the United States. We have also been advised by Travers Thorp Alberga that although there is no statutory enforcement in the Cayman Islands of judgments obtained in a U.S. court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a liquidated sum for which such judgment has been given, provided such judgment (i) is given by a foreign court of competent jurisdiction,</w:t>
      </w:r>
    </w:p>
    <w:p>
      <w:pPr>
        <w:spacing w:after="0" w:line="2" w:lineRule="exact"/>
        <w:rPr>
          <w:sz w:val="20"/>
          <w:szCs w:val="20"/>
          <w:color w:val="auto"/>
        </w:rPr>
      </w:pPr>
    </w:p>
    <w:p>
      <w:pPr>
        <w:jc w:val="both"/>
        <w:ind w:left="1280" w:right="1299" w:hanging="4"/>
        <w:spacing w:after="0" w:line="247" w:lineRule="auto"/>
        <w:tabs>
          <w:tab w:leader="none" w:pos="1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imposes on the judgment debtor a liability to pay a liquidated sum for which the judgment has been given, (iii) is final and conclusive, (iv) is not in respect of taxes, a fine or a penalty, and (v) was not obtained in a manner and is not of a kind the enforcement of which is contrary to natural justice or the public policy of the Cayman Islands.</w:t>
      </w:r>
    </w:p>
    <w:p>
      <w:pPr>
        <w:spacing w:after="0" w:line="252" w:lineRule="exact"/>
        <w:rPr>
          <w:sz w:val="20"/>
          <w:szCs w:val="20"/>
          <w:color w:val="auto"/>
        </w:rPr>
      </w:pPr>
    </w:p>
    <w:p>
      <w:pPr>
        <w:jc w:val="both"/>
        <w:ind w:left="1280" w:right="1299"/>
        <w:spacing w:after="0" w:line="256" w:lineRule="auto"/>
        <w:rPr>
          <w:sz w:val="20"/>
          <w:szCs w:val="20"/>
          <w:color w:val="auto"/>
        </w:rPr>
      </w:pPr>
      <w:r>
        <w:rPr>
          <w:rFonts w:ascii="Times New Roman" w:cs="Times New Roman" w:eastAsia="Times New Roman" w:hAnsi="Times New Roman"/>
          <w:sz w:val="14"/>
          <w:szCs w:val="14"/>
          <w:color w:val="auto"/>
        </w:rPr>
        <w:t>However, the Cayman Islands courts are unlikely to enforce a judgment obtained from the United States courts under civil liability provisions of the securities laws if such judgment is determined by the courts of the Cayman Islands to give rise to obligations to make payments that are penal or punitive in nature. Because the</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204470</wp:posOffset>
            </wp:positionV>
            <wp:extent cx="537972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6" w:name="page67"/>
    <w:bookmarkEnd w:id="66"/>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80" w:right="1299"/>
        <w:spacing w:after="0" w:line="267" w:lineRule="auto"/>
        <w:rPr>
          <w:sz w:val="20"/>
          <w:szCs w:val="20"/>
          <w:color w:val="auto"/>
        </w:rPr>
      </w:pPr>
      <w:r>
        <w:rPr>
          <w:rFonts w:ascii="Times New Roman" w:cs="Times New Roman" w:eastAsia="Times New Roman" w:hAnsi="Times New Roman"/>
          <w:sz w:val="14"/>
          <w:szCs w:val="14"/>
          <w:color w:val="auto"/>
        </w:rPr>
        <w:t>courts of the Cayman Islands have yet to rule on whether such judgments are penal or punitive in nature, it is uncertain whether such civil liability judgments from U.S. courts would be enforceable in the Cayman Islands. A Cayman Islands court may stay enforcement proceedings if concurrent proceedings are being brought elsewhere.</w:t>
      </w:r>
    </w:p>
    <w:p>
      <w:pPr>
        <w:spacing w:after="0" w:line="259" w:lineRule="exact"/>
        <w:rPr>
          <w:sz w:val="20"/>
          <w:szCs w:val="20"/>
          <w:color w:val="auto"/>
        </w:rPr>
      </w:pPr>
    </w:p>
    <w:p>
      <w:pPr>
        <w:jc w:val="both"/>
        <w:ind w:left="1280" w:right="1299"/>
        <w:spacing w:after="0" w:line="287" w:lineRule="auto"/>
        <w:rPr>
          <w:sz w:val="20"/>
          <w:szCs w:val="20"/>
          <w:color w:val="auto"/>
        </w:rPr>
      </w:pPr>
      <w:r>
        <w:rPr>
          <w:rFonts w:ascii="Times New Roman" w:cs="Times New Roman" w:eastAsia="Times New Roman" w:hAnsi="Times New Roman"/>
          <w:sz w:val="14"/>
          <w:szCs w:val="14"/>
          <w:color w:val="auto"/>
        </w:rPr>
        <w:t>Commerce &amp; Finance Law Offices, our PRC legal counsel, has advised us that there is uncertainty as to whether the courts of mainland China would:</w:t>
      </w:r>
    </w:p>
    <w:p>
      <w:pPr>
        <w:spacing w:after="0" w:line="40" w:lineRule="exact"/>
        <w:rPr>
          <w:sz w:val="20"/>
          <w:szCs w:val="20"/>
          <w:color w:val="auto"/>
        </w:rPr>
      </w:pPr>
    </w:p>
    <w:p>
      <w:pPr>
        <w:jc w:val="both"/>
        <w:ind w:left="1700" w:right="1299" w:hanging="141"/>
        <w:spacing w:after="0" w:line="270" w:lineRule="auto"/>
        <w:tabs>
          <w:tab w:leader="none" w:pos="17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51" w:lineRule="exact"/>
        <w:rPr>
          <w:rFonts w:ascii="Times New Roman" w:cs="Times New Roman" w:eastAsia="Times New Roman" w:hAnsi="Times New Roman"/>
          <w:sz w:val="14"/>
          <w:szCs w:val="14"/>
          <w:color w:val="auto"/>
        </w:rPr>
      </w:pPr>
    </w:p>
    <w:p>
      <w:pPr>
        <w:ind w:left="1700" w:right="1299" w:hanging="141"/>
        <w:spacing w:after="0" w:line="287" w:lineRule="auto"/>
        <w:tabs>
          <w:tab w:leader="none" w:pos="17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entertain original actions brought in each respective jurisdiction against us or our directors or officers predicated upon the securities laws of the United States or any state in the United States.</w:t>
      </w:r>
    </w:p>
    <w:p>
      <w:pPr>
        <w:spacing w:after="0" w:line="72" w:lineRule="exact"/>
        <w:rPr>
          <w:sz w:val="20"/>
          <w:szCs w:val="20"/>
          <w:color w:val="auto"/>
        </w:rPr>
      </w:pPr>
    </w:p>
    <w:p>
      <w:pPr>
        <w:jc w:val="both"/>
        <w:ind w:left="1280" w:right="1299"/>
        <w:spacing w:after="0" w:line="254" w:lineRule="auto"/>
        <w:rPr>
          <w:sz w:val="20"/>
          <w:szCs w:val="20"/>
          <w:color w:val="auto"/>
        </w:rPr>
      </w:pPr>
      <w:r>
        <w:rPr>
          <w:rFonts w:ascii="Times New Roman" w:cs="Times New Roman" w:eastAsia="Times New Roman" w:hAnsi="Times New Roman"/>
          <w:sz w:val="14"/>
          <w:szCs w:val="14"/>
          <w:color w:val="auto"/>
        </w:rPr>
        <w:t>Commerce &amp; Finance Law Offices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as of the date of this prospectus. In addition, according to the PRC Civil Procedures Law, courts in China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PRC Law on the Application of Laws to Foreign-related Civil Relations, foreign shareholders may originate actions based on PRC law before a PRC court against a company for disputes relating to contracts or other property interests, and the PRC court may accept a cause of action based on the laws or the parties’ express mutual agreement in contracts choosing PRC courts for dispute resolution if such foreign shareholders can establish sufficient nexus to the PRC for a PRC court to have jurisdiction and meet other procedural requirements, including, among others, that the plaintiff must have a direct interest in the case and that there must be a concrete claim, a factual basis and a cause for the case. The PRC court will determine whether to accept the complaint in accordance with the PRC Civil Procedures Law and PRC Law on the Application of Laws to Foreign-related Civil Relations.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w:t>
      </w:r>
    </w:p>
    <w:p>
      <w:pPr>
        <w:spacing w:after="0" w:line="266" w:lineRule="exact"/>
        <w:rPr>
          <w:sz w:val="20"/>
          <w:szCs w:val="20"/>
          <w:color w:val="auto"/>
        </w:rPr>
      </w:pPr>
    </w:p>
    <w:p>
      <w:pPr>
        <w:jc w:val="both"/>
        <w:ind w:left="1280" w:right="1299"/>
        <w:spacing w:after="0" w:line="264" w:lineRule="auto"/>
        <w:rPr>
          <w:sz w:val="20"/>
          <w:szCs w:val="20"/>
          <w:color w:val="auto"/>
        </w:rPr>
      </w:pPr>
      <w:r>
        <w:rPr>
          <w:rFonts w:ascii="Times New Roman" w:cs="Times New Roman" w:eastAsia="Times New Roman" w:hAnsi="Times New Roman"/>
          <w:sz w:val="14"/>
          <w:szCs w:val="14"/>
          <w:color w:val="auto"/>
        </w:rPr>
        <w:t>In addition, it will be difficult for U.S. shareholders to originate actions against us in China in accordance with PRC laws because we are incorporated under the laws of the Cayman Islands and it will be difficult for U.S. shareholders, by virtue only of holding the ADSs or Class A ordinary shares, to establish a connection to mainland China for a PRC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7" w:name="page68"/>
    <w:bookmarkEnd w:id="67"/>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8" w:lineRule="exact"/>
        <w:rPr>
          <w:sz w:val="20"/>
          <w:szCs w:val="20"/>
          <w:color w:val="auto"/>
        </w:rPr>
      </w:pPr>
    </w:p>
    <w:p>
      <w:pPr>
        <w:jc w:val="both"/>
        <w:ind w:left="1280" w:right="1299"/>
        <w:spacing w:after="0" w:line="258" w:lineRule="auto"/>
        <w:rPr>
          <w:sz w:val="20"/>
          <w:szCs w:val="20"/>
          <w:color w:val="auto"/>
        </w:rPr>
      </w:pPr>
      <w:r>
        <w:rPr>
          <w:rFonts w:ascii="Times New Roman" w:cs="Times New Roman" w:eastAsia="Times New Roman" w:hAnsi="Times New Roman"/>
          <w:sz w:val="14"/>
          <w:szCs w:val="14"/>
          <w:color w:val="auto"/>
        </w:rPr>
        <w:t>We are being represented by Cooley LLP with respect to certain legal matters of United States federal securities and New York state law. The validity of the Class A ordinary shares represented by the ADSs and other certain legal matters as to Cayman Islands law will be passed upon for us by Travers Thorp Alberga. Certain legal matters as to PRC law will be passed upon for us by Commerce &amp; Finance Law Offices. If legal matters in connection with offerings made pursuant to this prospectus are passed upon by counsel to underwriters, dealers or agents, such counsel will be named in the applicable prospectus supplement relating to any such offering. Cooley LLP may rely upon Travers Thorp Alberga with respect to matters governed by Cayman Islands law and Commerce &amp; Finance Law Offices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8" w:name="page69"/>
    <w:bookmarkEnd w:id="68"/>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8" w:lineRule="exact"/>
        <w:rPr>
          <w:sz w:val="20"/>
          <w:szCs w:val="20"/>
          <w:color w:val="auto"/>
        </w:rPr>
      </w:pPr>
    </w:p>
    <w:p>
      <w:pPr>
        <w:jc w:val="both"/>
        <w:ind w:left="1280" w:right="1299"/>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of WeRide Inc. as of December 31, 2023 and 2024, and for each of the years in the three-year period ended December 31, 2024, have been incorporated by reference herein in reliance upon the report of KPMG Huazhen LLP, independent registered public accounting firm, incorporated by reference herein, and upon the authority of said firm as experts in accounting and auditing.</w:t>
      </w:r>
    </w:p>
    <w:p>
      <w:pPr>
        <w:spacing w:after="0" w:line="88" w:lineRule="exact"/>
        <w:rPr>
          <w:sz w:val="20"/>
          <w:szCs w:val="20"/>
          <w:color w:val="auto"/>
        </w:rPr>
      </w:pPr>
    </w:p>
    <w:p>
      <w:pPr>
        <w:jc w:val="both"/>
        <w:ind w:left="1280" w:right="1299"/>
        <w:spacing w:after="0" w:line="287" w:lineRule="auto"/>
        <w:rPr>
          <w:sz w:val="20"/>
          <w:szCs w:val="20"/>
          <w:color w:val="auto"/>
        </w:rPr>
      </w:pPr>
      <w:r>
        <w:rPr>
          <w:rFonts w:ascii="Times New Roman" w:cs="Times New Roman" w:eastAsia="Times New Roman" w:hAnsi="Times New Roman"/>
          <w:sz w:val="14"/>
          <w:szCs w:val="14"/>
          <w:color w:val="auto"/>
        </w:rPr>
        <w:t>The registered business address of KPMG Huazhen LLP is 8th Floor, KPMG Tower, Oriental Plaza 1 East Chang An Avenue, Beijing 100738,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9" w:name="page70"/>
    <w:bookmarkEnd w:id="69"/>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ABOUT US</w:t>
      </w:r>
    </w:p>
    <w:p>
      <w:pPr>
        <w:spacing w:after="0" w:line="128" w:lineRule="exact"/>
        <w:rPr>
          <w:sz w:val="20"/>
          <w:szCs w:val="20"/>
          <w:color w:val="auto"/>
        </w:rPr>
      </w:pPr>
    </w:p>
    <w:p>
      <w:pPr>
        <w:jc w:val="both"/>
        <w:ind w:left="1280" w:right="1299"/>
        <w:spacing w:after="0" w:line="257" w:lineRule="auto"/>
        <w:rPr>
          <w:sz w:val="20"/>
          <w:szCs w:val="20"/>
          <w:color w:val="auto"/>
        </w:rPr>
      </w:pPr>
      <w:r>
        <w:rPr>
          <w:rFonts w:ascii="Times New Roman" w:cs="Times New Roman" w:eastAsia="Times New Roman" w:hAnsi="Times New Roman"/>
          <w:sz w:val="14"/>
          <w:szCs w:val="14"/>
          <w:color w:val="auto"/>
        </w:rPr>
        <w:t>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under the Exchange Act from, among other things, the rules prescribing the furnishing the content of proxy statements to shareholders,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67" w:lineRule="exact"/>
        <w:rPr>
          <w:sz w:val="20"/>
          <w:szCs w:val="20"/>
          <w:color w:val="auto"/>
        </w:rPr>
      </w:pPr>
    </w:p>
    <w:p>
      <w:pPr>
        <w:jc w:val="both"/>
        <w:ind w:left="1280" w:right="1299"/>
        <w:spacing w:after="0" w:line="258" w:lineRule="auto"/>
        <w:rPr>
          <w:sz w:val="20"/>
          <w:szCs w:val="20"/>
          <w:color w:val="auto"/>
        </w:rPr>
      </w:pPr>
      <w:r>
        <w:rPr>
          <w:rFonts w:ascii="Times New Roman" w:cs="Times New Roman" w:eastAsia="Times New Roman" w:hAnsi="Times New Roman"/>
          <w:sz w:val="14"/>
          <w:szCs w:val="14"/>
          <w:color w:val="auto"/>
        </w:rPr>
        <w:t>All information filed with the SEC can be obtained over the internet at the SEC’s website at www.sec.gov or inspected and copied at the public reference facilities maintained by the SEC at 100 F Street, N.E., Washington, D.C. 20549. You can request copies of these documents, upon payment of a duplicating fee, by writing to the SEC. Please call the SEC at 1-800-SEC-0330 or visit the SEC website for further information on the operation of the public reference rooms. We also maintain a website at https://ir.weride.ai/​, but information on our website, however, is not, and should not be deemed to be, a part of this prospectus or any prospectus supplement. You should not regard any information on our website as a part of this prospectus or any prospectus supplement.</w:t>
      </w:r>
    </w:p>
    <w:p>
      <w:pPr>
        <w:spacing w:after="0" w:line="254" w:lineRule="exact"/>
        <w:rPr>
          <w:sz w:val="20"/>
          <w:szCs w:val="20"/>
          <w:color w:val="auto"/>
        </w:rPr>
      </w:pPr>
    </w:p>
    <w:p>
      <w:pPr>
        <w:jc w:val="both"/>
        <w:ind w:left="1280" w:right="1299"/>
        <w:spacing w:after="0" w:line="259" w:lineRule="auto"/>
        <w:rPr>
          <w:sz w:val="20"/>
          <w:szCs w:val="20"/>
          <w:color w:val="auto"/>
        </w:rPr>
      </w:pPr>
      <w:r>
        <w:rPr>
          <w:rFonts w:ascii="Times New Roman" w:cs="Times New Roman" w:eastAsia="Times New Roman" w:hAnsi="Times New Roman"/>
          <w:sz w:val="14"/>
          <w:szCs w:val="14"/>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and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0" w:name="page71"/>
    <w:bookmarkEnd w:id="70"/>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OF DOCUMENTS BY REFERENCE</w:t>
      </w:r>
    </w:p>
    <w:p>
      <w:pPr>
        <w:spacing w:after="0" w:line="128" w:lineRule="exact"/>
        <w:rPr>
          <w:sz w:val="20"/>
          <w:szCs w:val="20"/>
          <w:color w:val="auto"/>
        </w:rPr>
      </w:pPr>
    </w:p>
    <w:p>
      <w:pPr>
        <w:jc w:val="both"/>
        <w:ind w:left="1280" w:right="1299"/>
        <w:spacing w:after="0" w:line="256"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We incorporate by reference the documents listed below:</w:t>
      </w:r>
    </w:p>
    <w:p>
      <w:pPr>
        <w:spacing w:after="0" w:line="94" w:lineRule="exact"/>
        <w:rPr>
          <w:sz w:val="20"/>
          <w:szCs w:val="20"/>
          <w:color w:val="auto"/>
        </w:rPr>
      </w:pPr>
    </w:p>
    <w:p>
      <w:pPr>
        <w:ind w:left="1700" w:right="1299" w:hanging="141"/>
        <w:spacing w:after="0" w:line="287" w:lineRule="auto"/>
        <w:tabs>
          <w:tab w:leader="none" w:pos="1700" w:val="left"/>
        </w:tabs>
        <w:numPr>
          <w:ilvl w:val="0"/>
          <w:numId w:val="58"/>
        </w:numPr>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auto"/>
          </w:rPr>
          <w:t xml:space="preserve">the Company’s </w:t>
        </w:r>
        <w:r>
          <w:rPr>
            <w:rFonts w:ascii="Times New Roman" w:cs="Times New Roman" w:eastAsia="Times New Roman" w:hAnsi="Times New Roman"/>
            <w:sz w:val="14"/>
            <w:szCs w:val="14"/>
            <w:u w:val="single" w:color="auto"/>
            <w:color w:val="0000EE"/>
          </w:rPr>
          <w:t>Annual Report on Form 20-F for the fiscal year ended December 31, 2024, filed with</w:t>
        </w:r>
      </w:hyperlink>
      <w:r>
        <w:rPr>
          <w:rFonts w:ascii="Times New Roman" w:cs="Times New Roman" w:eastAsia="Times New Roman" w:hAnsi="Times New Roman"/>
          <w:sz w:val="14"/>
          <w:szCs w:val="14"/>
          <w:color w:val="auto"/>
        </w:rPr>
        <w:t xml:space="preserve"> </w:t>
      </w:r>
      <w:hyperlink r:id="rId131">
        <w:r>
          <w:rPr>
            <w:rFonts w:ascii="Times New Roman" w:cs="Times New Roman" w:eastAsia="Times New Roman" w:hAnsi="Times New Roman"/>
            <w:sz w:val="14"/>
            <w:szCs w:val="14"/>
            <w:u w:val="single" w:color="auto"/>
            <w:color w:val="0000EE"/>
          </w:rPr>
          <w:t>the SEC on March 25, 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(the “2024 Annual Report”);</w:t>
        </w:r>
      </w:hyperlink>
    </w:p>
    <w:p>
      <w:pPr>
        <w:spacing w:after="0" w:line="39" w:lineRule="exact"/>
        <w:rPr>
          <w:rFonts w:ascii="Times New Roman" w:cs="Times New Roman" w:eastAsia="Times New Roman" w:hAnsi="Times New Roman"/>
          <w:sz w:val="14"/>
          <w:szCs w:val="14"/>
          <w:color w:val="0000EE"/>
        </w:rPr>
      </w:pPr>
    </w:p>
    <w:p>
      <w:pPr>
        <w:ind w:left="1700" w:right="1299" w:hanging="141"/>
        <w:spacing w:after="0" w:line="287" w:lineRule="auto"/>
        <w:tabs>
          <w:tab w:leader="none" w:pos="1700" w:val="left"/>
        </w:tabs>
        <w:numPr>
          <w:ilvl w:val="0"/>
          <w:numId w:val="58"/>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Company’s Reports on Forms 6-K filed with the SEC on </w:t>
      </w:r>
      <w:hyperlink r:id="rId132">
        <w:r>
          <w:rPr>
            <w:rFonts w:ascii="Times New Roman" w:cs="Times New Roman" w:eastAsia="Times New Roman" w:hAnsi="Times New Roman"/>
            <w:sz w:val="14"/>
            <w:szCs w:val="14"/>
            <w:u w:val="single" w:color="auto"/>
            <w:color w:val="0000EE"/>
          </w:rPr>
          <w:t>October 21, 2025</w:t>
        </w:r>
      </w:hyperlink>
      <w:r>
        <w:rPr>
          <w:rFonts w:ascii="Times New Roman" w:cs="Times New Roman" w:eastAsia="Times New Roman" w:hAnsi="Times New Roman"/>
          <w:sz w:val="14"/>
          <w:szCs w:val="14"/>
          <w:color w:val="auto"/>
        </w:rPr>
        <w:t xml:space="preserve">, </w:t>
      </w:r>
      <w:hyperlink r:id="rId133">
        <w:r>
          <w:rPr>
            <w:rFonts w:ascii="Times New Roman" w:cs="Times New Roman" w:eastAsia="Times New Roman" w:hAnsi="Times New Roman"/>
            <w:sz w:val="14"/>
            <w:szCs w:val="14"/>
            <w:u w:val="single" w:color="auto"/>
            <w:color w:val="0000EE"/>
          </w:rPr>
          <w:t>October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97">
        <w:r>
          <w:rPr>
            <w:rFonts w:ascii="Times New Roman" w:cs="Times New Roman" w:eastAsia="Times New Roman" w:hAnsi="Times New Roman"/>
            <w:sz w:val="14"/>
            <w:szCs w:val="14"/>
            <w:u w:val="single" w:color="auto"/>
            <w:color w:val="0000EE"/>
          </w:rPr>
          <w:t>November 3, 2025</w:t>
        </w:r>
      </w:hyperlink>
      <w:r>
        <w:rPr>
          <w:rFonts w:ascii="Times New Roman" w:cs="Times New Roman" w:eastAsia="Times New Roman" w:hAnsi="Times New Roman"/>
          <w:sz w:val="14"/>
          <w:szCs w:val="14"/>
          <w:color w:val="000000"/>
        </w:rPr>
        <w:t>;</w:t>
      </w:r>
    </w:p>
    <w:p>
      <w:pPr>
        <w:spacing w:after="0" w:line="39" w:lineRule="exact"/>
        <w:rPr>
          <w:rFonts w:ascii="Times New Roman" w:cs="Times New Roman" w:eastAsia="Times New Roman" w:hAnsi="Times New Roman"/>
          <w:sz w:val="14"/>
          <w:szCs w:val="14"/>
          <w:color w:val="0000EE"/>
        </w:rPr>
      </w:pPr>
    </w:p>
    <w:p>
      <w:pPr>
        <w:jc w:val="both"/>
        <w:ind w:left="1700" w:right="1299" w:hanging="141"/>
        <w:spacing w:after="0" w:line="270" w:lineRule="auto"/>
        <w:tabs>
          <w:tab w:leader="none" w:pos="1700" w:val="left"/>
        </w:tabs>
        <w:numPr>
          <w:ilvl w:val="0"/>
          <w:numId w:val="58"/>
        </w:numPr>
        <w:rPr>
          <w:rFonts w:ascii="Times New Roman" w:cs="Times New Roman" w:eastAsia="Times New Roman" w:hAnsi="Times New Roman"/>
          <w:sz w:val="14"/>
          <w:szCs w:val="14"/>
          <w:color w:val="0000EE"/>
        </w:rPr>
      </w:pPr>
      <w:hyperlink r:id="rId134">
        <w:r>
          <w:rPr>
            <w:rFonts w:ascii="Times New Roman" w:cs="Times New Roman" w:eastAsia="Times New Roman" w:hAnsi="Times New Roman"/>
            <w:sz w:val="14"/>
            <w:szCs w:val="14"/>
            <w:color w:val="auto"/>
          </w:rPr>
          <w:t xml:space="preserve">the description of the securities contained in our registration statement on </w:t>
        </w:r>
        <w:r>
          <w:rPr>
            <w:rFonts w:ascii="Times New Roman" w:cs="Times New Roman" w:eastAsia="Times New Roman" w:hAnsi="Times New Roman"/>
            <w:sz w:val="14"/>
            <w:szCs w:val="14"/>
            <w:u w:val="single" w:color="auto"/>
            <w:color w:val="0000EE"/>
          </w:rPr>
          <w:t>Form 8-A filed with the</w:t>
        </w:r>
      </w:hyperlink>
      <w:r>
        <w:rPr>
          <w:rFonts w:ascii="Times New Roman" w:cs="Times New Roman" w:eastAsia="Times New Roman" w:hAnsi="Times New Roman"/>
          <w:sz w:val="14"/>
          <w:szCs w:val="14"/>
          <w:color w:val="auto"/>
        </w:rPr>
        <w:t xml:space="preserve"> </w:t>
      </w:r>
      <w:hyperlink r:id="rId134">
        <w:r>
          <w:rPr>
            <w:rFonts w:ascii="Times New Roman" w:cs="Times New Roman" w:eastAsia="Times New Roman" w:hAnsi="Times New Roman"/>
            <w:sz w:val="14"/>
            <w:szCs w:val="14"/>
            <w:u w:val="single" w:color="auto"/>
            <w:color w:val="0000EE"/>
          </w:rPr>
          <w:t>SEC on August 9, 2024 (File No. 001-42213)</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pursuant to Section 12 of the Exchange Act together</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with all amendments and reports filed for the purpose of updating that description; and</w:t>
      </w:r>
    </w:p>
    <w:p>
      <w:pPr>
        <w:spacing w:after="0" w:line="51" w:lineRule="exact"/>
        <w:rPr>
          <w:rFonts w:ascii="Times New Roman" w:cs="Times New Roman" w:eastAsia="Times New Roman" w:hAnsi="Times New Roman"/>
          <w:sz w:val="14"/>
          <w:szCs w:val="14"/>
          <w:color w:val="0000EE"/>
        </w:rPr>
      </w:pPr>
    </w:p>
    <w:p>
      <w:pPr>
        <w:jc w:val="both"/>
        <w:ind w:left="1700" w:right="1299" w:hanging="141"/>
        <w:spacing w:after="0" w:line="263" w:lineRule="auto"/>
        <w:tabs>
          <w:tab w:leader="none" w:pos="17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w:t>
      </w:r>
    </w:p>
    <w:p>
      <w:pPr>
        <w:spacing w:after="0" w:line="250" w:lineRule="exact"/>
        <w:rPr>
          <w:rFonts w:ascii="Times New Roman" w:cs="Times New Roman" w:eastAsia="Times New Roman" w:hAnsi="Times New Roman"/>
          <w:sz w:val="14"/>
          <w:szCs w:val="14"/>
          <w:color w:val="auto"/>
        </w:rPr>
      </w:pPr>
    </w:p>
    <w:p>
      <w:pPr>
        <w:jc w:val="both"/>
        <w:ind w:left="1280" w:right="1299"/>
        <w:spacing w:after="0" w:line="287" w:lineRule="auto"/>
        <w:rPr>
          <w:sz w:val="20"/>
          <w:szCs w:val="20"/>
          <w:color w:val="auto"/>
        </w:rPr>
      </w:pPr>
      <w:r>
        <w:rPr>
          <w:rFonts w:ascii="Times New Roman" w:cs="Times New Roman" w:eastAsia="Times New Roman" w:hAnsi="Times New Roman"/>
          <w:sz w:val="14"/>
          <w:szCs w:val="14"/>
          <w:color w:val="auto"/>
        </w:rPr>
        <w:t>Our 2024 Annual Report contains a description of our business and audited consolidated financial statements with reports by independent auditors.</w:t>
      </w:r>
    </w:p>
    <w:p>
      <w:pPr>
        <w:spacing w:after="0" w:line="72" w:lineRule="exact"/>
        <w:rPr>
          <w:rFonts w:ascii="Times New Roman" w:cs="Times New Roman" w:eastAsia="Times New Roman" w:hAnsi="Times New Roman"/>
          <w:sz w:val="14"/>
          <w:szCs w:val="14"/>
          <w:color w:val="auto"/>
        </w:rPr>
      </w:pPr>
    </w:p>
    <w:p>
      <w:pPr>
        <w:jc w:val="both"/>
        <w:ind w:left="1280" w:right="1299"/>
        <w:spacing w:after="0" w:line="261" w:lineRule="auto"/>
        <w:rPr>
          <w:sz w:val="20"/>
          <w:szCs w:val="20"/>
          <w:color w:val="auto"/>
        </w:rPr>
      </w:pPr>
      <w:r>
        <w:rPr>
          <w:rFonts w:ascii="Times New Roman" w:cs="Times New Roman" w:eastAsia="Times New Roman" w:hAnsi="Times New Roman"/>
          <w:sz w:val="14"/>
          <w:szCs w:val="14"/>
          <w:color w:val="auto"/>
        </w:rPr>
        <w:t>Unless expressly incorporated by reference, nothing in this prospectus shall be deemed to incorporate by reference information furnished to, but not filed with, the SEC. Copies of all documents incorporated by reference in this prospectus or the accompanying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261"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21st Floor, Tower A, Guanzhou Life Science Innovation Center,</w:t>
      </w:r>
    </w:p>
    <w:p>
      <w:pPr>
        <w:spacing w:after="0" w:line="23"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No. 51, Luoxuan Road, Guangzhou International Biotech Island,</w:t>
      </w:r>
    </w:p>
    <w:p>
      <w:pPr>
        <w:spacing w:after="0" w:line="9"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Guangzhou 510005</w:t>
      </w:r>
    </w:p>
    <w:p>
      <w:pPr>
        <w:spacing w:after="0" w:line="9" w:lineRule="exact"/>
        <w:rPr>
          <w:rFonts w:ascii="Times New Roman" w:cs="Times New Roman" w:eastAsia="Times New Roman" w:hAnsi="Times New Roman"/>
          <w:sz w:val="14"/>
          <w:szCs w:val="14"/>
          <w:color w:val="auto"/>
        </w:rPr>
      </w:pPr>
    </w:p>
    <w:p>
      <w:pPr>
        <w:ind w:left="3680"/>
        <w:spacing w:after="0"/>
        <w:rPr>
          <w:sz w:val="20"/>
          <w:szCs w:val="20"/>
          <w:color w:val="auto"/>
        </w:rPr>
      </w:pPr>
      <w:r>
        <w:rPr>
          <w:rFonts w:ascii="Times New Roman" w:cs="Times New Roman" w:eastAsia="Times New Roman" w:hAnsi="Times New Roman"/>
          <w:sz w:val="14"/>
          <w:szCs w:val="14"/>
          <w:color w:val="auto"/>
        </w:rPr>
        <w:t>People’s Republic of China</w:t>
      </w:r>
    </w:p>
    <w:p>
      <w:pPr>
        <w:spacing w:after="0" w:line="9" w:lineRule="exact"/>
        <w:rPr>
          <w:rFonts w:ascii="Times New Roman" w:cs="Times New Roman" w:eastAsia="Times New Roman" w:hAnsi="Times New Roman"/>
          <w:sz w:val="14"/>
          <w:szCs w:val="14"/>
          <w:color w:val="auto"/>
        </w:rPr>
      </w:pPr>
    </w:p>
    <w:p>
      <w:pPr>
        <w:ind w:left="3900"/>
        <w:spacing w:after="0"/>
        <w:rPr>
          <w:sz w:val="20"/>
          <w:szCs w:val="20"/>
          <w:color w:val="auto"/>
        </w:rPr>
      </w:pPr>
      <w:r>
        <w:rPr>
          <w:rFonts w:ascii="Times New Roman" w:cs="Times New Roman" w:eastAsia="Times New Roman" w:hAnsi="Times New Roman"/>
          <w:sz w:val="14"/>
          <w:szCs w:val="14"/>
          <w:color w:val="auto"/>
        </w:rPr>
        <w:t>+86 (20) 2909-3388</w:t>
      </w:r>
    </w:p>
    <w:p>
      <w:pPr>
        <w:spacing w:after="0" w:line="101" w:lineRule="exact"/>
        <w:rPr>
          <w:rFonts w:ascii="Times New Roman" w:cs="Times New Roman" w:eastAsia="Times New Roman" w:hAnsi="Times New Roman"/>
          <w:sz w:val="14"/>
          <w:szCs w:val="14"/>
          <w:color w:val="auto"/>
        </w:rPr>
      </w:pPr>
    </w:p>
    <w:p>
      <w:pPr>
        <w:jc w:val="both"/>
        <w:ind w:left="1280" w:right="1299"/>
        <w:spacing w:after="0" w:line="261" w:lineRule="auto"/>
        <w:rPr>
          <w:sz w:val="20"/>
          <w:szCs w:val="20"/>
          <w:color w:val="auto"/>
        </w:rPr>
      </w:pPr>
      <w:r>
        <w:rPr>
          <w:rFonts w:ascii="Times New Roman" w:cs="Times New Roman" w:eastAsia="Times New Roman" w:hAnsi="Times New Roman"/>
          <w:sz w:val="14"/>
          <w:szCs w:val="14"/>
          <w:color w:val="auto"/>
        </w:rPr>
        <w:t>You should rely only on the information that we incorporate by reference or provide in this prospectus or the accompanying prospectus supplement. We have not authorized anyone to provide you with different information. We are not making any offer of these securities in any jurisdiction where the offer is not permitted. You should not assume that the information in this prospectus or the accompanying prospectus supplement is accurate as of any date other than the date on the front of those documents.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51"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1" w:name="page72"/>
    <w:bookmarkEnd w:id="71"/>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8. Indemnification of Directors and Officers.</w:t>
      </w:r>
    </w:p>
    <w:p>
      <w:pPr>
        <w:spacing w:after="0" w:line="128" w:lineRule="exact"/>
        <w:rPr>
          <w:sz w:val="20"/>
          <w:szCs w:val="20"/>
          <w:color w:val="auto"/>
        </w:rPr>
      </w:pPr>
    </w:p>
    <w:p>
      <w:pPr>
        <w:jc w:val="both"/>
        <w:ind w:left="1280" w:right="1299"/>
        <w:spacing w:after="0" w:line="264" w:lineRule="auto"/>
        <w:rPr>
          <w:sz w:val="20"/>
          <w:szCs w:val="20"/>
          <w:color w:val="auto"/>
        </w:rPr>
      </w:pPr>
      <w:r>
        <w:rPr>
          <w:rFonts w:ascii="Times New Roman" w:cs="Times New Roman" w:eastAsia="Times New Roman" w:hAnsi="Times New Roman"/>
          <w:sz w:val="14"/>
          <w:szCs w:val="14"/>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or committing a crime.</w:t>
      </w:r>
    </w:p>
    <w:p>
      <w:pPr>
        <w:spacing w:after="0" w:line="88" w:lineRule="exact"/>
        <w:rPr>
          <w:sz w:val="20"/>
          <w:szCs w:val="20"/>
          <w:color w:val="auto"/>
        </w:rPr>
      </w:pPr>
    </w:p>
    <w:p>
      <w:pPr>
        <w:jc w:val="both"/>
        <w:ind w:left="1280" w:right="1299"/>
        <w:spacing w:after="0" w:line="257" w:lineRule="auto"/>
        <w:rPr>
          <w:sz w:val="20"/>
          <w:szCs w:val="20"/>
          <w:color w:val="auto"/>
        </w:rPr>
      </w:pPr>
      <w:r>
        <w:rPr>
          <w:rFonts w:ascii="Times New Roman" w:cs="Times New Roman" w:eastAsia="Times New Roman" w:hAnsi="Times New Roman"/>
          <w:sz w:val="14"/>
          <w:szCs w:val="14"/>
          <w:color w:val="auto"/>
        </w:rPr>
        <w:t>Our eighth amended and restated memorandum and articles of association provide that each officer or director of our company shall be indemnified against all actions, proceedings, costs, charges, expenses, losses, damages or liabilities incurred or sustained by such director or officer,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spacing w:after="0" w:line="256" w:lineRule="exact"/>
        <w:rPr>
          <w:sz w:val="20"/>
          <w:szCs w:val="20"/>
          <w:color w:val="auto"/>
        </w:rPr>
      </w:pPr>
    </w:p>
    <w:p>
      <w:pPr>
        <w:jc w:val="both"/>
        <w:ind w:left="1280" w:right="1299"/>
        <w:spacing w:after="0" w:line="261" w:lineRule="auto"/>
        <w:rPr>
          <w:sz w:val="20"/>
          <w:szCs w:val="20"/>
          <w:color w:val="auto"/>
        </w:rPr>
      </w:pPr>
      <w:r>
        <w:rPr>
          <w:rFonts w:ascii="Times New Roman" w:cs="Times New Roman" w:eastAsia="Times New Roman" w:hAnsi="Times New Roman"/>
          <w:sz w:val="14"/>
          <w:szCs w:val="14"/>
          <w:color w:val="auto"/>
        </w:rPr>
        <w:t>In addition, we have entered into indemnification agreements with our directors and executive officers that provide such persons with additional indemnification beyond that provided in our eight amended and restated memorandum and articles of association. A form of the indemnification agreements has been filed as Exhibit 10.2 to our registration statement on Form F-1 (File No. 333-281054) initially filed with the SEC on July 26, 2024. We also maintain D&amp;O insurance for our directors and officers.</w:t>
      </w:r>
    </w:p>
    <w:p>
      <w:pPr>
        <w:spacing w:after="0" w:line="91" w:lineRule="exact"/>
        <w:rPr>
          <w:sz w:val="20"/>
          <w:szCs w:val="20"/>
          <w:color w:val="auto"/>
        </w:rPr>
      </w:pPr>
    </w:p>
    <w:p>
      <w:pPr>
        <w:jc w:val="both"/>
        <w:ind w:left="1280" w:right="1299"/>
        <w:spacing w:after="0" w:line="267"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59" w:lineRule="exact"/>
        <w:rPr>
          <w:sz w:val="20"/>
          <w:szCs w:val="20"/>
          <w:color w:val="auto"/>
        </w:rPr>
      </w:pPr>
    </w:p>
    <w:p>
      <w:pPr>
        <w:jc w:val="both"/>
        <w:ind w:left="1280" w:right="1299"/>
        <w:spacing w:after="0" w:line="287" w:lineRule="auto"/>
        <w:rPr>
          <w:sz w:val="20"/>
          <w:szCs w:val="20"/>
          <w:color w:val="auto"/>
        </w:rPr>
      </w:pPr>
      <w:r>
        <w:rPr>
          <w:rFonts w:ascii="Times New Roman" w:cs="Times New Roman" w:eastAsia="Times New Roman" w:hAnsi="Times New Roman"/>
          <w:sz w:val="14"/>
          <w:szCs w:val="14"/>
          <w:color w:val="auto"/>
        </w:rPr>
        <w:t>Any underwriting agreement entered into in connection with an offering of securities will also provide for indemnification of us and our officers and directors in certain cases.</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9. Exhibits.</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See Exhibit Index beginning on page II-4 of this registration statement.</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10. Undertakings.</w:t>
      </w:r>
    </w:p>
    <w:p>
      <w:pPr>
        <w:spacing w:after="0" w:line="128" w:lineRule="exact"/>
        <w:rPr>
          <w:sz w:val="20"/>
          <w:szCs w:val="20"/>
          <w:color w:val="auto"/>
        </w:rPr>
      </w:pPr>
    </w:p>
    <w:p>
      <w:pPr>
        <w:ind w:left="1840" w:hanging="281"/>
        <w:spacing w:after="0"/>
        <w:tabs>
          <w:tab w:leader="none" w:pos="18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25" w:lineRule="exact"/>
        <w:rPr>
          <w:rFonts w:ascii="Times New Roman" w:cs="Times New Roman" w:eastAsia="Times New Roman" w:hAnsi="Times New Roman"/>
          <w:sz w:val="14"/>
          <w:szCs w:val="14"/>
          <w:color w:val="auto"/>
        </w:rPr>
      </w:pPr>
    </w:p>
    <w:p>
      <w:pPr>
        <w:ind w:left="2120" w:right="1299" w:hanging="278"/>
        <w:spacing w:after="0" w:line="287" w:lineRule="auto"/>
        <w:tabs>
          <w:tab w:leader="none" w:pos="212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61" w:lineRule="exact"/>
        <w:rPr>
          <w:rFonts w:ascii="Times New Roman" w:cs="Times New Roman" w:eastAsia="Times New Roman" w:hAnsi="Times New Roman"/>
          <w:sz w:val="14"/>
          <w:szCs w:val="14"/>
          <w:color w:val="auto"/>
        </w:rPr>
      </w:pPr>
    </w:p>
    <w:p>
      <w:pPr>
        <w:ind w:left="2400" w:hanging="275"/>
        <w:spacing w:after="0"/>
        <w:tabs>
          <w:tab w:leader="none" w:pos="2400" w:val="left"/>
        </w:tabs>
        <w:numPr>
          <w:ilvl w:val="2"/>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25" w:lineRule="exact"/>
        <w:rPr>
          <w:rFonts w:ascii="Times New Roman" w:cs="Times New Roman" w:eastAsia="Times New Roman" w:hAnsi="Times New Roman"/>
          <w:sz w:val="14"/>
          <w:szCs w:val="14"/>
          <w:color w:val="auto"/>
        </w:rPr>
      </w:pPr>
    </w:p>
    <w:p>
      <w:pPr>
        <w:jc w:val="both"/>
        <w:ind w:left="2400" w:right="1299" w:hanging="275"/>
        <w:spacing w:after="0" w:line="256" w:lineRule="auto"/>
        <w:tabs>
          <w:tab w:leader="none" w:pos="2400" w:val="left"/>
        </w:tabs>
        <w:numPr>
          <w:ilvl w:val="2"/>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2" w:name="page73"/>
    <w:bookmarkEnd w:id="72"/>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2400" w:right="1299" w:hanging="275"/>
        <w:spacing w:after="0" w:line="270" w:lineRule="auto"/>
        <w:tabs>
          <w:tab w:leader="none" w:pos="24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81" w:lineRule="exact"/>
        <w:rPr>
          <w:sz w:val="20"/>
          <w:szCs w:val="20"/>
          <w:color w:val="auto"/>
        </w:rPr>
      </w:pPr>
    </w:p>
    <w:p>
      <w:pPr>
        <w:jc w:val="both"/>
        <w:ind w:left="2120" w:right="1299"/>
        <w:spacing w:after="0" w:line="260"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(a)(1)(i), (ii) and (iii) of this section do not apply if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registration statement is on Form F-3 and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92" w:lineRule="exact"/>
        <w:rPr>
          <w:sz w:val="20"/>
          <w:szCs w:val="20"/>
          <w:color w:val="auto"/>
        </w:rPr>
      </w:pPr>
    </w:p>
    <w:p>
      <w:pPr>
        <w:jc w:val="both"/>
        <w:ind w:left="2120" w:right="1299" w:hanging="278"/>
        <w:spacing w:after="0" w:line="264" w:lineRule="auto"/>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7" w:lineRule="exact"/>
        <w:rPr>
          <w:rFonts w:ascii="Times New Roman" w:cs="Times New Roman" w:eastAsia="Times New Roman" w:hAnsi="Times New Roman"/>
          <w:sz w:val="14"/>
          <w:szCs w:val="14"/>
          <w:color w:val="auto"/>
        </w:rPr>
      </w:pPr>
    </w:p>
    <w:p>
      <w:pPr>
        <w:ind w:left="2120" w:right="1299" w:hanging="278"/>
        <w:spacing w:after="0" w:line="287" w:lineRule="auto"/>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71" w:lineRule="exact"/>
        <w:rPr>
          <w:rFonts w:ascii="Times New Roman" w:cs="Times New Roman" w:eastAsia="Times New Roman" w:hAnsi="Times New Roman"/>
          <w:sz w:val="14"/>
          <w:szCs w:val="14"/>
          <w:color w:val="auto"/>
        </w:rPr>
      </w:pPr>
    </w:p>
    <w:p>
      <w:pPr>
        <w:jc w:val="both"/>
        <w:ind w:left="2120" w:right="1299" w:hanging="278"/>
        <w:spacing w:after="0" w:line="256" w:lineRule="auto"/>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Exchange Act need not be furnished,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Exchange Act or Item 8.A of Form 20-F if such financial statements and information are contained in periodic reports filed with or furnished to the SEC by the registrant pursuant to Section 13 or Section 15(d) of the Exchange Act that are incorporated by reference in this Form F-3.</w:t>
      </w:r>
    </w:p>
    <w:p>
      <w:pPr>
        <w:spacing w:after="0" w:line="265" w:lineRule="exact"/>
        <w:rPr>
          <w:rFonts w:ascii="Times New Roman" w:cs="Times New Roman" w:eastAsia="Times New Roman" w:hAnsi="Times New Roman"/>
          <w:sz w:val="14"/>
          <w:szCs w:val="14"/>
          <w:color w:val="auto"/>
        </w:rPr>
      </w:pPr>
    </w:p>
    <w:p>
      <w:pPr>
        <w:ind w:left="2120" w:hanging="278"/>
        <w:spacing w:after="0"/>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15" w:lineRule="exact"/>
        <w:rPr>
          <w:rFonts w:ascii="Times New Roman" w:cs="Times New Roman" w:eastAsia="Times New Roman" w:hAnsi="Times New Roman"/>
          <w:sz w:val="14"/>
          <w:szCs w:val="14"/>
          <w:color w:val="auto"/>
        </w:rPr>
      </w:pPr>
    </w:p>
    <w:p>
      <w:pPr>
        <w:jc w:val="both"/>
        <w:ind w:left="2400" w:right="1299" w:hanging="275"/>
        <w:spacing w:after="0" w:line="270" w:lineRule="auto"/>
        <w:tabs>
          <w:tab w:leader="none" w:pos="240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3" w:lineRule="exact"/>
        <w:rPr>
          <w:rFonts w:ascii="Times New Roman" w:cs="Times New Roman" w:eastAsia="Times New Roman" w:hAnsi="Times New Roman"/>
          <w:sz w:val="14"/>
          <w:szCs w:val="14"/>
          <w:color w:val="auto"/>
        </w:rPr>
      </w:pPr>
    </w:p>
    <w:p>
      <w:pPr>
        <w:jc w:val="both"/>
        <w:ind w:left="2400" w:right="1299" w:hanging="275"/>
        <w:spacing w:after="0" w:line="255" w:lineRule="auto"/>
        <w:tabs>
          <w:tab w:leader="none" w:pos="240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statement made in a registration statement or prospectus that is part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3" w:name="page74"/>
    <w:bookmarkEnd w:id="73"/>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120" w:right="1299" w:hanging="278"/>
        <w:spacing w:after="0" w:line="287" w:lineRule="auto"/>
        <w:tabs>
          <w:tab w:leader="none" w:pos="212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w:t>
      </w:r>
    </w:p>
    <w:p>
      <w:pPr>
        <w:spacing w:after="0" w:line="71" w:lineRule="exact"/>
        <w:rPr>
          <w:rFonts w:ascii="Times New Roman" w:cs="Times New Roman" w:eastAsia="Times New Roman" w:hAnsi="Times New Roman"/>
          <w:sz w:val="14"/>
          <w:szCs w:val="14"/>
          <w:color w:val="auto"/>
        </w:rPr>
      </w:pPr>
    </w:p>
    <w:p>
      <w:pPr>
        <w:jc w:val="both"/>
        <w:ind w:left="2120" w:right="129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60" w:lineRule="exact"/>
        <w:rPr>
          <w:rFonts w:ascii="Times New Roman" w:cs="Times New Roman" w:eastAsia="Times New Roman" w:hAnsi="Times New Roman"/>
          <w:sz w:val="14"/>
          <w:szCs w:val="14"/>
          <w:color w:val="auto"/>
        </w:rPr>
      </w:pPr>
    </w:p>
    <w:p>
      <w:pPr>
        <w:ind w:left="2400" w:right="1299" w:hanging="275"/>
        <w:spacing w:after="0" w:line="287" w:lineRule="auto"/>
        <w:tabs>
          <w:tab w:leader="none" w:pos="2400" w:val="left"/>
        </w:tabs>
        <w:numPr>
          <w:ilvl w:val="2"/>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61" w:lineRule="exact"/>
        <w:rPr>
          <w:rFonts w:ascii="Times New Roman" w:cs="Times New Roman" w:eastAsia="Times New Roman" w:hAnsi="Times New Roman"/>
          <w:sz w:val="14"/>
          <w:szCs w:val="14"/>
          <w:color w:val="auto"/>
        </w:rPr>
      </w:pPr>
    </w:p>
    <w:p>
      <w:pPr>
        <w:ind w:left="2400" w:right="1299" w:hanging="275"/>
        <w:spacing w:after="0" w:line="287" w:lineRule="auto"/>
        <w:tabs>
          <w:tab w:leader="none" w:pos="2400" w:val="left"/>
        </w:tabs>
        <w:numPr>
          <w:ilvl w:val="2"/>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71" w:lineRule="exact"/>
        <w:rPr>
          <w:rFonts w:ascii="Times New Roman" w:cs="Times New Roman" w:eastAsia="Times New Roman" w:hAnsi="Times New Roman"/>
          <w:sz w:val="14"/>
          <w:szCs w:val="14"/>
          <w:color w:val="auto"/>
        </w:rPr>
      </w:pPr>
    </w:p>
    <w:p>
      <w:pPr>
        <w:jc w:val="both"/>
        <w:ind w:left="2400" w:right="1299" w:hanging="275"/>
        <w:spacing w:after="0" w:line="270" w:lineRule="auto"/>
        <w:tabs>
          <w:tab w:leader="none" w:pos="2400" w:val="left"/>
        </w:tabs>
        <w:numPr>
          <w:ilvl w:val="2"/>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83" w:lineRule="exact"/>
        <w:rPr>
          <w:rFonts w:ascii="Times New Roman" w:cs="Times New Roman" w:eastAsia="Times New Roman" w:hAnsi="Times New Roman"/>
          <w:sz w:val="14"/>
          <w:szCs w:val="14"/>
          <w:color w:val="auto"/>
        </w:rPr>
      </w:pPr>
    </w:p>
    <w:p>
      <w:pPr>
        <w:ind w:left="2400" w:right="1299" w:hanging="275"/>
        <w:spacing w:after="0" w:line="287" w:lineRule="auto"/>
        <w:tabs>
          <w:tab w:leader="none" w:pos="2400" w:val="left"/>
        </w:tabs>
        <w:numPr>
          <w:ilvl w:val="2"/>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61" w:lineRule="exact"/>
        <w:rPr>
          <w:rFonts w:ascii="Times New Roman" w:cs="Times New Roman" w:eastAsia="Times New Roman" w:hAnsi="Times New Roman"/>
          <w:sz w:val="14"/>
          <w:szCs w:val="14"/>
          <w:color w:val="auto"/>
        </w:rPr>
      </w:pPr>
    </w:p>
    <w:p>
      <w:pPr>
        <w:jc w:val="both"/>
        <w:ind w:left="1840" w:right="1299" w:hanging="281"/>
        <w:spacing w:after="0" w:line="256" w:lineRule="auto"/>
        <w:tabs>
          <w:tab w:leader="none" w:pos="18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6" w:lineRule="exact"/>
        <w:rPr>
          <w:rFonts w:ascii="Times New Roman" w:cs="Times New Roman" w:eastAsia="Times New Roman" w:hAnsi="Times New Roman"/>
          <w:sz w:val="14"/>
          <w:szCs w:val="14"/>
          <w:color w:val="auto"/>
        </w:rPr>
      </w:pPr>
    </w:p>
    <w:p>
      <w:pPr>
        <w:jc w:val="both"/>
        <w:ind w:left="1840" w:right="1299" w:hanging="281"/>
        <w:spacing w:after="0" w:line="261" w:lineRule="auto"/>
        <w:tabs>
          <w:tab w:leader="none" w:pos="18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1" w:lineRule="exact"/>
        <w:rPr>
          <w:rFonts w:ascii="Times New Roman" w:cs="Times New Roman" w:eastAsia="Times New Roman" w:hAnsi="Times New Roman"/>
          <w:sz w:val="14"/>
          <w:szCs w:val="14"/>
          <w:color w:val="auto"/>
        </w:rPr>
      </w:pPr>
    </w:p>
    <w:p>
      <w:pPr>
        <w:jc w:val="both"/>
        <w:ind w:left="1840" w:right="1299" w:hanging="281"/>
        <w:spacing w:after="0" w:line="264" w:lineRule="auto"/>
        <w:tabs>
          <w:tab w:leader="none" w:pos="18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of 1939, as amended, or the Act, in accordance with the rules and regulations prescribed by the SEC under section 305(b)(2)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4" w:name="page75"/>
    <w:bookmarkEnd w:id="74"/>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Exhibit</w:t>
      </w:r>
    </w:p>
    <w:p>
      <w:pPr>
        <w:jc w:val="right"/>
        <w:ind w:right="1259"/>
        <w:spacing w:after="0" w:line="186" w:lineRule="auto"/>
        <w:tabs>
          <w:tab w:leader="none" w:pos="3520" w:val="left"/>
        </w:tabs>
        <w:rPr>
          <w:sz w:val="20"/>
          <w:szCs w:val="20"/>
          <w:color w:val="auto"/>
        </w:rPr>
      </w:pPr>
      <w:r>
        <w:rPr>
          <w:rFonts w:ascii="Times New Roman" w:cs="Times New Roman" w:eastAsia="Times New Roman" w:hAnsi="Times New Roman"/>
          <w:sz w:val="19"/>
          <w:szCs w:val="19"/>
          <w:b w:val="1"/>
          <w:bCs w:val="1"/>
          <w:u w:val="single" w:color="auto"/>
          <w:color w:val="auto"/>
          <w:vertAlign w:val="subscript"/>
        </w:rPr>
        <w:t>​</w:t>
      </w:r>
      <w:r>
        <w:rPr>
          <w:rFonts w:ascii="Times New Roman" w:cs="Times New Roman" w:eastAsia="Times New Roman" w:hAnsi="Times New Roman"/>
          <w:sz w:val="10"/>
          <w:szCs w:val="10"/>
          <w:b w:val="1"/>
          <w:bCs w:val="1"/>
          <w:u w:val="single" w:color="auto"/>
          <w:color w:val="auto"/>
        </w:rPr>
        <w:t>Number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Description of Document</w:t>
      </w:r>
      <w:r>
        <w:rPr>
          <w:sz w:val="20"/>
          <w:szCs w:val="20"/>
          <w:color w:val="auto"/>
        </w:rPr>
        <w:t xml:space="preserve"> </w:t>
      </w:r>
      <w:r>
        <w:rPr>
          <w:rFonts w:ascii="Times New Roman" w:cs="Times New Roman" w:eastAsia="Times New Roman" w:hAnsi="Times New Roman"/>
          <w:sz w:val="19"/>
          <w:szCs w:val="1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0</wp:posOffset>
            </wp:positionV>
            <wp:extent cx="373570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3735705" cy="698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p>
      <w:pPr>
        <w:ind w:left="1340" w:hanging="64"/>
        <w:spacing w:after="0" w:line="183" w:lineRule="auto"/>
        <w:tabs>
          <w:tab w:leader="none" w:pos="1340" w:val="left"/>
        </w:tabs>
        <w:numPr>
          <w:ilvl w:val="0"/>
          <w:numId w:val="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3"/>
          <w:szCs w:val="13"/>
          <w:color w:val="auto"/>
        </w:rPr>
        <w:t>1.1*</w:t>
      </w:r>
    </w:p>
    <w:p>
      <w:pPr>
        <w:spacing w:after="0" w:line="24" w:lineRule="exact"/>
        <w:rPr>
          <w:rFonts w:ascii="Times New Roman" w:cs="Times New Roman" w:eastAsia="Times New Roman" w:hAnsi="Times New Roman"/>
          <w:sz w:val="24"/>
          <w:szCs w:val="24"/>
          <w:color w:val="auto"/>
          <w:vertAlign w:val="superscript"/>
        </w:rPr>
      </w:pPr>
    </w:p>
    <w:p>
      <w:pPr>
        <w:ind w:left="1340" w:hanging="64"/>
        <w:spacing w:after="0"/>
        <w:tabs>
          <w:tab w:leader="none" w:pos="13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w:t>
      </w:r>
    </w:p>
    <w:p>
      <w:pPr>
        <w:spacing w:after="0" w:line="364" w:lineRule="exact"/>
        <w:rPr>
          <w:rFonts w:ascii="Times New Roman" w:cs="Times New Roman" w:eastAsia="Times New Roman" w:hAnsi="Times New Roman"/>
          <w:sz w:val="14"/>
          <w:szCs w:val="14"/>
          <w:color w:val="auto"/>
        </w:rPr>
      </w:pPr>
    </w:p>
    <w:p>
      <w:pPr>
        <w:ind w:left="1340" w:hanging="64"/>
        <w:spacing w:after="0"/>
        <w:tabs>
          <w:tab w:leader="none" w:pos="13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w:t>
      </w:r>
    </w:p>
    <w:p>
      <w:pPr>
        <w:spacing w:after="0" w:line="380" w:lineRule="exact"/>
        <w:rPr>
          <w:rFonts w:ascii="Times New Roman" w:cs="Times New Roman" w:eastAsia="Times New Roman" w:hAnsi="Times New Roman"/>
          <w:sz w:val="14"/>
          <w:szCs w:val="14"/>
          <w:color w:val="auto"/>
        </w:rPr>
      </w:pPr>
    </w:p>
    <w:p>
      <w:pPr>
        <w:ind w:left="1340" w:hanging="64"/>
        <w:spacing w:after="0"/>
        <w:tabs>
          <w:tab w:leader="none" w:pos="13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w:t>
      </w:r>
    </w:p>
    <w:p>
      <w:pPr>
        <w:spacing w:after="0" w:line="83" w:lineRule="exact"/>
        <w:rPr>
          <w:rFonts w:ascii="Times New Roman" w:cs="Times New Roman" w:eastAsia="Times New Roman" w:hAnsi="Times New Roman"/>
          <w:sz w:val="14"/>
          <w:szCs w:val="14"/>
          <w:color w:val="auto"/>
        </w:rPr>
      </w:pPr>
    </w:p>
    <w:p>
      <w:pPr>
        <w:ind w:left="1340" w:hanging="64"/>
        <w:spacing w:after="0"/>
        <w:tabs>
          <w:tab w:leader="none" w:pos="1340" w:val="left"/>
        </w:tabs>
        <w:numPr>
          <w:ilvl w:val="0"/>
          <w:numId w:val="6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4.3</w:t>
      </w:r>
    </w:p>
    <w:p>
      <w:pPr>
        <w:spacing w:after="0" w:line="44" w:lineRule="exact"/>
        <w:rPr>
          <w:rFonts w:ascii="Times New Roman" w:cs="Times New Roman" w:eastAsia="Times New Roman" w:hAnsi="Times New Roman"/>
          <w:sz w:val="28"/>
          <w:szCs w:val="28"/>
          <w:color w:val="auto"/>
          <w:vertAlign w:val="superscript"/>
        </w:rPr>
      </w:pPr>
    </w:p>
    <w:p>
      <w:pPr>
        <w:ind w:left="1340" w:hanging="64"/>
        <w:spacing w:after="0" w:line="184" w:lineRule="auto"/>
        <w:tabs>
          <w:tab w:leader="none" w:pos="1340" w:val="left"/>
        </w:tabs>
        <w:numPr>
          <w:ilvl w:val="0"/>
          <w:numId w:val="6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4.4*</w:t>
      </w:r>
    </w:p>
    <w:p>
      <w:pPr>
        <w:spacing w:after="0" w:line="44" w:lineRule="exact"/>
        <w:rPr>
          <w:rFonts w:ascii="Times New Roman" w:cs="Times New Roman" w:eastAsia="Times New Roman" w:hAnsi="Times New Roman"/>
          <w:sz w:val="19"/>
          <w:szCs w:val="19"/>
          <w:color w:val="auto"/>
          <w:vertAlign w:val="superscript"/>
        </w:rPr>
      </w:pPr>
    </w:p>
    <w:p>
      <w:pPr>
        <w:ind w:left="1340" w:hanging="64"/>
        <w:spacing w:after="0" w:line="184" w:lineRule="auto"/>
        <w:tabs>
          <w:tab w:leader="none" w:pos="1340" w:val="left"/>
        </w:tabs>
        <w:numPr>
          <w:ilvl w:val="0"/>
          <w:numId w:val="6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4.5</w:t>
      </w:r>
    </w:p>
    <w:p>
      <w:pPr>
        <w:spacing w:after="0" w:line="44" w:lineRule="exact"/>
        <w:rPr>
          <w:rFonts w:ascii="Times New Roman" w:cs="Times New Roman" w:eastAsia="Times New Roman" w:hAnsi="Times New Roman"/>
          <w:sz w:val="19"/>
          <w:szCs w:val="19"/>
          <w:color w:val="auto"/>
          <w:vertAlign w:val="superscript"/>
        </w:rPr>
      </w:pPr>
    </w:p>
    <w:p>
      <w:pPr>
        <w:ind w:left="1340" w:hanging="64"/>
        <w:spacing w:after="0" w:line="184" w:lineRule="auto"/>
        <w:tabs>
          <w:tab w:leader="none" w:pos="1340" w:val="left"/>
        </w:tabs>
        <w:numPr>
          <w:ilvl w:val="0"/>
          <w:numId w:val="6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4.6</w:t>
      </w:r>
    </w:p>
    <w:p>
      <w:pPr>
        <w:spacing w:after="0" w:line="44" w:lineRule="exact"/>
        <w:rPr>
          <w:rFonts w:ascii="Times New Roman" w:cs="Times New Roman" w:eastAsia="Times New Roman" w:hAnsi="Times New Roman"/>
          <w:sz w:val="19"/>
          <w:szCs w:val="19"/>
          <w:color w:val="auto"/>
          <w:vertAlign w:val="superscript"/>
        </w:rPr>
      </w:pPr>
    </w:p>
    <w:p>
      <w:pPr>
        <w:ind w:left="1340" w:hanging="64"/>
        <w:spacing w:after="0" w:line="184" w:lineRule="auto"/>
        <w:tabs>
          <w:tab w:leader="none" w:pos="1340" w:val="left"/>
        </w:tabs>
        <w:numPr>
          <w:ilvl w:val="0"/>
          <w:numId w:val="6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4.7</w:t>
      </w:r>
    </w:p>
    <w:p>
      <w:pPr>
        <w:spacing w:after="0" w:line="34" w:lineRule="exact"/>
        <w:rPr>
          <w:rFonts w:ascii="Times New Roman" w:cs="Times New Roman" w:eastAsia="Times New Roman" w:hAnsi="Times New Roman"/>
          <w:sz w:val="19"/>
          <w:szCs w:val="19"/>
          <w:color w:val="auto"/>
          <w:vertAlign w:val="superscript"/>
        </w:rPr>
      </w:pPr>
    </w:p>
    <w:p>
      <w:pPr>
        <w:ind w:left="1340" w:hanging="64"/>
        <w:spacing w:after="0"/>
        <w:tabs>
          <w:tab w:leader="none" w:pos="13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br w:type="column"/>
      </w:r>
    </w:p>
    <w:p>
      <w:pPr>
        <w:spacing w:after="0" w:line="185" w:lineRule="auto"/>
        <w:tabs>
          <w:tab w:leader="none" w:pos="6020" w:val="left"/>
        </w:tabs>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Form of Underwriting Agreement</w:t>
      </w:r>
      <w:r>
        <w:rPr>
          <w:sz w:val="20"/>
          <w:szCs w:val="20"/>
          <w:color w:val="auto"/>
        </w:rPr>
        <w:tab/>
      </w:r>
      <w:r>
        <w:rPr>
          <w:rFonts w:ascii="Times New Roman" w:cs="Times New Roman" w:eastAsia="Times New Roman" w:hAnsi="Times New Roman"/>
          <w:sz w:val="24"/>
          <w:szCs w:val="24"/>
          <w:color w:val="auto"/>
          <w:vertAlign w:val="superscript"/>
        </w:rPr>
        <w:t>​</w:t>
      </w:r>
    </w:p>
    <w:p>
      <w:pPr>
        <w:spacing w:after="0" w:line="1" w:lineRule="exact"/>
        <w:rPr>
          <w:sz w:val="20"/>
          <w:szCs w:val="20"/>
          <w:color w:val="auto"/>
        </w:rPr>
      </w:pPr>
    </w:p>
    <w:p>
      <w:pPr>
        <w:jc w:val="both"/>
        <w:ind w:left="140" w:right="1259" w:hanging="158"/>
        <w:spacing w:after="0" w:line="262"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140">
        <w:r>
          <w:rPr>
            <w:rFonts w:ascii="Times New Roman" w:cs="Times New Roman" w:eastAsia="Times New Roman" w:hAnsi="Times New Roman"/>
            <w:sz w:val="14"/>
            <w:szCs w:val="14"/>
            <w:u w:val="single" w:color="auto"/>
            <w:color w:val="0000EE"/>
          </w:rPr>
          <w:t>Eighth Amended and Restated Memorandum and Articles of Association of the Registrant</w:t>
        </w:r>
      </w:hyperlink>
      <w:r>
        <w:rPr>
          <w:rFonts w:ascii="Times New Roman" w:cs="Times New Roman" w:eastAsia="Times New Roman" w:hAnsi="Times New Roman"/>
          <w:sz w:val="14"/>
          <w:szCs w:val="14"/>
          <w:color w:val="auto"/>
        </w:rPr>
        <w:t xml:space="preserve">​ </w:t>
      </w:r>
      <w:hyperlink r:id="rId140">
        <w:r>
          <w:rPr>
            <w:rFonts w:ascii="Times New Roman" w:cs="Times New Roman" w:eastAsia="Times New Roman" w:hAnsi="Times New Roman"/>
            <w:sz w:val="14"/>
            <w:szCs w:val="14"/>
            <w:u w:val="single" w:color="auto"/>
            <w:color w:val="0000EE"/>
          </w:rPr>
          <w:t>(incorporated by reference to Exhibit 3.2 to the Registration Statement on Form F-1 of the</w:t>
        </w:r>
      </w:hyperlink>
      <w:r>
        <w:rPr>
          <w:rFonts w:ascii="Times New Roman" w:cs="Times New Roman" w:eastAsia="Times New Roman" w:hAnsi="Times New Roman"/>
          <w:sz w:val="14"/>
          <w:szCs w:val="14"/>
          <w:u w:val="single" w:color="auto"/>
          <w:color w:val="0000EE"/>
        </w:rPr>
        <w:t xml:space="preserve"> </w:t>
      </w:r>
      <w:hyperlink r:id="rId140">
        <w:r>
          <w:rPr>
            <w:rFonts w:ascii="Times New Roman" w:cs="Times New Roman" w:eastAsia="Times New Roman" w:hAnsi="Times New Roman"/>
            <w:sz w:val="14"/>
            <w:szCs w:val="14"/>
            <w:u w:val="single" w:color="auto"/>
            <w:color w:val="0000EE"/>
          </w:rPr>
          <w:t>Registrant (File No. 333-281054) filed with the SEC on July 26, 2024).</w:t>
        </w:r>
      </w:hyperlink>
    </w:p>
    <w:p>
      <w:pPr>
        <w:spacing w:after="0" w:line="2" w:lineRule="exact"/>
        <w:rPr>
          <w:rFonts w:ascii="Times New Roman" w:cs="Times New Roman" w:eastAsia="Times New Roman" w:hAnsi="Times New Roman"/>
          <w:sz w:val="14"/>
          <w:szCs w:val="14"/>
          <w:color w:val="auto"/>
        </w:rPr>
      </w:pPr>
    </w:p>
    <w:p>
      <w:pPr>
        <w:jc w:val="both"/>
        <w:ind w:left="140" w:right="1259" w:hanging="158"/>
        <w:spacing w:after="0" w:line="269"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141">
        <w:r>
          <w:rPr>
            <w:rFonts w:ascii="Times New Roman" w:cs="Times New Roman" w:eastAsia="Times New Roman" w:hAnsi="Times New Roman"/>
            <w:sz w:val="14"/>
            <w:szCs w:val="14"/>
            <w:u w:val="single" w:color="auto"/>
            <w:color w:val="0000EE"/>
          </w:rPr>
          <w:t>Registrant’s Specimen Certificate for Class A Ordinary Shares (incorporated by reference to</w:t>
        </w:r>
      </w:hyperlink>
      <w:r>
        <w:rPr>
          <w:rFonts w:ascii="Times New Roman" w:cs="Times New Roman" w:eastAsia="Times New Roman" w:hAnsi="Times New Roman"/>
          <w:sz w:val="14"/>
          <w:szCs w:val="14"/>
          <w:color w:val="auto"/>
        </w:rPr>
        <w:t xml:space="preserve">​ </w:t>
      </w:r>
      <w:hyperlink r:id="rId141">
        <w:r>
          <w:rPr>
            <w:rFonts w:ascii="Times New Roman" w:cs="Times New Roman" w:eastAsia="Times New Roman" w:hAnsi="Times New Roman"/>
            <w:sz w:val="14"/>
            <w:szCs w:val="14"/>
            <w:u w:val="single" w:color="auto"/>
            <w:color w:val="0000EE"/>
          </w:rPr>
          <w:t>Exhibit 4.2 to the Registration Statement on Form F-1 of the Registrant (File No. 333-281054)</w:t>
        </w:r>
      </w:hyperlink>
      <w:r>
        <w:rPr>
          <w:rFonts w:ascii="Times New Roman" w:cs="Times New Roman" w:eastAsia="Times New Roman" w:hAnsi="Times New Roman"/>
          <w:sz w:val="14"/>
          <w:szCs w:val="14"/>
          <w:u w:val="single" w:color="auto"/>
          <w:color w:val="0000EE"/>
        </w:rPr>
        <w:t xml:space="preserve"> </w:t>
      </w:r>
      <w:hyperlink r:id="rId141">
        <w:r>
          <w:rPr>
            <w:rFonts w:ascii="Times New Roman" w:cs="Times New Roman" w:eastAsia="Times New Roman" w:hAnsi="Times New Roman"/>
            <w:sz w:val="14"/>
            <w:szCs w:val="14"/>
            <w:u w:val="single" w:color="auto"/>
            <w:color w:val="0000EE"/>
          </w:rPr>
          <w:t>filed with the SEC on July 26, 2024).</w:t>
        </w:r>
      </w:hyperlink>
    </w:p>
    <w:p>
      <w:pPr>
        <w:spacing w:after="0"/>
        <w:rPr>
          <w:sz w:val="20"/>
          <w:szCs w:val="20"/>
          <w:color w:val="auto"/>
        </w:rPr>
      </w:pPr>
      <w:r>
        <w:rPr>
          <w:rFonts w:ascii="Times New Roman" w:cs="Times New Roman" w:eastAsia="Times New Roman" w:hAnsi="Times New Roman"/>
          <w:sz w:val="14"/>
          <w:szCs w:val="14"/>
          <w:color w:val="auto"/>
        </w:rPr>
        <w:t>​ ​ Specimen Class B Ordinary Share Certificate and Form of Certificate of Designations of Class B​</w:t>
      </w:r>
    </w:p>
    <w:p>
      <w:pPr>
        <w:spacing w:after="0" w:line="36" w:lineRule="exact"/>
        <w:rPr>
          <w:rFonts w:ascii="Times New Roman" w:cs="Times New Roman" w:eastAsia="Times New Roman" w:hAnsi="Times New Roman"/>
          <w:sz w:val="14"/>
          <w:szCs w:val="14"/>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Ordinary Shares</w:t>
            </w:r>
          </w:p>
        </w:tc>
        <w:tc>
          <w:tcPr>
            <w:tcW w:w="1860" w:type="dxa"/>
            <w:vAlign w:val="bottom"/>
          </w:tcPr>
          <w:p>
            <w:pPr>
              <w:spacing w:after="0"/>
              <w:rPr>
                <w:sz w:val="13"/>
                <w:szCs w:val="13"/>
                <w:color w:val="auto"/>
              </w:rPr>
            </w:pPr>
          </w:p>
        </w:tc>
      </w:tr>
      <w:tr>
        <w:trPr>
          <w:trHeight w:val="195"/>
        </w:trPr>
        <w:tc>
          <w:tcPr>
            <w:tcW w:w="420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Form of Indenture</w:t>
            </w:r>
          </w:p>
        </w:tc>
        <w:tc>
          <w:tcPr>
            <w:tcW w:w="1860" w:type="dxa"/>
            <w:vAlign w:val="bottom"/>
          </w:tcPr>
          <w:p>
            <w:pPr>
              <w:ind w:left="18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0"/>
        </w:trPr>
        <w:tc>
          <w:tcPr>
            <w:tcW w:w="4200" w:type="dxa"/>
            <w:vAlign w:val="bottom"/>
            <w:gridSpan w:val="3"/>
          </w:tcPr>
          <w:p>
            <w:pPr>
              <w:spacing w:after="0" w:line="210"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Form of Debt Securities</w:t>
            </w:r>
          </w:p>
        </w:tc>
        <w:tc>
          <w:tcPr>
            <w:tcW w:w="1860" w:type="dxa"/>
            <w:vAlign w:val="bottom"/>
          </w:tcPr>
          <w:p>
            <w:pPr>
              <w:ind w:left="18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5"/>
        </w:trPr>
        <w:tc>
          <w:tcPr>
            <w:tcW w:w="420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Form of Ordinary Share Warrant Agreement and Warrant Certificate</w:t>
            </w:r>
          </w:p>
        </w:tc>
        <w:tc>
          <w:tcPr>
            <w:tcW w:w="1860" w:type="dxa"/>
            <w:vAlign w:val="bottom"/>
          </w:tcPr>
          <w:p>
            <w:pPr>
              <w:ind w:left="18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4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200" w:type="dxa"/>
            <w:vAlign w:val="bottom"/>
            <w:gridSpan w:val="3"/>
          </w:tcPr>
          <w:p>
            <w:pPr>
              <w:spacing w:after="0" w:line="192"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Form of Preferred Share Warrant Agreement and Warrant Certificate</w:t>
            </w:r>
          </w:p>
        </w:tc>
        <w:tc>
          <w:tcPr>
            <w:tcW w:w="1860" w:type="dxa"/>
            <w:vAlign w:val="bottom"/>
          </w:tcPr>
          <w:p>
            <w:pPr>
              <w:ind w:left="18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4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1860" w:type="dxa"/>
            <w:vAlign w:val="bottom"/>
            <w:tcBorders>
              <w:left w:val="single" w:sz="8" w:color="0000EE"/>
            </w:tcBorders>
          </w:tcPr>
          <w:p>
            <w:pPr>
              <w:spacing w:after="0" w:line="20" w:lineRule="exact"/>
              <w:rPr>
                <w:sz w:val="1"/>
                <w:szCs w:val="1"/>
                <w:color w:val="auto"/>
              </w:rPr>
            </w:pPr>
          </w:p>
        </w:tc>
      </w:tr>
      <w:tr>
        <w:trPr>
          <w:trHeight w:val="192"/>
        </w:trPr>
        <w:tc>
          <w:tcPr>
            <w:tcW w:w="4200" w:type="dxa"/>
            <w:vAlign w:val="bottom"/>
            <w:gridSpan w:val="3"/>
          </w:tcPr>
          <w:p>
            <w:pPr>
              <w:spacing w:after="0" w:line="192"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Form of Debt Securities Warrant Agreement and Warrant Certificate</w:t>
            </w:r>
          </w:p>
        </w:tc>
        <w:tc>
          <w:tcPr>
            <w:tcW w:w="1860" w:type="dxa"/>
            <w:vAlign w:val="bottom"/>
          </w:tcPr>
          <w:p>
            <w:pPr>
              <w:ind w:left="18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7" w:lineRule="exact"/>
        <w:rPr>
          <w:rFonts w:ascii="Times New Roman" w:cs="Times New Roman" w:eastAsia="Times New Roman" w:hAnsi="Times New Roman"/>
          <w:sz w:val="14"/>
          <w:szCs w:val="14"/>
          <w:color w:val="auto"/>
        </w:rPr>
      </w:pPr>
    </w:p>
    <w:p>
      <w:pPr>
        <w:jc w:val="both"/>
        <w:ind w:left="140" w:right="1259" w:hanging="158"/>
        <w:spacing w:after="0" w:line="279" w:lineRule="auto"/>
        <w:rPr>
          <w:sz w:val="20"/>
          <w:szCs w:val="20"/>
          <w:color w:val="auto"/>
        </w:rPr>
      </w:pPr>
      <w:r>
        <w:rPr>
          <w:rFonts w:ascii="Times New Roman" w:cs="Times New Roman" w:eastAsia="Times New Roman" w:hAnsi="Times New Roman"/>
          <w:sz w:val="14"/>
          <w:szCs w:val="14"/>
          <w:color w:val="auto"/>
        </w:rPr>
        <w:t>​ ​ Form of Specimen Preferred Share Certificate and Form of Certificate of Designation of Preferred​ Shares</w:t>
      </w:r>
    </w:p>
    <w:p>
      <w:pPr>
        <w:spacing w:after="0" w:line="75" w:lineRule="exact"/>
        <w:rPr>
          <w:rFonts w:ascii="Times New Roman" w:cs="Times New Roman" w:eastAsia="Times New Roman" w:hAnsi="Times New Roman"/>
          <w:sz w:val="14"/>
          <w:szCs w:val="14"/>
          <w:color w:val="auto"/>
        </w:rPr>
      </w:pPr>
    </w:p>
    <w:p>
      <w:pPr>
        <w:sectPr>
          <w:pgSz w:w="11900" w:h="16838" w:orient="portrait"/>
          <w:cols w:equalWidth="0" w:num="2">
            <w:col w:w="1600" w:space="100"/>
            <w:col w:w="7319"/>
          </w:cols>
          <w:pgMar w:left="1440" w:top="108" w:right="1440" w:bottom="1440" w:gutter="0" w:footer="0" w:header="0"/>
          <w:type w:val="continuous"/>
        </w:sectPr>
      </w:pPr>
    </w:p>
    <w:tbl>
      <w:tblPr>
        <w:tblLayout w:type="fixed"/>
        <w:tblInd w:w="1280" w:type="dxa"/>
        <w:tblCellMar>
          <w:top w:w="0" w:type="dxa"/>
          <w:left w:w="0" w:type="dxa"/>
          <w:bottom w:w="0" w:type="dxa"/>
          <w:right w:w="0" w:type="dxa"/>
        </w:tblCellMar>
      </w:tblPr>
      <w:tr>
        <w:trPr>
          <w:trHeight w:val="322"/>
        </w:trPr>
        <w:tc>
          <w:tcPr>
            <w:tcW w:w="400" w:type="dxa"/>
            <w:vAlign w:val="bottom"/>
          </w:tcPr>
          <w:p>
            <w:pPr>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4.9*</w:t>
            </w:r>
          </w:p>
        </w:tc>
        <w:tc>
          <w:tcPr>
            <w:tcW w:w="6040" w:type="dxa"/>
            <w:vAlign w:val="bottom"/>
            <w:gridSpan w:val="9"/>
          </w:tcPr>
          <w:p>
            <w:pPr>
              <w:ind w:left="2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Form of Unit Agreement (including form of Unit Certificate)</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5"/>
        </w:trPr>
        <w:tc>
          <w:tcPr>
            <w:tcW w:w="400" w:type="dxa"/>
            <w:vAlign w:val="bottom"/>
          </w:tcPr>
          <w:p>
            <w:pPr>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5.1</w:t>
            </w:r>
          </w:p>
        </w:tc>
        <w:tc>
          <w:tcPr>
            <w:tcW w:w="604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Opinion of Travers Thorp Alberga regarding the validity of the securities</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0" w:type="dxa"/>
            <w:vAlign w:val="bottom"/>
          </w:tcPr>
          <w:p>
            <w:pPr>
              <w:spacing w:after="0" w:line="192"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5.2</w:t>
            </w:r>
          </w:p>
        </w:tc>
        <w:tc>
          <w:tcPr>
            <w:tcW w:w="6040" w:type="dxa"/>
            <w:vAlign w:val="bottom"/>
            <w:gridSpan w:val="9"/>
          </w:tcPr>
          <w:p>
            <w:pPr>
              <w:ind w:left="20"/>
              <w:spacing w:after="0" w:line="192"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Opinion of Cooley LLP regarding the validity of the securities</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9"/>
        </w:trPr>
        <w:tc>
          <w:tcPr>
            <w:tcW w:w="4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19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4"/>
                <w:szCs w:val="14"/>
                <w:color w:val="0000EE"/>
              </w:rPr>
              <w:t>Consent of KPMG Huazhen LLP</w:t>
            </w:r>
          </w:p>
        </w:tc>
        <w:tc>
          <w:tcPr>
            <w:tcW w:w="1740" w:type="dxa"/>
            <w:vAlign w:val="bottom"/>
            <w:tcBorders>
              <w:top w:val="single" w:sz="8" w:color="0000EE"/>
            </w:tcBorders>
            <w:gridSpan w:val="3"/>
            <w:vMerge w:val="restart"/>
          </w:tcPr>
          <w:p>
            <w:pPr>
              <w:spacing w:after="0"/>
              <w:rPr>
                <w:sz w:val="12"/>
                <w:szCs w:val="12"/>
                <w:color w:val="auto"/>
              </w:rPr>
            </w:pPr>
          </w:p>
        </w:tc>
        <w:tc>
          <w:tcPr>
            <w:tcW w:w="2160" w:type="dxa"/>
            <w:vAlign w:val="bottom"/>
            <w:gridSpan w:val="4"/>
            <w:vMerge w:val="restart"/>
          </w:tcPr>
          <w:p>
            <w:pPr>
              <w:spacing w:after="0"/>
              <w:rPr>
                <w:sz w:val="12"/>
                <w:szCs w:val="12"/>
                <w:color w:val="auto"/>
              </w:rPr>
            </w:pP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8"/>
        </w:trPr>
        <w:tc>
          <w:tcPr>
            <w:tcW w:w="40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23.1</w:t>
            </w:r>
          </w:p>
        </w:tc>
        <w:tc>
          <w:tcPr>
            <w:tcW w:w="160" w:type="dxa"/>
            <w:vAlign w:val="bottom"/>
          </w:tcPr>
          <w:p>
            <w:pPr>
              <w:spacing w:after="0"/>
              <w:rPr>
                <w:sz w:val="4"/>
                <w:szCs w:val="4"/>
                <w:color w:val="auto"/>
              </w:rPr>
            </w:pPr>
          </w:p>
        </w:tc>
        <w:tc>
          <w:tcPr>
            <w:tcW w:w="1980" w:type="dxa"/>
            <w:vAlign w:val="bottom"/>
            <w:tcBorders>
              <w:bottom w:val="single" w:sz="8" w:color="0000EE"/>
            </w:tcBorders>
            <w:vMerge w:val="continue"/>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216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4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3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0000EE"/>
              </w:rPr>
              <w:t>Consent of Travers Thorp Alberga (included in Exhibit 5.1)</w:t>
            </w:r>
          </w:p>
        </w:tc>
        <w:tc>
          <w:tcPr>
            <w:tcW w:w="2320" w:type="dxa"/>
            <w:vAlign w:val="bottom"/>
            <w:gridSpan w:val="5"/>
            <w:vMerge w:val="restart"/>
          </w:tcPr>
          <w:p>
            <w:pPr>
              <w:spacing w:after="0"/>
              <w:rPr>
                <w:sz w:val="12"/>
                <w:szCs w:val="12"/>
                <w:color w:val="auto"/>
              </w:rPr>
            </w:pP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8"/>
        </w:trPr>
        <w:tc>
          <w:tcPr>
            <w:tcW w:w="40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23.2</w:t>
            </w:r>
          </w:p>
        </w:tc>
        <w:tc>
          <w:tcPr>
            <w:tcW w:w="160" w:type="dxa"/>
            <w:vAlign w:val="bottom"/>
          </w:tcPr>
          <w:p>
            <w:pPr>
              <w:spacing w:after="0"/>
              <w:rPr>
                <w:sz w:val="4"/>
                <w:szCs w:val="4"/>
                <w:color w:val="auto"/>
              </w:rPr>
            </w:pPr>
          </w:p>
        </w:tc>
        <w:tc>
          <w:tcPr>
            <w:tcW w:w="3560" w:type="dxa"/>
            <w:vAlign w:val="bottom"/>
            <w:tcBorders>
              <w:bottom w:val="single" w:sz="8" w:color="0000EE"/>
            </w:tcBorders>
            <w:gridSpan w:val="3"/>
            <w:vMerge w:val="continue"/>
          </w:tcPr>
          <w:p>
            <w:pPr>
              <w:spacing w:after="0"/>
              <w:rPr>
                <w:sz w:val="4"/>
                <w:szCs w:val="4"/>
                <w:color w:val="auto"/>
              </w:rPr>
            </w:pPr>
          </w:p>
        </w:tc>
        <w:tc>
          <w:tcPr>
            <w:tcW w:w="2320" w:type="dxa"/>
            <w:vAlign w:val="bottom"/>
            <w:gridSpan w:val="5"/>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4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40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0000EE"/>
              </w:rPr>
              <w:t>Consent of Commerce &amp; Finance Offices (included in Exhibit 99.1)</w:t>
            </w:r>
          </w:p>
        </w:tc>
        <w:tc>
          <w:tcPr>
            <w:tcW w:w="1840" w:type="dxa"/>
            <w:vAlign w:val="bottom"/>
            <w:gridSpan w:val="3"/>
            <w:vMerge w:val="restart"/>
          </w:tcPr>
          <w:p>
            <w:pPr>
              <w:spacing w:after="0"/>
              <w:rPr>
                <w:sz w:val="12"/>
                <w:szCs w:val="12"/>
                <w:color w:val="auto"/>
              </w:rPr>
            </w:pP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8"/>
        </w:trPr>
        <w:tc>
          <w:tcPr>
            <w:tcW w:w="40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23.3</w:t>
            </w:r>
          </w:p>
        </w:tc>
        <w:tc>
          <w:tcPr>
            <w:tcW w:w="160" w:type="dxa"/>
            <w:vAlign w:val="bottom"/>
          </w:tcPr>
          <w:p>
            <w:pPr>
              <w:spacing w:after="0"/>
              <w:rPr>
                <w:sz w:val="4"/>
                <w:szCs w:val="4"/>
                <w:color w:val="auto"/>
              </w:rPr>
            </w:pPr>
          </w:p>
        </w:tc>
        <w:tc>
          <w:tcPr>
            <w:tcW w:w="4040" w:type="dxa"/>
            <w:vAlign w:val="bottom"/>
            <w:tcBorders>
              <w:bottom w:val="single" w:sz="8" w:color="0000EE"/>
            </w:tcBorders>
            <w:gridSpan w:val="5"/>
            <w:vMerge w:val="continue"/>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4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EE"/>
              </w:rPr>
              <w:t>Consent of Cooley LLP (included in Exhibit 5.2)</w:t>
            </w:r>
          </w:p>
        </w:tc>
        <w:tc>
          <w:tcPr>
            <w:tcW w:w="2960" w:type="dxa"/>
            <w:vAlign w:val="bottom"/>
            <w:gridSpan w:val="6"/>
            <w:vMerge w:val="restart"/>
          </w:tcPr>
          <w:p>
            <w:pPr>
              <w:spacing w:after="0"/>
              <w:rPr>
                <w:sz w:val="12"/>
                <w:szCs w:val="12"/>
                <w:color w:val="auto"/>
              </w:rPr>
            </w:pP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8"/>
        </w:trPr>
        <w:tc>
          <w:tcPr>
            <w:tcW w:w="40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23.4</w:t>
            </w:r>
          </w:p>
        </w:tc>
        <w:tc>
          <w:tcPr>
            <w:tcW w:w="160" w:type="dxa"/>
            <w:vAlign w:val="bottom"/>
          </w:tcPr>
          <w:p>
            <w:pPr>
              <w:spacing w:after="0"/>
              <w:rPr>
                <w:sz w:val="4"/>
                <w:szCs w:val="4"/>
                <w:color w:val="auto"/>
              </w:rPr>
            </w:pPr>
          </w:p>
        </w:tc>
        <w:tc>
          <w:tcPr>
            <w:tcW w:w="2920" w:type="dxa"/>
            <w:vAlign w:val="bottom"/>
            <w:tcBorders>
              <w:bottom w:val="single" w:sz="8" w:color="0000EE"/>
            </w:tcBorders>
            <w:gridSpan w:val="2"/>
            <w:vMerge w:val="continue"/>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4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58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0000EE"/>
              </w:rPr>
              <w:t>Powers of Attorney (included as part of signature page of Part II of this registration statement)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3"/>
        </w:trPr>
        <w:tc>
          <w:tcPr>
            <w:tcW w:w="40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24.1</w:t>
            </w:r>
          </w:p>
        </w:tc>
        <w:tc>
          <w:tcPr>
            <w:tcW w:w="160" w:type="dxa"/>
            <w:vAlign w:val="bottom"/>
          </w:tcPr>
          <w:p>
            <w:pPr>
              <w:spacing w:after="0"/>
              <w:rPr>
                <w:sz w:val="4"/>
                <w:szCs w:val="4"/>
                <w:color w:val="auto"/>
              </w:rPr>
            </w:pPr>
          </w:p>
        </w:tc>
        <w:tc>
          <w:tcPr>
            <w:tcW w:w="5880" w:type="dxa"/>
            <w:vAlign w:val="bottom"/>
            <w:gridSpan w:val="8"/>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9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50"/>
        </w:trPr>
        <w:tc>
          <w:tcPr>
            <w:tcW w:w="4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8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auto"/>
              </w:rPr>
              <w:t>Form T-1 Statement of Eligibility and Qualification under the Trust Indenture Act of 1939, as</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400" w:type="dxa"/>
            <w:vAlign w:val="bottom"/>
          </w:tcPr>
          <w:p>
            <w:pPr>
              <w:spacing w:after="0" w:line="65" w:lineRule="exact"/>
              <w:rPr>
                <w:sz w:val="20"/>
                <w:szCs w:val="20"/>
                <w:color w:val="auto"/>
              </w:rPr>
            </w:pPr>
            <w:r>
              <w:rPr>
                <w:rFonts w:ascii="Times New Roman" w:cs="Times New Roman" w:eastAsia="Times New Roman" w:hAnsi="Times New Roman"/>
                <w:sz w:val="7"/>
                <w:szCs w:val="7"/>
                <w:color w:val="auto"/>
              </w:rPr>
              <w:t>25.1**</w:t>
            </w:r>
          </w:p>
        </w:tc>
        <w:tc>
          <w:tcPr>
            <w:tcW w:w="160" w:type="dxa"/>
            <w:vAlign w:val="bottom"/>
          </w:tcPr>
          <w:p>
            <w:pPr>
              <w:spacing w:after="0"/>
              <w:rPr>
                <w:sz w:val="5"/>
                <w:szCs w:val="5"/>
                <w:color w:val="auto"/>
              </w:rPr>
            </w:pPr>
          </w:p>
        </w:tc>
        <w:tc>
          <w:tcPr>
            <w:tcW w:w="5880" w:type="dxa"/>
            <w:vAlign w:val="bottom"/>
            <w:gridSpan w:val="8"/>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rFonts w:ascii="Times New Roman" w:cs="Times New Roman" w:eastAsia="Times New Roman" w:hAnsi="Times New Roman"/>
          <w:sz w:val="14"/>
          <w:szCs w:val="14"/>
          <w:color w:val="auto"/>
        </w:rPr>
      </w:pPr>
    </w:p>
    <w:p>
      <w:pPr>
        <w:sectPr>
          <w:pgSz w:w="11900" w:h="16838" w:orient="portrait"/>
          <w:cols w:equalWidth="0" w:num="1">
            <w:col w:w="9019"/>
          </w:cols>
          <w:pgMar w:left="1440" w:top="108" w:right="1440" w:bottom="1440" w:gutter="0" w:footer="0" w:header="0"/>
          <w:type w:val="continuous"/>
        </w:sectPr>
      </w:pPr>
    </w:p>
    <w:tbl>
      <w:tblPr>
        <w:tblLayout w:type="fixed"/>
        <w:tblInd w:w="1280" w:type="dxa"/>
        <w:tblCellMar>
          <w:top w:w="0" w:type="dxa"/>
          <w:left w:w="0" w:type="dxa"/>
          <w:bottom w:w="0" w:type="dxa"/>
          <w:right w:w="0" w:type="dxa"/>
        </w:tblCellMar>
      </w:tblPr>
      <w:tr>
        <w:trPr>
          <w:trHeight w:val="18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amended, of the Trustee under the Indenture</w:t>
            </w:r>
          </w:p>
        </w:tc>
        <w:tc>
          <w:tcPr>
            <w:tcW w:w="0" w:type="dxa"/>
            <w:vAlign w:val="bottom"/>
          </w:tcPr>
          <w:p>
            <w:pPr>
              <w:spacing w:after="0"/>
              <w:rPr>
                <w:sz w:val="1"/>
                <w:szCs w:val="1"/>
                <w:color w:val="auto"/>
              </w:rPr>
            </w:pPr>
          </w:p>
        </w:tc>
      </w:tr>
      <w:tr>
        <w:trPr>
          <w:trHeight w:val="123"/>
        </w:trPr>
        <w:tc>
          <w:tcPr>
            <w:tcW w:w="34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EE"/>
              </w:rPr>
              <w:t>Opinion of Commerce &amp; Finance Offices regarding certain PRC law matters</w:t>
            </w:r>
          </w:p>
        </w:tc>
        <w:tc>
          <w:tcPr>
            <w:tcW w:w="0" w:type="dxa"/>
            <w:vAlign w:val="bottom"/>
          </w:tcPr>
          <w:p>
            <w:pPr>
              <w:spacing w:after="0"/>
              <w:rPr>
                <w:sz w:val="1"/>
                <w:szCs w:val="1"/>
                <w:color w:val="auto"/>
              </w:rPr>
            </w:pPr>
          </w:p>
        </w:tc>
      </w:tr>
      <w:tr>
        <w:trPr>
          <w:trHeight w:val="58"/>
        </w:trPr>
        <w:tc>
          <w:tcPr>
            <w:tcW w:w="34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99.1</w:t>
            </w:r>
          </w:p>
        </w:tc>
        <w:tc>
          <w:tcPr>
            <w:tcW w:w="220" w:type="dxa"/>
            <w:vAlign w:val="bottom"/>
          </w:tcPr>
          <w:p>
            <w:pPr>
              <w:spacing w:after="0"/>
              <w:rPr>
                <w:sz w:val="4"/>
                <w:szCs w:val="4"/>
                <w:color w:val="auto"/>
              </w:rPr>
            </w:pPr>
          </w:p>
        </w:tc>
        <w:tc>
          <w:tcPr>
            <w:tcW w:w="4560" w:type="dxa"/>
            <w:vAlign w:val="bottom"/>
            <w:tcBorders>
              <w:bottom w:val="single" w:sz="8" w:color="0000EE"/>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EE"/>
              </w:rPr>
              <w:t>Exhibit Filing Fees</w:t>
            </w:r>
          </w:p>
        </w:tc>
        <w:tc>
          <w:tcPr>
            <w:tcW w:w="0" w:type="dxa"/>
            <w:vAlign w:val="bottom"/>
          </w:tcPr>
          <w:p>
            <w:pPr>
              <w:spacing w:after="0"/>
              <w:rPr>
                <w:sz w:val="1"/>
                <w:szCs w:val="1"/>
                <w:color w:val="auto"/>
              </w:rPr>
            </w:pPr>
          </w:p>
        </w:tc>
      </w:tr>
      <w:tr>
        <w:trPr>
          <w:trHeight w:val="53"/>
        </w:trPr>
        <w:tc>
          <w:tcPr>
            <w:tcW w:w="34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107</w:t>
            </w:r>
          </w:p>
        </w:tc>
        <w:tc>
          <w:tcPr>
            <w:tcW w:w="220" w:type="dxa"/>
            <w:vAlign w:val="bottom"/>
          </w:tcPr>
          <w:p>
            <w:pPr>
              <w:spacing w:after="0"/>
              <w:rPr>
                <w:sz w:val="4"/>
                <w:szCs w:val="4"/>
                <w:color w:val="auto"/>
              </w:rPr>
            </w:pPr>
          </w:p>
        </w:tc>
        <w:tc>
          <w:tcPr>
            <w:tcW w:w="4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810260</wp:posOffset>
            </wp:positionH>
            <wp:positionV relativeFrom="paragraph">
              <wp:posOffset>114935</wp:posOffset>
            </wp:positionV>
            <wp:extent cx="43180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431800" cy="6985"/>
                    </a:xfrm>
                    <a:prstGeom prst="rect">
                      <a:avLst/>
                    </a:prstGeom>
                    <a:noFill/>
                  </pic:spPr>
                </pic:pic>
              </a:graphicData>
            </a:graphic>
          </wp:anchor>
        </w:drawing>
      </w:r>
    </w:p>
    <w:p>
      <w:pPr>
        <w:spacing w:after="0" w:line="249" w:lineRule="exact"/>
        <w:rPr>
          <w:rFonts w:ascii="Times New Roman" w:cs="Times New Roman" w:eastAsia="Times New Roman" w:hAnsi="Times New Roman"/>
          <w:sz w:val="14"/>
          <w:szCs w:val="14"/>
          <w:color w:val="auto"/>
        </w:rPr>
      </w:pPr>
    </w:p>
    <w:p>
      <w:pPr>
        <w:ind w:left="1280" w:hanging="4"/>
        <w:spacing w:after="0" w:line="401" w:lineRule="auto"/>
        <w:tabs>
          <w:tab w:leader="none" w:pos="1563"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be filed by an amendment or as an exhibit to a document to be incorporated by reference into this registration statement. ** To be filed pursuant to Section 305(b)(2) of the Trust Indenture Act of 1939, as amended.</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144"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936" w:lineRule="exact"/>
        <w:rPr>
          <w:rFonts w:ascii="Times New Roman" w:cs="Times New Roman" w:eastAsia="Times New Roman" w:hAnsi="Times New Roman"/>
          <w:sz w:val="14"/>
          <w:szCs w:val="14"/>
          <w:color w:val="auto"/>
        </w:rPr>
      </w:pPr>
    </w:p>
    <w:p>
      <w:pPr>
        <w:sectPr>
          <w:pgSz w:w="11900" w:h="16838" w:orient="portrait"/>
          <w:cols w:equalWidth="0" w:num="2">
            <w:col w:w="7420" w:space="320"/>
            <w:col w:w="1279"/>
          </w:cols>
          <w:pgMar w:left="1440" w:top="108" w:right="1440" w:bottom="1440" w:gutter="0" w:footer="0" w:header="0"/>
          <w:type w:val="continuous"/>
        </w:sect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67"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170180</wp:posOffset>
            </wp:positionH>
            <wp:positionV relativeFrom="paragraph">
              <wp:posOffset>198120</wp:posOffset>
            </wp:positionV>
            <wp:extent cx="537972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75" w:name="page76"/>
    <w:bookmarkEnd w:id="75"/>
    <w:p>
      <w:pPr>
        <w:ind w:left="2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8" w:lineRule="exact"/>
        <w:rPr>
          <w:sz w:val="20"/>
          <w:szCs w:val="20"/>
          <w:color w:val="auto"/>
        </w:rPr>
      </w:pPr>
    </w:p>
    <w:p>
      <w:pPr>
        <w:jc w:val="both"/>
        <w:ind w:left="1280" w:right="1299"/>
        <w:spacing w:after="0" w:line="256"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Guangzhou, China, on November 3, 2025.</w:t>
      </w:r>
    </w:p>
    <w:p>
      <w:pPr>
        <w:spacing w:after="0" w:line="269" w:lineRule="exact"/>
        <w:rPr>
          <w:sz w:val="20"/>
          <w:szCs w:val="20"/>
          <w:color w:val="auto"/>
        </w:rPr>
      </w:pPr>
    </w:p>
    <w:tbl>
      <w:tblPr>
        <w:tblLayout w:type="fixed"/>
        <w:tblInd w:w="1280" w:type="dxa"/>
        <w:tblCellMar>
          <w:top w:w="0" w:type="dxa"/>
          <w:left w:w="0" w:type="dxa"/>
          <w:bottom w:w="0" w:type="dxa"/>
          <w:right w:w="0" w:type="dxa"/>
        </w:tblCellMar>
      </w:tblPr>
      <w:tr>
        <w:trPr>
          <w:trHeight w:val="172"/>
        </w:trPr>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20" w:type="dxa"/>
            <w:vAlign w:val="bottom"/>
            <w:gridSpan w:val="2"/>
          </w:tcPr>
          <w:p>
            <w:pPr>
              <w:ind w:left="1900"/>
              <w:spacing w:after="0"/>
              <w:rPr>
                <w:sz w:val="20"/>
                <w:szCs w:val="20"/>
                <w:color w:val="auto"/>
              </w:rPr>
            </w:pPr>
            <w:r>
              <w:rPr>
                <w:rFonts w:ascii="Times New Roman" w:cs="Times New Roman" w:eastAsia="Times New Roman" w:hAnsi="Times New Roman"/>
                <w:sz w:val="14"/>
                <w:szCs w:val="14"/>
                <w:b w:val="1"/>
                <w:bCs w:val="1"/>
                <w:color w:val="auto"/>
              </w:rPr>
              <w:t>​ ​ WeRide Inc.</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4"/>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220" w:type="dxa"/>
            <w:vAlign w:val="bottom"/>
            <w:gridSpan w:val="2"/>
          </w:tcPr>
          <w:p>
            <w:pPr>
              <w:ind w:left="190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2"/>
        </w:trPr>
        <w:tc>
          <w:tcPr>
            <w:tcW w:w="1240" w:type="dxa"/>
            <w:vAlign w:val="bottom"/>
          </w:tcPr>
          <w:p>
            <w:pPr>
              <w:spacing w:after="0"/>
              <w:rPr>
                <w:sz w:val="17"/>
                <w:szCs w:val="17"/>
                <w:color w:val="auto"/>
              </w:rPr>
            </w:pPr>
          </w:p>
        </w:tc>
        <w:tc>
          <w:tcPr>
            <w:tcW w:w="5220" w:type="dxa"/>
            <w:vAlign w:val="bottom"/>
            <w:gridSpan w:val="2"/>
          </w:tcPr>
          <w:p>
            <w:pPr>
              <w:ind w:left="2060"/>
              <w:spacing w:after="0"/>
              <w:rPr>
                <w:sz w:val="20"/>
                <w:szCs w:val="20"/>
                <w:color w:val="auto"/>
              </w:rPr>
            </w:pPr>
            <w:r>
              <w:rPr>
                <w:rFonts w:ascii="Times New Roman" w:cs="Times New Roman" w:eastAsia="Times New Roman" w:hAnsi="Times New Roman"/>
                <w:sz w:val="14"/>
                <w:szCs w:val="14"/>
                <w:color w:val="auto"/>
              </w:rPr>
              <w:t>By: /s/ Tony Xu Han</w:t>
            </w:r>
          </w:p>
        </w:tc>
        <w:tc>
          <w:tcPr>
            <w:tcW w:w="20" w:type="dxa"/>
            <w:vAlign w:val="bottom"/>
          </w:tcPr>
          <w:p>
            <w:pPr>
              <w:spacing w:after="0"/>
              <w:rPr>
                <w:sz w:val="17"/>
                <w:szCs w:val="17"/>
                <w:color w:val="auto"/>
              </w:rPr>
            </w:pPr>
          </w:p>
        </w:tc>
      </w:tr>
      <w:tr>
        <w:trPr>
          <w:trHeight w:val="22"/>
        </w:trPr>
        <w:tc>
          <w:tcPr>
            <w:tcW w:w="1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7"/>
        </w:trPr>
        <w:tc>
          <w:tcPr>
            <w:tcW w:w="12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Name: Tony Xu Han</w:t>
            </w:r>
          </w:p>
        </w:tc>
        <w:tc>
          <w:tcPr>
            <w:tcW w:w="20" w:type="dxa"/>
            <w:vAlign w:val="bottom"/>
          </w:tcPr>
          <w:p>
            <w:pPr>
              <w:spacing w:after="0"/>
              <w:rPr>
                <w:sz w:val="14"/>
                <w:szCs w:val="14"/>
                <w:color w:val="auto"/>
              </w:rPr>
            </w:pPr>
          </w:p>
        </w:tc>
      </w:tr>
      <w:tr>
        <w:trPr>
          <w:trHeight w:val="184"/>
        </w:trPr>
        <w:tc>
          <w:tcPr>
            <w:tcW w:w="12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Title: Chairman and Chief Executive Officer</w:t>
            </w:r>
          </w:p>
        </w:tc>
        <w:tc>
          <w:tcPr>
            <w:tcW w:w="20" w:type="dxa"/>
            <w:vAlign w:val="bottom"/>
          </w:tcPr>
          <w:p>
            <w:pPr>
              <w:spacing w:after="0"/>
              <w:rPr>
                <w:sz w:val="16"/>
                <w:szCs w:val="16"/>
                <w:color w:val="auto"/>
              </w:rPr>
            </w:pPr>
          </w:p>
        </w:tc>
      </w:tr>
      <w:tr>
        <w:trPr>
          <w:trHeight w:val="340"/>
        </w:trPr>
        <w:tc>
          <w:tcPr>
            <w:tcW w:w="1240" w:type="dxa"/>
            <w:vAlign w:val="bottom"/>
          </w:tcPr>
          <w:p>
            <w:pPr>
              <w:spacing w:after="0"/>
              <w:rPr>
                <w:sz w:val="24"/>
                <w:szCs w:val="24"/>
                <w:color w:val="auto"/>
              </w:rPr>
            </w:pPr>
          </w:p>
        </w:tc>
        <w:tc>
          <w:tcPr>
            <w:tcW w:w="522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POWER OF ATTORNEY</w:t>
            </w:r>
          </w:p>
        </w:tc>
        <w:tc>
          <w:tcPr>
            <w:tcW w:w="20" w:type="dxa"/>
            <w:vAlign w:val="bottom"/>
          </w:tcPr>
          <w:p>
            <w:pPr>
              <w:spacing w:after="0"/>
              <w:rPr>
                <w:sz w:val="24"/>
                <w:szCs w:val="24"/>
                <w:color w:val="auto"/>
              </w:rPr>
            </w:pPr>
          </w:p>
        </w:tc>
      </w:tr>
    </w:tbl>
    <w:p>
      <w:pPr>
        <w:spacing w:after="0" w:line="103" w:lineRule="exact"/>
        <w:rPr>
          <w:sz w:val="20"/>
          <w:szCs w:val="20"/>
          <w:color w:val="auto"/>
        </w:rPr>
      </w:pPr>
    </w:p>
    <w:p>
      <w:pPr>
        <w:jc w:val="both"/>
        <w:ind w:left="1280" w:right="1299"/>
        <w:spacing w:after="0" w:line="245"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does hereby constitute and appoint Tony Xu Han and Jennifer Xuan Li as his or her true and lawful attorney-in-fact and agent, each with full power of substitution and re- substitution, for him or her and in his or her name, place and stead, in any and all capacities, to sign any and all amendments (including post -effective amendments) to this registration statement and sign any registration statement for the same offerings covered by this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258" w:lineRule="exact"/>
        <w:rPr>
          <w:sz w:val="20"/>
          <w:szCs w:val="20"/>
          <w:color w:val="auto"/>
        </w:rPr>
      </w:pPr>
    </w:p>
    <w:p>
      <w:pPr>
        <w:jc w:val="both"/>
        <w:ind w:left="1280" w:right="1299"/>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on November 3, 2025 in the capacities indicated.</w:t>
      </w:r>
    </w:p>
    <w:p>
      <w:pPr>
        <w:spacing w:after="0" w:line="88" w:lineRule="exact"/>
        <w:rPr>
          <w:sz w:val="20"/>
          <w:szCs w:val="20"/>
          <w:color w:val="auto"/>
        </w:rPr>
      </w:pPr>
    </w:p>
    <w:tbl>
      <w:tblPr>
        <w:tblLayout w:type="fixed"/>
        <w:tblInd w:w="280" w:type="dxa"/>
        <w:tblCellMar>
          <w:top w:w="0" w:type="dxa"/>
          <w:left w:w="0" w:type="dxa"/>
          <w:bottom w:w="0" w:type="dxa"/>
          <w:right w:w="0" w:type="dxa"/>
        </w:tblCellMar>
      </w:tblPr>
      <w:tr>
        <w:trPr>
          <w:trHeight w:val="179"/>
        </w:trPr>
        <w:tc>
          <w:tcPr>
            <w:tcW w:w="100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68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20" w:type="dxa"/>
            <w:vAlign w:val="bottom"/>
            <w:tcBorders>
              <w:bottom w:val="single" w:sz="8" w:color="auto"/>
            </w:tcBorders>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9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95"/>
        </w:trPr>
        <w:tc>
          <w:tcPr>
            <w:tcW w:w="1000" w:type="dxa"/>
            <w:vAlign w:val="bottom"/>
          </w:tcPr>
          <w:p>
            <w:pPr>
              <w:spacing w:after="0"/>
              <w:rPr>
                <w:sz w:val="24"/>
                <w:szCs w:val="24"/>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680" w:type="dxa"/>
            <w:vAlign w:val="bottom"/>
            <w:vMerge w:val="restart"/>
          </w:tcPr>
          <w:p>
            <w:pPr>
              <w:jc w:val="center"/>
              <w:ind w:right="390"/>
              <w:spacing w:after="0"/>
              <w:rPr>
                <w:sz w:val="20"/>
                <w:szCs w:val="20"/>
                <w:color w:val="auto"/>
              </w:rPr>
            </w:pPr>
            <w:r>
              <w:rPr>
                <w:rFonts w:ascii="Times New Roman" w:cs="Times New Roman" w:eastAsia="Times New Roman" w:hAnsi="Times New Roman"/>
                <w:sz w:val="14"/>
                <w:szCs w:val="14"/>
                <w:color w:val="auto"/>
              </w:rPr>
              <w:t>/s/ Tony Xu Han</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and Chief Executive</w:t>
            </w: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7"/>
        </w:trPr>
        <w:tc>
          <w:tcPr>
            <w:tcW w:w="10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Officer</w:t>
            </w: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000" w:type="dxa"/>
            <w:vAlign w:val="bottom"/>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314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80" w:type="dxa"/>
            <w:vAlign w:val="bottom"/>
            <w:vMerge w:val="restart"/>
          </w:tcPr>
          <w:p>
            <w:pPr>
              <w:jc w:val="center"/>
              <w:ind w:right="370"/>
              <w:spacing w:after="0"/>
              <w:rPr>
                <w:sz w:val="20"/>
                <w:szCs w:val="20"/>
                <w:color w:val="auto"/>
              </w:rPr>
            </w:pPr>
            <w:r>
              <w:rPr>
                <w:rFonts w:ascii="Times New Roman" w:cs="Times New Roman" w:eastAsia="Times New Roman" w:hAnsi="Times New Roman"/>
                <w:sz w:val="14"/>
                <w:szCs w:val="14"/>
                <w:color w:val="auto"/>
              </w:rPr>
              <w:t>Tony Xu Han</w:t>
            </w: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1000" w:type="dxa"/>
            <w:vAlign w:val="bottom"/>
          </w:tcPr>
          <w:p>
            <w:pPr>
              <w:spacing w:after="0"/>
              <w:rPr>
                <w:sz w:val="24"/>
                <w:szCs w:val="24"/>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680" w:type="dxa"/>
            <w:vAlign w:val="bottom"/>
          </w:tcPr>
          <w:p>
            <w:pPr>
              <w:jc w:val="center"/>
              <w:ind w:right="390"/>
              <w:spacing w:after="0"/>
              <w:rPr>
                <w:sz w:val="20"/>
                <w:szCs w:val="20"/>
                <w:color w:val="auto"/>
              </w:rPr>
            </w:pPr>
            <w:r>
              <w:rPr>
                <w:rFonts w:ascii="Times New Roman" w:cs="Times New Roman" w:eastAsia="Times New Roman" w:hAnsi="Times New Roman"/>
                <w:sz w:val="14"/>
                <w:szCs w:val="14"/>
                <w:color w:val="auto"/>
              </w:rPr>
              <w:t>/s/Yan Li</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
        </w:trPr>
        <w:tc>
          <w:tcPr>
            <w:tcW w:w="1000" w:type="dxa"/>
            <w:vAlign w:val="bottom"/>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314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80" w:type="dxa"/>
            <w:vAlign w:val="bottom"/>
            <w:vMerge w:val="restart"/>
          </w:tcPr>
          <w:p>
            <w:pPr>
              <w:jc w:val="center"/>
              <w:ind w:right="370"/>
              <w:spacing w:after="0"/>
              <w:rPr>
                <w:sz w:val="20"/>
                <w:szCs w:val="20"/>
                <w:color w:val="auto"/>
              </w:rPr>
            </w:pPr>
            <w:r>
              <w:rPr>
                <w:rFonts w:ascii="Times New Roman" w:cs="Times New Roman" w:eastAsia="Times New Roman" w:hAnsi="Times New Roman"/>
                <w:sz w:val="14"/>
                <w:szCs w:val="14"/>
                <w:color w:val="auto"/>
              </w:rPr>
              <w:t>Yan Li</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14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6"/>
        </w:trPr>
        <w:tc>
          <w:tcPr>
            <w:tcW w:w="10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680" w:type="dxa"/>
            <w:vAlign w:val="bottom"/>
          </w:tcPr>
          <w:p>
            <w:pPr>
              <w:jc w:val="center"/>
              <w:ind w:right="390"/>
              <w:spacing w:after="0"/>
              <w:rPr>
                <w:sz w:val="20"/>
                <w:szCs w:val="20"/>
                <w:color w:val="auto"/>
              </w:rPr>
            </w:pPr>
            <w:r>
              <w:rPr>
                <w:rFonts w:ascii="Times New Roman" w:cs="Times New Roman" w:eastAsia="Times New Roman" w:hAnsi="Times New Roman"/>
                <w:sz w:val="14"/>
                <w:szCs w:val="14"/>
                <w:color w:val="auto"/>
              </w:rPr>
              <w:t>/s/Jennifer Xuan Li</w:t>
            </w:r>
          </w:p>
        </w:tc>
        <w:tc>
          <w:tcPr>
            <w:tcW w:w="2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 and Head of International</w:t>
            </w:r>
          </w:p>
        </w:tc>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10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80" w:type="dxa"/>
            <w:vAlign w:val="bottom"/>
          </w:tcPr>
          <w:p>
            <w:pPr>
              <w:jc w:val="center"/>
              <w:ind w:right="370"/>
              <w:spacing w:after="0"/>
              <w:rPr>
                <w:sz w:val="20"/>
                <w:szCs w:val="20"/>
                <w:color w:val="auto"/>
              </w:rPr>
            </w:pPr>
            <w:r>
              <w:rPr>
                <w:rFonts w:ascii="Times New Roman" w:cs="Times New Roman" w:eastAsia="Times New Roman" w:hAnsi="Times New Roman"/>
                <w:sz w:val="14"/>
                <w:szCs w:val="14"/>
                <w:color w:val="auto"/>
              </w:rPr>
              <w:t>Jennifer Xuan Li</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1000" w:type="dxa"/>
            <w:vAlign w:val="bottom"/>
          </w:tcPr>
          <w:p>
            <w:pPr>
              <w:spacing w:after="0"/>
              <w:rPr>
                <w:sz w:val="24"/>
                <w:szCs w:val="24"/>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680" w:type="dxa"/>
            <w:vAlign w:val="bottom"/>
          </w:tcPr>
          <w:p>
            <w:pPr>
              <w:jc w:val="center"/>
              <w:ind w:right="370"/>
              <w:spacing w:after="0"/>
              <w:rPr>
                <w:sz w:val="20"/>
                <w:szCs w:val="20"/>
                <w:color w:val="auto"/>
              </w:rPr>
            </w:pPr>
            <w:r>
              <w:rPr>
                <w:rFonts w:ascii="Times New Roman" w:cs="Times New Roman" w:eastAsia="Times New Roman" w:hAnsi="Times New Roman"/>
                <w:sz w:val="14"/>
                <w:szCs w:val="14"/>
                <w:color w:val="auto"/>
              </w:rPr>
              <w:t>/s/Huiping Yan</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
        </w:trPr>
        <w:tc>
          <w:tcPr>
            <w:tcW w:w="1000" w:type="dxa"/>
            <w:vAlign w:val="bottom"/>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314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80" w:type="dxa"/>
            <w:vAlign w:val="bottom"/>
            <w:vMerge w:val="restart"/>
          </w:tcPr>
          <w:p>
            <w:pPr>
              <w:jc w:val="center"/>
              <w:ind w:right="370"/>
              <w:spacing w:after="0"/>
              <w:rPr>
                <w:sz w:val="20"/>
                <w:szCs w:val="20"/>
                <w:color w:val="auto"/>
              </w:rPr>
            </w:pPr>
            <w:r>
              <w:rPr>
                <w:rFonts w:ascii="Times New Roman" w:cs="Times New Roman" w:eastAsia="Times New Roman" w:hAnsi="Times New Roman"/>
                <w:sz w:val="14"/>
                <w:szCs w:val="14"/>
                <w:color w:val="auto"/>
              </w:rPr>
              <w:t>Huiping Yan</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14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1000" w:type="dxa"/>
            <w:vAlign w:val="bottom"/>
          </w:tcPr>
          <w:p>
            <w:pPr>
              <w:spacing w:after="0"/>
              <w:rPr>
                <w:sz w:val="24"/>
                <w:szCs w:val="24"/>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680" w:type="dxa"/>
            <w:vAlign w:val="bottom"/>
          </w:tcPr>
          <w:p>
            <w:pPr>
              <w:jc w:val="center"/>
              <w:ind w:right="370"/>
              <w:spacing w:after="0"/>
              <w:rPr>
                <w:sz w:val="20"/>
                <w:szCs w:val="20"/>
                <w:color w:val="auto"/>
              </w:rPr>
            </w:pPr>
            <w:r>
              <w:rPr>
                <w:rFonts w:ascii="Times New Roman" w:cs="Times New Roman" w:eastAsia="Times New Roman" w:hAnsi="Times New Roman"/>
                <w:sz w:val="14"/>
                <w:szCs w:val="14"/>
                <w:color w:val="auto"/>
              </w:rPr>
              <w:t>/s/David Tong Zhang</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
        </w:trPr>
        <w:tc>
          <w:tcPr>
            <w:tcW w:w="1000" w:type="dxa"/>
            <w:vAlign w:val="bottom"/>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314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80" w:type="dxa"/>
            <w:vAlign w:val="bottom"/>
            <w:vMerge w:val="restart"/>
          </w:tcPr>
          <w:p>
            <w:pPr>
              <w:jc w:val="center"/>
              <w:ind w:right="370"/>
              <w:spacing w:after="0"/>
              <w:rPr>
                <w:sz w:val="20"/>
                <w:szCs w:val="20"/>
                <w:color w:val="auto"/>
              </w:rPr>
            </w:pPr>
            <w:r>
              <w:rPr>
                <w:rFonts w:ascii="Times New Roman" w:cs="Times New Roman" w:eastAsia="Times New Roman" w:hAnsi="Times New Roman"/>
                <w:sz w:val="14"/>
                <w:szCs w:val="14"/>
                <w:color w:val="auto"/>
              </w:rPr>
              <w:t>David Tong Zhang</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14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1000" w:type="dxa"/>
            <w:vAlign w:val="bottom"/>
          </w:tcPr>
          <w:p>
            <w:pPr>
              <w:spacing w:after="0"/>
              <w:rPr>
                <w:sz w:val="24"/>
                <w:szCs w:val="24"/>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680" w:type="dxa"/>
            <w:vAlign w:val="bottom"/>
          </w:tcPr>
          <w:p>
            <w:pPr>
              <w:jc w:val="center"/>
              <w:ind w:right="370"/>
              <w:spacing w:after="0"/>
              <w:rPr>
                <w:sz w:val="20"/>
                <w:szCs w:val="20"/>
                <w:color w:val="auto"/>
              </w:rPr>
            </w:pPr>
            <w:r>
              <w:rPr>
                <w:rFonts w:ascii="Times New Roman" w:cs="Times New Roman" w:eastAsia="Times New Roman" w:hAnsi="Times New Roman"/>
                <w:sz w:val="14"/>
                <w:szCs w:val="14"/>
                <w:color w:val="auto"/>
              </w:rPr>
              <w:t>/s/Jean-François Salles</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
        </w:trPr>
        <w:tc>
          <w:tcPr>
            <w:tcW w:w="1000" w:type="dxa"/>
            <w:vAlign w:val="bottom"/>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314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80" w:type="dxa"/>
            <w:vAlign w:val="bottom"/>
            <w:vMerge w:val="restart"/>
          </w:tcPr>
          <w:p>
            <w:pPr>
              <w:jc w:val="center"/>
              <w:ind w:right="370"/>
              <w:spacing w:after="0"/>
              <w:rPr>
                <w:sz w:val="20"/>
                <w:szCs w:val="20"/>
                <w:color w:val="auto"/>
              </w:rPr>
            </w:pPr>
            <w:r>
              <w:rPr>
                <w:rFonts w:ascii="Times New Roman" w:cs="Times New Roman" w:eastAsia="Times New Roman" w:hAnsi="Times New Roman"/>
                <w:sz w:val="14"/>
                <w:szCs w:val="14"/>
                <w:color w:val="auto"/>
              </w:rPr>
              <w:t>Jean-François Salles</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14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1000" w:type="dxa"/>
            <w:vAlign w:val="bottom"/>
          </w:tcPr>
          <w:p>
            <w:pPr>
              <w:spacing w:after="0"/>
              <w:rPr>
                <w:sz w:val="24"/>
                <w:szCs w:val="24"/>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680" w:type="dxa"/>
            <w:vAlign w:val="bottom"/>
          </w:tcPr>
          <w:p>
            <w:pPr>
              <w:jc w:val="center"/>
              <w:ind w:right="390"/>
              <w:spacing w:after="0"/>
              <w:rPr>
                <w:sz w:val="20"/>
                <w:szCs w:val="20"/>
                <w:color w:val="auto"/>
              </w:rPr>
            </w:pPr>
            <w:r>
              <w:rPr>
                <w:rFonts w:ascii="Times New Roman" w:cs="Times New Roman" w:eastAsia="Times New Roman" w:hAnsi="Times New Roman"/>
                <w:sz w:val="14"/>
                <w:szCs w:val="14"/>
                <w:color w:val="auto"/>
              </w:rPr>
              <w:t>/s/ Kazuhiro Doi</w:t>
            </w:r>
          </w:p>
        </w:tc>
        <w:tc>
          <w:tcPr>
            <w:tcW w:w="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3"/>
        </w:trPr>
        <w:tc>
          <w:tcPr>
            <w:tcW w:w="1000" w:type="dxa"/>
            <w:vAlign w:val="bottom"/>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314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80" w:type="dxa"/>
            <w:vAlign w:val="bottom"/>
            <w:vMerge w:val="restart"/>
          </w:tcPr>
          <w:p>
            <w:pPr>
              <w:jc w:val="center"/>
              <w:ind w:right="370"/>
              <w:spacing w:after="0"/>
              <w:rPr>
                <w:sz w:val="20"/>
                <w:szCs w:val="20"/>
                <w:color w:val="auto"/>
              </w:rPr>
            </w:pPr>
            <w:r>
              <w:rPr>
                <w:rFonts w:ascii="Times New Roman" w:cs="Times New Roman" w:eastAsia="Times New Roman" w:hAnsi="Times New Roman"/>
                <w:sz w:val="14"/>
                <w:szCs w:val="14"/>
                <w:color w:val="auto"/>
              </w:rPr>
              <w:t>Kazuhiro Doi</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14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6"/>
        </w:trPr>
        <w:tc>
          <w:tcPr>
            <w:tcW w:w="10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170180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6" w:name="page77"/>
    <w:bookmarkEnd w:id="76"/>
    <w:p>
      <w:pPr>
        <w:ind w:left="2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 REPRESENTATIVE IN THE UNITED STATES</w:t>
      </w:r>
    </w:p>
    <w:p>
      <w:pPr>
        <w:spacing w:after="0" w:line="128" w:lineRule="exact"/>
        <w:rPr>
          <w:sz w:val="20"/>
          <w:szCs w:val="20"/>
          <w:color w:val="auto"/>
        </w:rPr>
      </w:pPr>
    </w:p>
    <w:p>
      <w:pPr>
        <w:jc w:val="both"/>
        <w:ind w:left="1280" w:right="1299"/>
        <w:spacing w:after="0" w:line="270" w:lineRule="auto"/>
        <w:rPr>
          <w:sz w:val="20"/>
          <w:szCs w:val="20"/>
          <w:color w:val="auto"/>
        </w:rPr>
      </w:pPr>
      <w:r>
        <w:rPr>
          <w:rFonts w:ascii="Times New Roman" w:cs="Times New Roman" w:eastAsia="Times New Roman" w:hAnsi="Times New Roman"/>
          <w:sz w:val="14"/>
          <w:szCs w:val="14"/>
          <w:color w:val="auto"/>
        </w:rPr>
        <w:t>Pursuant to the Securities Act of 1933, as amended, the undersigned, the duly authorized representative in the United States of WeRide Inc., has signed this registration statement or amendment thereto in New York, New York on November 3, 2025.</w:t>
      </w:r>
    </w:p>
    <w:p>
      <w:pPr>
        <w:spacing w:after="0" w:line="81"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488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w w:val="97"/>
              </w:rPr>
              <w:t>COGENCY GLOBAL INC.</w:t>
            </w:r>
          </w:p>
        </w:tc>
        <w:tc>
          <w:tcPr>
            <w:tcW w:w="20" w:type="dxa"/>
            <w:vAlign w:val="bottom"/>
          </w:tcPr>
          <w:p>
            <w:pPr>
              <w:spacing w:after="0"/>
              <w:rPr>
                <w:sz w:val="16"/>
                <w:szCs w:val="16"/>
                <w:color w:val="auto"/>
              </w:rPr>
            </w:pPr>
          </w:p>
        </w:tc>
      </w:tr>
      <w:tr>
        <w:trPr>
          <w:trHeight w:val="283"/>
        </w:trPr>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8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 ​ Authorized U.S. Representative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4"/>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8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2"/>
        </w:trPr>
        <w:tc>
          <w:tcPr>
            <w:tcW w:w="1580" w:type="dxa"/>
            <w:vAlign w:val="bottom"/>
          </w:tcPr>
          <w:p>
            <w:pPr>
              <w:spacing w:after="0"/>
              <w:rPr>
                <w:sz w:val="17"/>
                <w:szCs w:val="17"/>
                <w:color w:val="auto"/>
              </w:rPr>
            </w:pPr>
          </w:p>
        </w:tc>
        <w:tc>
          <w:tcPr>
            <w:tcW w:w="488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rPr>
              <w:t>By: /s/ Colleen A. De Vries</w:t>
            </w:r>
          </w:p>
        </w:tc>
        <w:tc>
          <w:tcPr>
            <w:tcW w:w="20" w:type="dxa"/>
            <w:vAlign w:val="bottom"/>
          </w:tcPr>
          <w:p>
            <w:pPr>
              <w:spacing w:after="0"/>
              <w:rPr>
                <w:sz w:val="17"/>
                <w:szCs w:val="17"/>
                <w:color w:val="auto"/>
              </w:rPr>
            </w:pPr>
          </w:p>
        </w:tc>
      </w:tr>
      <w:tr>
        <w:trPr>
          <w:trHeight w:val="22"/>
        </w:trPr>
        <w:tc>
          <w:tcPr>
            <w:tcW w:w="1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15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Name: Colleen A. De Vries</w:t>
            </w:r>
          </w:p>
        </w:tc>
        <w:tc>
          <w:tcPr>
            <w:tcW w:w="20" w:type="dxa"/>
            <w:vAlign w:val="bottom"/>
          </w:tcPr>
          <w:p>
            <w:pPr>
              <w:spacing w:after="0"/>
              <w:rPr>
                <w:sz w:val="15"/>
                <w:szCs w:val="15"/>
                <w:color w:val="auto"/>
              </w:rPr>
            </w:pPr>
          </w:p>
        </w:tc>
      </w:tr>
      <w:tr>
        <w:trPr>
          <w:trHeight w:val="184"/>
        </w:trPr>
        <w:tc>
          <w:tcPr>
            <w:tcW w:w="15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Title: Senior Vice President</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5031740</wp:posOffset>
            </wp:positionV>
            <wp:extent cx="537972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537972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color w:val="auto"/>
        </w:rPr>
        <w:t> </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Exhibit 4.3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ind w:left="5160"/>
        <w:spacing w:after="0"/>
        <w:rPr>
          <w:sz w:val="20"/>
          <w:szCs w:val="20"/>
          <w:color w:val="auto"/>
        </w:rPr>
      </w:pPr>
      <w:r>
        <w:rPr>
          <w:rFonts w:ascii="Times New Roman" w:cs="Times New Roman" w:eastAsia="Times New Roman" w:hAnsi="Times New Roman"/>
          <w:sz w:val="14"/>
          <w:szCs w:val="14"/>
          <w:b w:val="1"/>
          <w:bCs w:val="1"/>
          <w:color w:val="auto"/>
        </w:rPr>
        <w:t>WERIDE, INC.,</w:t>
      </w:r>
    </w:p>
    <w:p>
      <w:pPr>
        <w:spacing w:after="0" w:line="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Iss</w:t>
      </w:r>
      <w:r>
        <w:rPr>
          <w:rFonts w:ascii="Times New Roman" w:cs="Times New Roman" w:eastAsia="Times New Roman" w:hAnsi="Times New Roman"/>
          <w:sz w:val="14"/>
          <w:szCs w:val="14"/>
          <w:color w:val="auto"/>
        </w:rPr>
        <w:t>u</w:t>
      </w:r>
      <w:r>
        <w:rPr>
          <w:rFonts w:ascii="Times New Roman" w:cs="Times New Roman" w:eastAsia="Times New Roman" w:hAnsi="Times New Roman"/>
          <w:sz w:val="14"/>
          <w:szCs w:val="14"/>
          <w:b w:val="1"/>
          <w:bCs w:val="1"/>
          <w:color w:val="auto"/>
        </w:rPr>
        <w:t>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5715</wp:posOffset>
            </wp:positionV>
            <wp:extent cx="179387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179387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Dated as of [•], 20__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5715</wp:posOffset>
            </wp:positionV>
            <wp:extent cx="179387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1793875" cy="698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615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color w:val="auto"/>
        </w:rPr>
        <w:t> </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3300"/>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9"/>
                <w:szCs w:val="9"/>
                <w:b w:val="1"/>
                <w:bCs w:val="1"/>
                <w:color w:val="auto"/>
              </w:rPr>
              <w:t>ontents</w:t>
            </w: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760" w:type="dxa"/>
            <w:vAlign w:val="bottom"/>
            <w:vMerge w:val="continue"/>
          </w:tcPr>
          <w:p>
            <w:pPr>
              <w:spacing w:after="0"/>
              <w:rPr>
                <w:sz w:val="13"/>
                <w:szCs w:val="13"/>
                <w:color w:val="auto"/>
              </w:rPr>
            </w:pPr>
          </w:p>
        </w:tc>
        <w:tc>
          <w:tcPr>
            <w:tcW w:w="7200" w:type="dxa"/>
            <w:vAlign w:val="bottom"/>
          </w:tcPr>
          <w:p>
            <w:pPr>
              <w:spacing w:after="0"/>
              <w:rPr>
                <w:sz w:val="13"/>
                <w:szCs w:val="13"/>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age</w:t>
            </w:r>
          </w:p>
        </w:tc>
        <w:tc>
          <w:tcPr>
            <w:tcW w:w="0" w:type="dxa"/>
            <w:vAlign w:val="bottom"/>
          </w:tcPr>
          <w:p>
            <w:pPr>
              <w:spacing w:after="0"/>
              <w:rPr>
                <w:sz w:val="1"/>
                <w:szCs w:val="1"/>
                <w:color w:val="auto"/>
              </w:rPr>
            </w:pPr>
          </w:p>
        </w:tc>
      </w:tr>
      <w:tr>
        <w:trPr>
          <w:trHeight w:val="170"/>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spacing w:after="0"/>
              <w:rPr>
                <w:sz w:val="14"/>
                <w:szCs w:val="14"/>
                <w:color w:val="auto"/>
              </w:rPr>
            </w:pPr>
          </w:p>
        </w:tc>
        <w:tc>
          <w:tcPr>
            <w:tcW w:w="2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vMerge w:val="continue"/>
          </w:tcPr>
          <w:p>
            <w:pPr>
              <w:spacing w:after="0"/>
              <w:rPr>
                <w:sz w:val="13"/>
                <w:szCs w:val="13"/>
                <w:color w:val="auto"/>
              </w:rPr>
            </w:pPr>
          </w:p>
        </w:tc>
        <w:tc>
          <w:tcPr>
            <w:tcW w:w="72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w w:val="98"/>
              </w:rPr>
              <w:t>ARTICLE 1       DEFINITIONS</w:t>
            </w:r>
          </w:p>
        </w:tc>
        <w:tc>
          <w:tcPr>
            <w:tcW w:w="720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1.01</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Definitions of Terms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8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2       ISSUE, DESCRIPTION, TERMS, EXECUTION, REGISTRATION AND EXCHANGE OF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2.01</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Designation and Terms of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2.02</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Form of Securities and Trustee’s Certificate</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2.03</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Denominations: Provisions for Payment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2.04</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Execution and Authentications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2.05</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Registration of Transfer and Exchange</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2.06</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Temporary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2.07</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Mutilated, Destroyed, Lost or Stolen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2.08</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Cancellation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2.09</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Benefits of Indenture</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2.10</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Authenticating Agent</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2.11</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Global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2.12</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CUSIP Numbers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8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3       REDEMPTION OF SECURITIES AND SINKING FUND PROVISIONS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3.01</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Redemption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3.02</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Notice of Redemption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3.03</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Payment Upon Redemption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3.04</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Sinking Fund</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3.05</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Satisfaction of Sinking Fund Payments with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3.06</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Redemption of Securities for Sinking Fund</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w w:val="99"/>
              </w:rPr>
              <w:t>ARTICLE 4       COVENANTS</w:t>
            </w:r>
          </w:p>
        </w:tc>
        <w:tc>
          <w:tcPr>
            <w:tcW w:w="720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4.01</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Payment of Principal, Premium and Interest</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4.02</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Maintenance of Office or Agency</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4.03</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Paying Agents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0"/>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4"/>
        </w:trPr>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4.04</w:t>
            </w: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Appointment to Fill Vacancy in Office of Trustee</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9"/>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7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204" w:right="2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color w:val="auto"/>
        </w:rPr>
        <w:t> </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ontents</w:t>
      </w:r>
    </w:p>
    <w:p>
      <w:pPr>
        <w:jc w:val="center"/>
        <w:ind w:right="20"/>
        <w:spacing w:after="0" w:line="234" w:lineRule="auto"/>
        <w:rPr>
          <w:sz w:val="20"/>
          <w:szCs w:val="20"/>
          <w:color w:val="auto"/>
        </w:rPr>
      </w:pPr>
      <w:r>
        <w:rPr>
          <w:rFonts w:ascii="Times New Roman" w:cs="Times New Roman" w:eastAsia="Times New Roman" w:hAnsi="Times New Roman"/>
          <w:sz w:val="17"/>
          <w:szCs w:val="17"/>
          <w:b w:val="1"/>
          <w:bCs w:val="1"/>
          <w:color w:val="auto"/>
        </w:rPr>
        <w:t>(CONTINUED)</w:t>
      </w:r>
    </w:p>
    <w:p>
      <w:pPr>
        <w:spacing w:after="0" w:line="235" w:lineRule="auto"/>
        <w:rPr>
          <w:sz w:val="20"/>
          <w:szCs w:val="20"/>
          <w:color w:val="auto"/>
        </w:rPr>
      </w:pPr>
      <w:r>
        <w:rPr>
          <w:rFonts w:ascii="Times New Roman" w:cs="Times New Roman" w:eastAsia="Times New Roman" w:hAnsi="Times New Roman"/>
          <w:sz w:val="17"/>
          <w:szCs w:val="17"/>
          <w:color w:val="auto"/>
        </w:rPr>
        <w:t> </w:t>
      </w:r>
    </w:p>
    <w:tbl>
      <w:tblPr>
        <w:tblLayout w:type="fixed"/>
        <w:tblInd w:w="0" w:type="dxa"/>
        <w:tblCellMar>
          <w:top w:w="0" w:type="dxa"/>
          <w:left w:w="0" w:type="dxa"/>
          <w:bottom w:w="0" w:type="dxa"/>
          <w:right w:w="0" w:type="dxa"/>
        </w:tblCellMar>
      </w:tblPr>
      <w:tr>
        <w:trPr>
          <w:trHeight w:val="223"/>
        </w:trPr>
        <w:tc>
          <w:tcPr>
            <w:tcW w:w="1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w:t>
            </w:r>
          </w:p>
        </w:tc>
        <w:tc>
          <w:tcPr>
            <w:tcW w:w="712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age</w:t>
            </w: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7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5       SECURITYHOLDERS’ LISTS AND REPORTS BY THE COMPANY AND THE TRUSTEE</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5.01</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Company to Furnish Trustee Names and Addresses of Securityholders</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5.02</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Preservation Of Information; Communications With Securityholders</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5.03</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Reports by the Company</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5.04</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Reports by the Trustee</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6       REMEDIES OF THE TRUSTEE AND SECURITYHOLDERS ON EVENT OF DEFAULT</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6.01</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Events of Default</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6.02</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Collection of Indebtedness and Suits for Enforcement by Trustee</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6.03</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Application of Moneys Collected</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6.04</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Limitation on Suits</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6.05</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Rights and Remedies Cumulative; Delay or Omission Not Waiver</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6.06</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Control by Securityholders</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6.07</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Undertaking to Pay Costs</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8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7       CONCERNING THE TRUSTEE</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7.01</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Certain Duties and Responsibilities of Trustee</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7.02</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Certain Rights of Trustee</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7.03</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Trustee Not Responsible for Recitals or Issuance or Securities</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7.04</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May Hold Securities</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7.05</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Moneys Held in Trust</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7.06</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Compensation and Reimbursement</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7.07</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Reliance on Officer’s Certificate</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7.08</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Disqualification; Conflicting Interests</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7.09</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Corporate Trustee Required; Eligibility</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7.10</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Resignation and Removal; Appointment of Successor</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7.11</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Acceptance of Appointment By Successor</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70"/>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4"/>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7.12</w:t>
            </w:r>
          </w:p>
        </w:tc>
        <w:tc>
          <w:tcPr>
            <w:tcW w:w="7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Merger, Conversion, Consolidation or Succession to Business</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19"/>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7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204" w:right="2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color w:val="auto"/>
        </w:rPr>
        <w:t> </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ontents</w:t>
      </w:r>
    </w:p>
    <w:p>
      <w:pPr>
        <w:jc w:val="center"/>
        <w:ind w:right="20"/>
        <w:spacing w:after="0" w:line="234" w:lineRule="auto"/>
        <w:rPr>
          <w:sz w:val="20"/>
          <w:szCs w:val="20"/>
          <w:color w:val="auto"/>
        </w:rPr>
      </w:pPr>
      <w:r>
        <w:rPr>
          <w:rFonts w:ascii="Times New Roman" w:cs="Times New Roman" w:eastAsia="Times New Roman" w:hAnsi="Times New Roman"/>
          <w:sz w:val="17"/>
          <w:szCs w:val="17"/>
          <w:b w:val="1"/>
          <w:bCs w:val="1"/>
          <w:color w:val="auto"/>
        </w:rPr>
        <w:t>(CONTINUED)</w:t>
      </w:r>
    </w:p>
    <w:p>
      <w:pPr>
        <w:spacing w:after="0" w:line="235" w:lineRule="auto"/>
        <w:rPr>
          <w:sz w:val="20"/>
          <w:szCs w:val="20"/>
          <w:color w:val="auto"/>
        </w:rPr>
      </w:pPr>
      <w:r>
        <w:rPr>
          <w:rFonts w:ascii="Times New Roman" w:cs="Times New Roman" w:eastAsia="Times New Roman" w:hAnsi="Times New Roman"/>
          <w:sz w:val="17"/>
          <w:szCs w:val="17"/>
          <w:color w:val="auto"/>
        </w:rPr>
        <w:t> </w:t>
      </w:r>
    </w:p>
    <w:tbl>
      <w:tblPr>
        <w:tblLayout w:type="fixed"/>
        <w:tblInd w:w="0" w:type="dxa"/>
        <w:tblCellMar>
          <w:top w:w="0" w:type="dxa"/>
          <w:left w:w="0" w:type="dxa"/>
          <w:bottom w:w="0" w:type="dxa"/>
          <w:right w:w="0" w:type="dxa"/>
        </w:tblCellMar>
      </w:tblPr>
      <w:tr>
        <w:trPr>
          <w:trHeight w:val="223"/>
        </w:trPr>
        <w:tc>
          <w:tcPr>
            <w:tcW w:w="14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w:t>
            </w:r>
          </w:p>
        </w:tc>
        <w:tc>
          <w:tcPr>
            <w:tcW w:w="704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age</w:t>
            </w:r>
          </w:p>
        </w:tc>
        <w:tc>
          <w:tcPr>
            <w:tcW w:w="0" w:type="dxa"/>
            <w:vAlign w:val="bottom"/>
          </w:tcPr>
          <w:p>
            <w:pPr>
              <w:spacing w:after="0"/>
              <w:rPr>
                <w:sz w:val="1"/>
                <w:szCs w:val="1"/>
                <w:color w:val="auto"/>
              </w:rPr>
            </w:pPr>
          </w:p>
        </w:tc>
      </w:tr>
      <w:tr>
        <w:trPr>
          <w:trHeight w:val="147"/>
        </w:trPr>
        <w:tc>
          <w:tcPr>
            <w:tcW w:w="1480" w:type="dxa"/>
            <w:vAlign w:val="bottom"/>
            <w:vMerge w:val="continue"/>
          </w:tcPr>
          <w:p>
            <w:pPr>
              <w:spacing w:after="0"/>
              <w:rPr>
                <w:sz w:val="12"/>
                <w:szCs w:val="12"/>
                <w:color w:val="auto"/>
              </w:rPr>
            </w:pPr>
          </w:p>
        </w:tc>
        <w:tc>
          <w:tcPr>
            <w:tcW w:w="70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7.13</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Preferential Collection of Claims Against the Company</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7.14</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Notice of Default</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8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8       CONCERNING THE SECURITYHOLDERS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8.01</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Evidence of Action by Securityholders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8.02</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Proof of Execution by Securityholders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8.03</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Who May be Deemed Owners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8.04</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Certain Securities Owned by Company Disregarded</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8.05</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Actions Binding on Future Securityholders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8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9       SUPPLEMENTAL INDENTURES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9.01</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Supplemental Indentures Without the Consent of Securityholders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9.02</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Supplemental Indentures With Consent of Securityholders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9.03</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9.04</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Securities Affected by Supplemental Indentures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9.05</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Execution of Supplemental Indentures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8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10     SUCCESSOR ENTITY</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10.01</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Company May Consolidate, Etc.</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10.02</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Successor Entity Substituted</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8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11     SATISFACTION AND DISCHARGE</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11.01</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11.02</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Discharge of Obligations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11.03</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Deposited Moneys to be Held in Trust</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11.04</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of Moneys Held by Paying Agents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11.05</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 to Company</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8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12     IMMUNITY OF INCORPORATORS, STOCKHOLDERS, OFFICERS AND DIRECTORS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12.01</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 Recourse</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8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13     MISCELLANEOUS PROVISIONS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13.01</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on Successors and Assigns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13.02</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Actions by Successor</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4"/>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13.03</w:t>
            </w:r>
          </w:p>
        </w:tc>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Surrender of Company Powers</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19"/>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70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204"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t> </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ontents</w:t>
      </w:r>
    </w:p>
    <w:tbl>
      <w:tblPr>
        <w:tblLayout w:type="fixed"/>
        <w:tblInd w:w="0" w:type="dxa"/>
        <w:tblCellMar>
          <w:top w:w="0" w:type="dxa"/>
          <w:left w:w="0" w:type="dxa"/>
          <w:bottom w:w="0" w:type="dxa"/>
          <w:right w:w="0" w:type="dxa"/>
        </w:tblCellMar>
      </w:tblPr>
      <w:tr>
        <w:trPr>
          <w:trHeight w:val="223"/>
        </w:trPr>
        <w:tc>
          <w:tcPr>
            <w:tcW w:w="14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w:t>
            </w:r>
          </w:p>
        </w:tc>
        <w:tc>
          <w:tcPr>
            <w:tcW w:w="3460" w:type="dxa"/>
            <w:vAlign w:val="bottom"/>
          </w:tcPr>
          <w:p>
            <w:pPr>
              <w:spacing w:after="0"/>
              <w:rPr>
                <w:sz w:val="19"/>
                <w:szCs w:val="19"/>
                <w:color w:val="auto"/>
              </w:rPr>
            </w:pPr>
          </w:p>
        </w:tc>
        <w:tc>
          <w:tcPr>
            <w:tcW w:w="6360" w:type="dxa"/>
            <w:vAlign w:val="bottom"/>
            <w:gridSpan w:val="2"/>
          </w:tcPr>
          <w:p>
            <w:pPr>
              <w:jc w:val="right"/>
              <w:ind w:right="5080"/>
              <w:spacing w:after="0"/>
              <w:rPr>
                <w:sz w:val="20"/>
                <w:szCs w:val="20"/>
                <w:color w:val="auto"/>
              </w:rPr>
            </w:pPr>
            <w:r>
              <w:rPr>
                <w:rFonts w:ascii="Times New Roman" w:cs="Times New Roman" w:eastAsia="Times New Roman" w:hAnsi="Times New Roman"/>
                <w:sz w:val="17"/>
                <w:szCs w:val="17"/>
                <w:b w:val="1"/>
                <w:bCs w:val="1"/>
                <w:color w:val="auto"/>
              </w:rPr>
              <w:t>(CONTINUED)</w:t>
            </w: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3460" w:type="dxa"/>
            <w:vAlign w:val="bottom"/>
          </w:tcPr>
          <w:p>
            <w:pPr>
              <w:spacing w:after="0"/>
              <w:rPr>
                <w:sz w:val="14"/>
                <w:szCs w:val="14"/>
                <w:color w:val="auto"/>
              </w:rPr>
            </w:pPr>
          </w:p>
        </w:tc>
        <w:tc>
          <w:tcPr>
            <w:tcW w:w="6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age</w:t>
            </w:r>
          </w:p>
        </w:tc>
        <w:tc>
          <w:tcPr>
            <w:tcW w:w="0" w:type="dxa"/>
            <w:vAlign w:val="bottom"/>
          </w:tcPr>
          <w:p>
            <w:pPr>
              <w:spacing w:after="0"/>
              <w:rPr>
                <w:sz w:val="1"/>
                <w:szCs w:val="1"/>
                <w:color w:val="auto"/>
              </w:rPr>
            </w:pPr>
          </w:p>
        </w:tc>
      </w:tr>
      <w:tr>
        <w:trPr>
          <w:trHeight w:val="191"/>
        </w:trPr>
        <w:tc>
          <w:tcPr>
            <w:tcW w:w="14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w:t>
            </w:r>
          </w:p>
        </w:tc>
        <w:tc>
          <w:tcPr>
            <w:tcW w:w="3460" w:type="dxa"/>
            <w:vAlign w:val="bottom"/>
          </w:tcPr>
          <w:p>
            <w:pPr>
              <w:spacing w:after="0"/>
              <w:rPr>
                <w:sz w:val="16"/>
                <w:szCs w:val="16"/>
                <w:color w:val="auto"/>
              </w:rPr>
            </w:pPr>
          </w:p>
        </w:tc>
        <w:tc>
          <w:tcPr>
            <w:tcW w:w="6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34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13.04</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Notices</w:t>
            </w:r>
          </w:p>
        </w:tc>
        <w:tc>
          <w:tcPr>
            <w:tcW w:w="6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13.05</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Governing Law; Jury Trial Waiver</w:t>
            </w:r>
          </w:p>
        </w:tc>
        <w:tc>
          <w:tcPr>
            <w:tcW w:w="6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13.06</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Treatment of Securities as Debt</w:t>
            </w:r>
          </w:p>
        </w:tc>
        <w:tc>
          <w:tcPr>
            <w:tcW w:w="6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13.07</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Certificates and Opinions as to Conditions Precedent</w:t>
            </w:r>
          </w:p>
        </w:tc>
        <w:tc>
          <w:tcPr>
            <w:tcW w:w="6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13.08</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on Business Days</w:t>
            </w:r>
          </w:p>
        </w:tc>
        <w:tc>
          <w:tcPr>
            <w:tcW w:w="6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13.09</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Conflict with Trust Indenture Act</w:t>
            </w:r>
          </w:p>
        </w:tc>
        <w:tc>
          <w:tcPr>
            <w:tcW w:w="6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13.10</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Counterparts</w:t>
            </w:r>
          </w:p>
        </w:tc>
        <w:tc>
          <w:tcPr>
            <w:tcW w:w="6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13.11</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Separability</w:t>
            </w:r>
          </w:p>
        </w:tc>
        <w:tc>
          <w:tcPr>
            <w:tcW w:w="6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13.12</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Compliance Certificates</w:t>
            </w:r>
          </w:p>
        </w:tc>
        <w:tc>
          <w:tcPr>
            <w:tcW w:w="6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13.13</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Patriot Act</w:t>
            </w:r>
          </w:p>
        </w:tc>
        <w:tc>
          <w:tcPr>
            <w:tcW w:w="6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13.14</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Force Majeure</w:t>
            </w:r>
          </w:p>
        </w:tc>
        <w:tc>
          <w:tcPr>
            <w:tcW w:w="6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13.12</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Table of Contents; Headings</w:t>
            </w:r>
          </w:p>
        </w:tc>
        <w:tc>
          <w:tcPr>
            <w:tcW w:w="6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34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14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jc w:val="right"/>
              <w:ind w:right="5488"/>
              <w:spacing w:after="0"/>
              <w:rPr>
                <w:sz w:val="20"/>
                <w:szCs w:val="20"/>
                <w:color w:val="auto"/>
              </w:rPr>
            </w:pPr>
            <w:r>
              <w:rPr>
                <w:rFonts w:ascii="Times New Roman" w:cs="Times New Roman" w:eastAsia="Times New Roman" w:hAnsi="Times New Roman"/>
                <w:sz w:val="14"/>
                <w:szCs w:val="14"/>
                <w:color w:val="auto"/>
              </w:rPr>
              <w:t>iv.</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04" w:right="2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color w:val="auto"/>
        </w:rPr>
        <w:t> </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ndenture</w:t>
      </w:r>
      <w:r>
        <w:rPr>
          <w:rFonts w:ascii="Times New Roman" w:cs="Times New Roman" w:eastAsia="Times New Roman" w:hAnsi="Times New Roman"/>
          <w:sz w:val="14"/>
          <w:szCs w:val="14"/>
          <w:color w:val="auto"/>
        </w:rPr>
        <w:t>, dated as of [•], 20__, among WeRide, Inc., an exempted company with limited liability incorporated under the laws of the Cayman Islands (the “Company”), and [</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rustee</w:t>
      </w:r>
      <w:r>
        <w:rPr>
          <w:rFonts w:ascii="Times New Roman" w:cs="Times New Roman" w:eastAsia="Times New Roman" w:hAnsi="Times New Roman"/>
          <w:sz w:val="14"/>
          <w:szCs w:val="14"/>
          <w:color w:val="auto"/>
        </w:rPr>
        <w: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trustee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hereas</w:t>
      </w:r>
      <w:r>
        <w:rPr>
          <w:rFonts w:ascii="Times New Roman" w:cs="Times New Roman" w:eastAsia="Times New Roman" w:hAnsi="Times New Roman"/>
          <w:sz w:val="14"/>
          <w:szCs w:val="14"/>
          <w:color w:val="auto"/>
        </w:rPr>
        <w:t>, for its lawful corporate purposes, the Company has duly authorized the execution and delivery of this Indenture to provide for the issuance of debt securities (hereinafter 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as the “Securities”), in an unlimited aggregate principal amount to be issued from time to time in one or more series as in this Indenture provided, as registered Securities without coupons,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authenticated by the certificate of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hereas</w:t>
      </w:r>
      <w:r>
        <w:rPr>
          <w:rFonts w:ascii="Times New Roman" w:cs="Times New Roman" w:eastAsia="Times New Roman" w:hAnsi="Times New Roman"/>
          <w:sz w:val="14"/>
          <w:szCs w:val="14"/>
          <w:color w:val="auto"/>
        </w:rPr>
        <w:t>, to provide the terms and conditions upon which the Securities are to be authenticated, issued and delivered, the Company has duly authorized the execution of this Indenture;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hereas</w:t>
      </w:r>
      <w:r>
        <w:rPr>
          <w:rFonts w:ascii="Times New Roman" w:cs="Times New Roman" w:eastAsia="Times New Roman" w:hAnsi="Times New Roman"/>
          <w:sz w:val="14"/>
          <w:szCs w:val="14"/>
          <w:color w:val="auto"/>
        </w:rPr>
        <w:t>, all things necessary to make this Indenture a valid agreement of the Company, in accordance with its terms, have been done.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9"/>
          <w:szCs w:val="9"/>
          <w:b w:val="1"/>
          <w:bCs w:val="1"/>
          <w:color w:val="auto"/>
        </w:rPr>
        <w:t>ow</w:t>
      </w:r>
      <w:r>
        <w:rPr>
          <w:rFonts w:ascii="Times New Roman" w:cs="Times New Roman" w:eastAsia="Times New Roman" w:hAnsi="Times New Roman"/>
          <w:sz w:val="14"/>
          <w:szCs w:val="14"/>
          <w:b w:val="1"/>
          <w:bCs w:val="1"/>
          <w:color w:val="auto"/>
        </w:rPr>
        <w:t>, T</w:t>
      </w:r>
      <w:r>
        <w:rPr>
          <w:rFonts w:ascii="Times New Roman" w:cs="Times New Roman" w:eastAsia="Times New Roman" w:hAnsi="Times New Roman"/>
          <w:sz w:val="9"/>
          <w:szCs w:val="9"/>
          <w:b w:val="1"/>
          <w:bCs w:val="1"/>
          <w:color w:val="auto"/>
        </w:rPr>
        <w:t>herefore</w:t>
      </w:r>
      <w:r>
        <w:rPr>
          <w:rFonts w:ascii="Times New Roman" w:cs="Times New Roman" w:eastAsia="Times New Roman" w:hAnsi="Times New Roman"/>
          <w:sz w:val="14"/>
          <w:szCs w:val="14"/>
          <w:color w:val="auto"/>
        </w:rPr>
        <w:t>, in consideration of the premises and the purchase of the Securities by the holders thereof, it is mutually covenanted and agreed as follows for the equal and ratable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the holders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1.01         Definitions of Terms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terms defined in this Section (except as in this Indenture or any indenture supplemental hereto otherwise expressly provided or unless the context otherwise requires) for all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Indenture and of any indenture supplemental hereto shall have the respective meanings specified in this Section and shall include the plural as well as the singular. All other terms used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Indenture that are defined in the Trust Indenture Act of 1939, as amended, or that are by reference in such Act defined in the Securities Act of 1933, as amended (except as herein or any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hereto otherwise expressly provided or unless the context otherwise requires), shall have the meanings assigned to such terms in said Trust Indenture Act and in said Securities Act as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force at the date of the execution of this instrument.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Authenticating Agent</w:t>
      </w:r>
      <w:r>
        <w:rPr>
          <w:rFonts w:ascii="Times New Roman" w:cs="Times New Roman" w:eastAsia="Times New Roman" w:hAnsi="Times New Roman"/>
          <w:sz w:val="14"/>
          <w:szCs w:val="14"/>
          <w:color w:val="auto"/>
        </w:rPr>
        <w:t>” means the Trustee or an authenticating agent with respect to all or any of the series of Securities appointed by the Trustee pursuant to Section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Bankruptcy Law</w:t>
      </w:r>
      <w:r>
        <w:rPr>
          <w:rFonts w:ascii="Times New Roman" w:cs="Times New Roman" w:eastAsia="Times New Roman" w:hAnsi="Times New Roman"/>
          <w:sz w:val="14"/>
          <w:szCs w:val="14"/>
          <w:color w:val="auto"/>
        </w:rPr>
        <w:t>” means Title 11, U.S. Code, or any similar federal or state law for the relief of debtors.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of Directors</w:t>
      </w:r>
      <w:r>
        <w:rPr>
          <w:rFonts w:ascii="Times New Roman" w:cs="Times New Roman" w:eastAsia="Times New Roman" w:hAnsi="Times New Roman"/>
          <w:sz w:val="14"/>
          <w:szCs w:val="14"/>
          <w:color w:val="auto"/>
        </w:rPr>
        <w:t>” means the Board of Directors (or the functional equivalent thereof) of the Company or any duly authorized committee of such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Company to have been duly adopted by the Board of Directors (or duly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authorized committee thereof) and to be in full force and effect on the date of such certification.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Business Day</w:t>
      </w:r>
      <w:r>
        <w:rPr>
          <w:rFonts w:ascii="Times New Roman" w:cs="Times New Roman" w:eastAsia="Times New Roman" w:hAnsi="Times New Roman"/>
          <w:sz w:val="14"/>
          <w:szCs w:val="14"/>
          <w:color w:val="auto"/>
        </w:rPr>
        <w:t>” means, with respect to any series of Securities, any day other than a day on which federal or state banking institutions in the Cayman Islands, in the Borough of Manhattan, the City of New York, or in the city of the Corporate Trust Office of the Trustee, are authorized or obligated by law, executive order or regulation to close.  </w:t>
      </w:r>
    </w:p>
    <w:p>
      <w:pPr>
        <w:spacing w:after="0" w:line="153"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means WeRide, Inc., an exempted company with limited liability incorporated under the laws of the Cayman Islands, and, subject to the provisions of Article Ten, shall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include its successors and assigns.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Corporate Trust Office</w:t>
      </w:r>
      <w:r>
        <w:rPr>
          <w:rFonts w:ascii="Times New Roman" w:cs="Times New Roman" w:eastAsia="Times New Roman" w:hAnsi="Times New Roman"/>
          <w:sz w:val="14"/>
          <w:szCs w:val="14"/>
          <w:color w:val="auto"/>
        </w:rPr>
        <w:t>” means the office of the Trustee at which, at any particular time, its corporate trust business shall be principally administered, which office at the date hereof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located at </w:t>
      </w:r>
      <w:r>
        <w:rPr>
          <w:rFonts w:ascii="Times New Roman" w:cs="Times New Roman" w:eastAsia="Times New Roman" w:hAnsi="Times New Roman"/>
          <w:sz w:val="14"/>
          <w:szCs w:val="14"/>
          <w:u w:val="single" w:color="auto"/>
          <w:color w:val="auto"/>
        </w:rPr>
        <w:t>                                                                                                                               </w:t>
      </w:r>
      <w:r>
        <w:rPr>
          <w:rFonts w:ascii="Times New Roman" w:cs="Times New Roman" w:eastAsia="Times New Roman" w:hAnsi="Times New Roman"/>
          <w:sz w:val="14"/>
          <w:szCs w:val="14"/>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Defaulted Interest</w:t>
      </w:r>
      <w:r>
        <w:rPr>
          <w:rFonts w:ascii="Times New Roman" w:cs="Times New Roman" w:eastAsia="Times New Roman" w:hAnsi="Times New Roman"/>
          <w:sz w:val="14"/>
          <w:szCs w:val="14"/>
          <w:color w:val="auto"/>
        </w:rPr>
        <w:t>” has the meaning set forth in Section 2.03.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Depositary</w:t>
      </w:r>
      <w:r>
        <w:rPr>
          <w:rFonts w:ascii="Times New Roman" w:cs="Times New Roman" w:eastAsia="Times New Roman" w:hAnsi="Times New Roman"/>
          <w:sz w:val="14"/>
          <w:szCs w:val="14"/>
          <w:color w:val="auto"/>
        </w:rPr>
        <w:t>” means, with respect to Securities of any series for which the Company shall determine that such Securities will be issued as a Global Security, The Depository Trust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another clearing agency, or any successor registered as a clearing agency under the Exchange Act, or other applicable statute or regulation, which, in each case, shall be designated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either Section 2.01 or 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Event of Default</w:t>
      </w:r>
      <w:r>
        <w:rPr>
          <w:rFonts w:ascii="Times New Roman" w:cs="Times New Roman" w:eastAsia="Times New Roman" w:hAnsi="Times New Roman"/>
          <w:sz w:val="14"/>
          <w:szCs w:val="14"/>
          <w:color w:val="auto"/>
        </w:rPr>
        <w:t>” means, with respect to Securities of a particular series, any event specified in Section 6.01, continued for the period of time, if any, therein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means the United States Securities and Exchange Act of 1934, as amended, and the rules and regulations promulgated by the Commission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given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mailed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notify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sent</w:t>
      </w:r>
      <w:r>
        <w:rPr>
          <w:rFonts w:ascii="Times New Roman" w:cs="Times New Roman" w:eastAsia="Times New Roman" w:hAnsi="Times New Roman"/>
          <w:sz w:val="14"/>
          <w:szCs w:val="14"/>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  </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Global Security</w:t>
      </w:r>
      <w:r>
        <w:rPr>
          <w:rFonts w:ascii="Times New Roman" w:cs="Times New Roman" w:eastAsia="Times New Roman" w:hAnsi="Times New Roman"/>
          <w:sz w:val="14"/>
          <w:szCs w:val="14"/>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  </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Governmental Obligations</w:t>
      </w:r>
      <w:r>
        <w:rPr>
          <w:rFonts w:ascii="Times New Roman" w:cs="Times New Roman" w:eastAsia="Times New Roman" w:hAnsi="Times New Roman"/>
          <w:sz w:val="14"/>
          <w:szCs w:val="14"/>
          <w:color w:val="auto"/>
        </w:rPr>
        <w:t>” means securities that are (a) direct obligations of the United States of America for the payment of which its full faith and credit is pledged or (b) obligations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Person controlled or supervised by and acting as an agency or instrumentality of the United States of America, the payment of which is unconditionally guaranteed as a full faith and credit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the United States of America that, in either case, are not callable or redeemable at the option of the issuer thereof at any time prior to the stated maturity of the Securities, and shall also include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depositary receipt issued by a bank or trust company as custodian with respect to any such Governmental Obligation or a specific payment of principal of or interest on any such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Obligation held by such custodian for the account of the holder of such depositary receipt; provided, however, that (except as required by law) such custodian is not authorized to make any deduction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the amount payable to the holder of such depositary receipt from any amount received by the custodian in respect of the Governmental Obligation or the specific payment of principal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on the Governmental Obligation evidenced by such depositary receipt.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herein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hereof</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hereunder</w:t>
      </w:r>
      <w:r>
        <w:rPr>
          <w:rFonts w:ascii="Times New Roman" w:cs="Times New Roman" w:eastAsia="Times New Roman" w:hAnsi="Times New Roman"/>
          <w:sz w:val="14"/>
          <w:szCs w:val="14"/>
          <w:color w:val="auto"/>
        </w:rPr>
        <w:t>”, and other words of similar import, refer to this Indenture as a whole and not to any particular Article, Section or other subdivision.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  </w:t>
      </w:r>
    </w:p>
    <w:p>
      <w:pPr>
        <w:spacing w:after="0" w:line="153"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Interest Payment Date</w:t>
      </w:r>
      <w:r>
        <w:rPr>
          <w:rFonts w:ascii="Times New Roman" w:cs="Times New Roman" w:eastAsia="Times New Roman" w:hAnsi="Times New Roman"/>
          <w:sz w:val="14"/>
          <w:szCs w:val="14"/>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  </w:t>
      </w:r>
    </w:p>
    <w:p>
      <w:pPr>
        <w:spacing w:after="0" w:line="153"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w:t>
      </w:r>
      <w:r>
        <w:rPr>
          <w:rFonts w:ascii="Times New Roman" w:cs="Times New Roman" w:eastAsia="Times New Roman" w:hAnsi="Times New Roman"/>
          <w:sz w:val="14"/>
          <w:szCs w:val="14"/>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  </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Officer’s Certificate</w:t>
      </w:r>
      <w:r>
        <w:rPr>
          <w:rFonts w:ascii="Times New Roman" w:cs="Times New Roman" w:eastAsia="Times New Roman" w:hAnsi="Times New Roman"/>
          <w:sz w:val="14"/>
          <w:szCs w:val="14"/>
          <w:color w:val="auto"/>
        </w:rPr>
        <w:t>” means a certificate signed by any Officer. Each such certificate shall include the statements provided for in Section 13.07, if and to the extent required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provisions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Opinion of Counsel</w:t>
      </w:r>
      <w:r>
        <w:rPr>
          <w:rFonts w:ascii="Times New Roman" w:cs="Times New Roman" w:eastAsia="Times New Roman" w:hAnsi="Times New Roman"/>
          <w:sz w:val="14"/>
          <w:szCs w:val="14"/>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  </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Outstanding</w:t>
      </w:r>
      <w:r>
        <w:rPr>
          <w:rFonts w:ascii="Times New Roman" w:cs="Times New Roman" w:eastAsia="Times New Roman" w:hAnsi="Times New Roman"/>
          <w:sz w:val="14"/>
          <w:szCs w:val="14"/>
          <w:color w:val="auto"/>
        </w:rPr>
        <w:t>”, when used with reference to Securities of any series, means, subject to the provisions of Section 8.04, as of any particular time, all Securities of that series theretofore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authenticated and delivered by the Trustee under this Indenture, except (a) Securities theretofore canceled by the Trustee or any paying agent, or delivered to the Trustee or any paying agent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cancellation or that have previously been canceled; (b) Securities or portions thereof for the payment or redemption of which moneys or Governmental Obligations in the necessary amount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been deposited in trust with the Trustee or with any paying agent (other than the Company) or shall have been set aside and segregated in trust by the Company (if the Company shall act as its 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paying agent); provided, however, that if such Securities or portions of such Securities are to be redeemed prior to the maturity thereof, notice of such redemption shall have been given as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Article Three, or provision satisfactory to the Trustee shall have been made for giving such notice; and (c) Securities in lieu of or in substitution for which other Securities shall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authenticated and delivered pursuant to the terms of Section 2.07.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Person</w:t>
      </w:r>
      <w:r>
        <w:rPr>
          <w:rFonts w:ascii="Times New Roman" w:cs="Times New Roman" w:eastAsia="Times New Roman" w:hAnsi="Times New Roman"/>
          <w:sz w:val="14"/>
          <w:szCs w:val="14"/>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  </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Predecessor Security</w:t>
      </w:r>
      <w:r>
        <w:rPr>
          <w:rFonts w:ascii="Times New Roman" w:cs="Times New Roman" w:eastAsia="Times New Roman" w:hAnsi="Times New Roman"/>
          <w:sz w:val="14"/>
          <w:szCs w:val="14"/>
          <w:color w:val="auto"/>
        </w:rPr>
        <w:t>” of any particular Security means every previous Security evidencing all or a portion of the same debt as that evidenced by such particular Security; and,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purposes of this definition, any Security authenticated and delivered under Section 2.07 in lieu of a lost, destroyed or stolen Security shall be deemed to evidence the same debt as the lost, destroyed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stolen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Responsible Officer</w:t>
      </w:r>
      <w:r>
        <w:rPr>
          <w:rFonts w:ascii="Times New Roman" w:cs="Times New Roman" w:eastAsia="Times New Roman" w:hAnsi="Times New Roman"/>
          <w:sz w:val="14"/>
          <w:szCs w:val="14"/>
          <w:color w:val="auto"/>
        </w:rPr>
        <w:t>” when used with respect to the Trustee means any officer within the Corporate Trust Office of the Trustee (or any successor group of the Trustee) or any other officer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Trustee customarily performing functions similar to those performed by any of the above designated officers and also means, with respect to a particular corporate trust matter, any other officer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whom such matter is referred because of his or her knowledge of and familiarity with the particular subject and in each case who shall have direct responsibility for the administration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has the meaning stated in the first recital of this Indenture and more particularly means any Securities authenticated and delivered under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means the Securities Act of 1933,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Securityholder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holder of Securities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registered holder</w:t>
      </w:r>
      <w:r>
        <w:rPr>
          <w:rFonts w:ascii="Times New Roman" w:cs="Times New Roman" w:eastAsia="Times New Roman" w:hAnsi="Times New Roman"/>
          <w:sz w:val="14"/>
          <w:szCs w:val="14"/>
          <w:color w:val="auto"/>
        </w:rPr>
        <w:t>”, or other similar term, means the Person or Persons in whose name or names a particular Security is registered on the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Register kept for that purpose in accordance with the terms of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 Register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i w:val="1"/>
          <w:iCs w:val="1"/>
          <w:color w:val="auto"/>
        </w:rPr>
        <w:t>Security Registrar</w:t>
      </w:r>
      <w:r>
        <w:rPr>
          <w:rFonts w:ascii="Times New Roman" w:cs="Times New Roman" w:eastAsia="Times New Roman" w:hAnsi="Times New Roman"/>
          <w:sz w:val="14"/>
          <w:szCs w:val="14"/>
          <w:color w:val="auto"/>
        </w:rPr>
        <w:t>” shall have the meanings as set forth in Section 2.05.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Subsidiary</w:t>
      </w:r>
      <w:r>
        <w:rPr>
          <w:rFonts w:ascii="Times New Roman" w:cs="Times New Roman" w:eastAsia="Times New Roman" w:hAnsi="Times New Roman"/>
          <w:sz w:val="14"/>
          <w:szCs w:val="14"/>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means _________________________, and, subject to the provisions of Article Seven, shall also include its successors and assigns, and, if at any time there is more than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Person acting in such capacity hereunder, “Trustee” shall mean each such Person. The term “Trustee” as used with respect to a particular series of the Securities shall mean the trustee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that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Trust Indenture Act</w:t>
      </w:r>
      <w:r>
        <w:rPr>
          <w:rFonts w:ascii="Times New Roman" w:cs="Times New Roman" w:eastAsia="Times New Roman" w:hAnsi="Times New Roman"/>
          <w:sz w:val="14"/>
          <w:szCs w:val="14"/>
          <w:color w:val="auto"/>
        </w:rPr>
        <w:t>” means the Trust Indenture Act of 1939,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“U.S.A. Patriot Act” </w:t>
      </w:r>
      <w:r>
        <w:rPr>
          <w:rFonts w:ascii="Times New Roman" w:cs="Times New Roman" w:eastAsia="Times New Roman" w:hAnsi="Times New Roman"/>
          <w:sz w:val="14"/>
          <w:szCs w:val="14"/>
          <w:color w:val="auto"/>
        </w:rPr>
        <w:t>means the Uniting and Strengthening America by Providing Appropriate Tools Required to Intercept and Obstruct Terrorism Act of 2001, Pub. L. 107-56,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signed into law October 26, 2001.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 DESCRIPTION, TERMS, EXECUTION, REGISTRATION AND EXCHANGE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2.01         Designation and Terms of Securities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aggregate principal amount of Securities that may be authenticated and delivered under this Indenture is unlimited. The Securities may be issued in one or more series 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aggregate principal amount of Securities of that series from time to time authorized by or pursuant to a Board Resolution or pursuant to one or more indentures supplemental hereto.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initial issuance of Securities of any series, there shall be established in or pursuant to a Board Resolution, and set forth in an Officer’s Certificate, or established in one or more indentures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(1)            </w:t>
      </w:r>
      <w:r>
        <w:rPr>
          <w:rFonts w:ascii="Times New Roman" w:cs="Times New Roman" w:eastAsia="Times New Roman" w:hAnsi="Times New Roman"/>
          <w:sz w:val="14"/>
          <w:szCs w:val="14"/>
          <w:color w:val="auto"/>
        </w:rPr>
        <w:t>the title of the Securities of the series (which shall distinguish the Securities of that series from all other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1529"/>
        <w:spacing w:after="0" w:line="266" w:lineRule="auto"/>
        <w:rPr>
          <w:sz w:val="20"/>
          <w:szCs w:val="20"/>
          <w:color w:val="auto"/>
        </w:rPr>
      </w:pPr>
      <w:r>
        <w:rPr>
          <w:rFonts w:ascii="Times New Roman" w:cs="Times New Roman" w:eastAsia="Times New Roman" w:hAnsi="Times New Roman"/>
          <w:sz w:val="14"/>
          <w:szCs w:val="14"/>
          <w:b w:val="1"/>
          <w:bCs w:val="1"/>
          <w:color w:val="auto"/>
        </w:rPr>
        <w:t>(2)            </w:t>
      </w:r>
      <w:r>
        <w:rPr>
          <w:rFonts w:ascii="Times New Roman" w:cs="Times New Roman" w:eastAsia="Times New Roman" w:hAnsi="Times New Roman"/>
          <w:sz w:val="14"/>
          <w:szCs w:val="14"/>
          <w:color w:val="auto"/>
        </w:rPr>
        <w:t>any limit upon the aggregate principal amount of the Securities of that series that may be authenticated and delivered under this Indenture (except for Securities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authenticated and delivered upon registration of transfer of, or in exchange for, or in lieu of, other Securities of that series);  </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(3)            </w:t>
      </w:r>
      <w:r>
        <w:rPr>
          <w:rFonts w:ascii="Times New Roman" w:cs="Times New Roman" w:eastAsia="Times New Roman" w:hAnsi="Times New Roman"/>
          <w:sz w:val="14"/>
          <w:szCs w:val="14"/>
          <w:color w:val="auto"/>
        </w:rPr>
        <w:t>the maturity date or dates on which the principal of the Securities of the series is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(4)            </w:t>
      </w:r>
      <w:r>
        <w:rPr>
          <w:rFonts w:ascii="Times New Roman" w:cs="Times New Roman" w:eastAsia="Times New Roman" w:hAnsi="Times New Roman"/>
          <w:sz w:val="14"/>
          <w:szCs w:val="14"/>
          <w:color w:val="auto"/>
        </w:rPr>
        <w:t>the form of the Securities of the series including the form of the certificate of authentication for such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(5)            </w:t>
      </w:r>
      <w:r>
        <w:rPr>
          <w:rFonts w:ascii="Times New Roman" w:cs="Times New Roman" w:eastAsia="Times New Roman" w:hAnsi="Times New Roman"/>
          <w:sz w:val="14"/>
          <w:szCs w:val="14"/>
          <w:color w:val="auto"/>
        </w:rPr>
        <w:t>the applicability of any guarantees;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(6)            </w:t>
      </w:r>
      <w:r>
        <w:rPr>
          <w:rFonts w:ascii="Times New Roman" w:cs="Times New Roman" w:eastAsia="Times New Roman" w:hAnsi="Times New Roman"/>
          <w:sz w:val="14"/>
          <w:szCs w:val="14"/>
          <w:color w:val="auto"/>
        </w:rPr>
        <w:t>whether or not the Securities will be secured or unsecured, and the terms of any secured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(7)            </w:t>
      </w:r>
      <w:r>
        <w:rPr>
          <w:rFonts w:ascii="Times New Roman" w:cs="Times New Roman" w:eastAsia="Times New Roman" w:hAnsi="Times New Roman"/>
          <w:sz w:val="14"/>
          <w:szCs w:val="14"/>
          <w:color w:val="auto"/>
        </w:rPr>
        <w:t>whether the Securities rank as senior debt, senior subordinated debt, subordinated debt or any combination thereof, and the terms of any subordination;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(8)            </w:t>
      </w:r>
      <w:r>
        <w:rPr>
          <w:rFonts w:ascii="Times New Roman" w:cs="Times New Roman" w:eastAsia="Times New Roman" w:hAnsi="Times New Roman"/>
          <w:sz w:val="14"/>
          <w:szCs w:val="14"/>
          <w:color w:val="auto"/>
        </w:rPr>
        <w:t>if the price (expressed as a percentage of the aggregate principal amount thereof) at which such Securities will be issued is a price other than the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thereof, the portion of the principal amount thereof payable upon declaration of acceleration of the maturity thereof, or if applicable, the portion of the principal amount of such Securities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convertible into another security or the method by which any such portion shall be determined;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1529"/>
        <w:spacing w:after="0" w:line="266" w:lineRule="auto"/>
        <w:rPr>
          <w:sz w:val="20"/>
          <w:szCs w:val="20"/>
          <w:color w:val="auto"/>
        </w:rPr>
      </w:pPr>
      <w:r>
        <w:rPr>
          <w:rFonts w:ascii="Times New Roman" w:cs="Times New Roman" w:eastAsia="Times New Roman" w:hAnsi="Times New Roman"/>
          <w:sz w:val="14"/>
          <w:szCs w:val="14"/>
          <w:b w:val="1"/>
          <w:bCs w:val="1"/>
          <w:color w:val="auto"/>
        </w:rPr>
        <w:t>(9)            </w:t>
      </w:r>
      <w:r>
        <w:rPr>
          <w:rFonts w:ascii="Times New Roman" w:cs="Times New Roman" w:eastAsia="Times New Roman" w:hAnsi="Times New Roman"/>
          <w:sz w:val="14"/>
          <w:szCs w:val="14"/>
          <w:color w:val="auto"/>
        </w:rPr>
        <w:t>the interest rate or rates, which may be fixed or variable, or the method for determining the rate and the date interest will begin to accrue, the dates interest will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payable and the regular record dates for interest payment dates or the method for determining such dates;  </w:t>
      </w:r>
    </w:p>
    <w:p>
      <w:pPr>
        <w:spacing w:after="0" w:line="15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(10)          </w:t>
      </w:r>
      <w:r>
        <w:rPr>
          <w:rFonts w:ascii="Times New Roman" w:cs="Times New Roman" w:eastAsia="Times New Roman" w:hAnsi="Times New Roman"/>
          <w:sz w:val="14"/>
          <w:szCs w:val="14"/>
          <w:color w:val="auto"/>
        </w:rPr>
        <w:t>the Company’s right, if any, to defer the payment of interest and the maximum length of any such deferral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1529"/>
        <w:spacing w:after="0" w:line="266" w:lineRule="auto"/>
        <w:rPr>
          <w:sz w:val="20"/>
          <w:szCs w:val="20"/>
          <w:color w:val="auto"/>
        </w:rPr>
      </w:pPr>
      <w:r>
        <w:rPr>
          <w:rFonts w:ascii="Times New Roman" w:cs="Times New Roman" w:eastAsia="Times New Roman" w:hAnsi="Times New Roman"/>
          <w:sz w:val="14"/>
          <w:szCs w:val="14"/>
          <w:b w:val="1"/>
          <w:bCs w:val="1"/>
          <w:color w:val="auto"/>
        </w:rPr>
        <w:t>(11)          </w:t>
      </w:r>
      <w:r>
        <w:rPr>
          <w:rFonts w:ascii="Times New Roman" w:cs="Times New Roman" w:eastAsia="Times New Roman" w:hAnsi="Times New Roman"/>
          <w:sz w:val="14"/>
          <w:szCs w:val="14"/>
          <w:color w:val="auto"/>
        </w:rPr>
        <w:t>if applicable, the date or dates after which, or the period or periods during which, and the price or prices at which, the Company may at its option, redeem the series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Securities pursuant to any optional or provisional redemption provisions and the terms of those redemption provisions;  </w:t>
      </w:r>
    </w:p>
    <w:p>
      <w:pPr>
        <w:spacing w:after="0" w:line="153" w:lineRule="exact"/>
        <w:rPr>
          <w:sz w:val="20"/>
          <w:szCs w:val="20"/>
          <w:color w:val="auto"/>
        </w:rPr>
      </w:pPr>
    </w:p>
    <w:p>
      <w:pPr>
        <w:ind w:firstLine="1529"/>
        <w:spacing w:after="0" w:line="266" w:lineRule="auto"/>
        <w:rPr>
          <w:sz w:val="20"/>
          <w:szCs w:val="20"/>
          <w:color w:val="auto"/>
        </w:rPr>
      </w:pPr>
      <w:r>
        <w:rPr>
          <w:rFonts w:ascii="Times New Roman" w:cs="Times New Roman" w:eastAsia="Times New Roman" w:hAnsi="Times New Roman"/>
          <w:sz w:val="14"/>
          <w:szCs w:val="14"/>
          <w:b w:val="1"/>
          <w:bCs w:val="1"/>
          <w:color w:val="auto"/>
        </w:rPr>
        <w:t>(12)          </w:t>
      </w:r>
      <w:r>
        <w:rPr>
          <w:rFonts w:ascii="Times New Roman" w:cs="Times New Roman" w:eastAsia="Times New Roman" w:hAnsi="Times New Roman"/>
          <w:sz w:val="14"/>
          <w:szCs w:val="14"/>
          <w:color w:val="auto"/>
        </w:rPr>
        <w:t>the date or dates, if any, on which, and the price or prices at which the Company is obligated, pursuant to any mandatory sinking fund or analogous fund provisions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otherwise, to redeem, or at the Securityholder’s option to purchase, the series of Securities and the currency or currency unit in which the Securities are payable;  </w:t>
      </w:r>
    </w:p>
    <w:p>
      <w:pPr>
        <w:spacing w:after="0" w:line="15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(13)          </w:t>
      </w:r>
      <w:r>
        <w:rPr>
          <w:rFonts w:ascii="Times New Roman" w:cs="Times New Roman" w:eastAsia="Times New Roman" w:hAnsi="Times New Roman"/>
          <w:sz w:val="14"/>
          <w:szCs w:val="14"/>
          <w:color w:val="auto"/>
        </w:rPr>
        <w:t>the denominations in which the Securities of the series shall be issuable, if other than denominations of one thousand U.S. dollars ($1,000) or any integral multiple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1529"/>
        <w:spacing w:after="0" w:line="266" w:lineRule="auto"/>
        <w:rPr>
          <w:sz w:val="20"/>
          <w:szCs w:val="20"/>
          <w:color w:val="auto"/>
        </w:rPr>
      </w:pPr>
      <w:r>
        <w:rPr>
          <w:rFonts w:ascii="Times New Roman" w:cs="Times New Roman" w:eastAsia="Times New Roman" w:hAnsi="Times New Roman"/>
          <w:sz w:val="14"/>
          <w:szCs w:val="14"/>
          <w:b w:val="1"/>
          <w:bCs w:val="1"/>
          <w:color w:val="auto"/>
        </w:rPr>
        <w:t>(14)          </w:t>
      </w:r>
      <w:r>
        <w:rPr>
          <w:rFonts w:ascii="Times New Roman" w:cs="Times New Roman" w:eastAsia="Times New Roman" w:hAnsi="Times New Roman"/>
          <w:sz w:val="14"/>
          <w:szCs w:val="14"/>
          <w:color w:val="auto"/>
        </w:rPr>
        <w:t>any and all terms, if applicable, relating to any auction or remarketing of the Securities of that series and any security for the obligations of the Company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 to such Securities and any other terms which may be advisable in connection with the marketing of Securities of that series;  </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firstLine="1529"/>
        <w:spacing w:after="0" w:line="266" w:lineRule="auto"/>
        <w:rPr>
          <w:sz w:val="20"/>
          <w:szCs w:val="20"/>
          <w:color w:val="auto"/>
        </w:rPr>
      </w:pPr>
      <w:r>
        <w:rPr>
          <w:rFonts w:ascii="Times New Roman" w:cs="Times New Roman" w:eastAsia="Times New Roman" w:hAnsi="Times New Roman"/>
          <w:sz w:val="14"/>
          <w:szCs w:val="14"/>
          <w:b w:val="1"/>
          <w:bCs w:val="1"/>
          <w:color w:val="auto"/>
        </w:rPr>
        <w:t>(15)          </w:t>
      </w:r>
      <w:r>
        <w:rPr>
          <w:rFonts w:ascii="Times New Roman" w:cs="Times New Roman" w:eastAsia="Times New Roman" w:hAnsi="Times New Roman"/>
          <w:sz w:val="14"/>
          <w:szCs w:val="14"/>
          <w:color w:val="auto"/>
        </w:rPr>
        <w:t>whether the Securities of the series shall be issued in whole or in part in the form of a Global Security or Securities; the terms and conditions, if any, upon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Global Security or Securities may be exchanged in whole or in part for other individual Securities; and the Depositary for such Global Security or Securities;  </w:t>
      </w:r>
    </w:p>
    <w:p>
      <w:pPr>
        <w:spacing w:after="0" w:line="15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(16)          </w:t>
      </w:r>
      <w:r>
        <w:rPr>
          <w:rFonts w:ascii="Times New Roman" w:cs="Times New Roman" w:eastAsia="Times New Roman" w:hAnsi="Times New Roman"/>
          <w:sz w:val="14"/>
          <w:szCs w:val="14"/>
          <w:color w:val="auto"/>
        </w:rPr>
        <w:t>if applicable, the provisions relating to conversion or exchange of any Securities of the series and the terms and conditions upon which such Securities will be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convertible or exchangeable, including the conversion or exchange price, as applicable, or how it will be calculated and may be adjusted, any mandatory or optional (at the Company’s option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option) conversion or exchange features, the applicable conversion or exchange period and the manner of settlement for any conversion or exchange, which may, without limitation, include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payment of cash as well as the delivery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(17)          </w:t>
      </w:r>
      <w:r>
        <w:rPr>
          <w:rFonts w:ascii="Times New Roman" w:cs="Times New Roman" w:eastAsia="Times New Roman" w:hAnsi="Times New Roman"/>
          <w:sz w:val="14"/>
          <w:szCs w:val="14"/>
          <w:color w:val="auto"/>
        </w:rPr>
        <w:t>if other than the full principal amount thereof, the portion of the principal amount of Securities of the series which shall be payable upon declaration of acceleration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the maturity thereof pursuant to Section 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(18)          </w:t>
      </w:r>
      <w:r>
        <w:rPr>
          <w:rFonts w:ascii="Times New Roman" w:cs="Times New Roman" w:eastAsia="Times New Roman" w:hAnsi="Times New Roman"/>
          <w:sz w:val="14"/>
          <w:szCs w:val="14"/>
          <w:color w:val="auto"/>
        </w:rPr>
        <w:t>additions to or changes in the covenants applicable to the series of Securities being issued, including, among others, the consolidation, merger or sale covenant;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1529"/>
        <w:spacing w:after="0" w:line="266" w:lineRule="auto"/>
        <w:rPr>
          <w:sz w:val="20"/>
          <w:szCs w:val="20"/>
          <w:color w:val="auto"/>
        </w:rPr>
      </w:pPr>
      <w:r>
        <w:rPr>
          <w:rFonts w:ascii="Times New Roman" w:cs="Times New Roman" w:eastAsia="Times New Roman" w:hAnsi="Times New Roman"/>
          <w:sz w:val="14"/>
          <w:szCs w:val="14"/>
          <w:b w:val="1"/>
          <w:bCs w:val="1"/>
          <w:color w:val="auto"/>
        </w:rPr>
        <w:t>(19)          </w:t>
      </w: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Securityholders to declare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principal, premium, if any, and interest, if any, with respect to such Securities to be due and payable;  </w:t>
      </w:r>
    </w:p>
    <w:p>
      <w:pPr>
        <w:spacing w:after="0" w:line="15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(20)          </w:t>
      </w: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(21)          </w:t>
      </w:r>
      <w:r>
        <w:rPr>
          <w:rFonts w:ascii="Times New Roman" w:cs="Times New Roman" w:eastAsia="Times New Roman" w:hAnsi="Times New Roman"/>
          <w:sz w:val="14"/>
          <w:szCs w:val="14"/>
          <w:color w:val="auto"/>
        </w:rPr>
        <w:t>additions to or changes in the provisions relating to satisfaction and discharge of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(22)          </w:t>
      </w:r>
      <w:r>
        <w:rPr>
          <w:rFonts w:ascii="Times New Roman" w:cs="Times New Roman" w:eastAsia="Times New Roman" w:hAnsi="Times New Roman"/>
          <w:sz w:val="14"/>
          <w:szCs w:val="14"/>
          <w:color w:val="auto"/>
        </w:rPr>
        <w:t>additions to or changes in the provisions relating to the modification of this Indenture both with and without the consent of Securityholders of Securities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(23)          </w:t>
      </w:r>
      <w:r>
        <w:rPr>
          <w:rFonts w:ascii="Times New Roman" w:cs="Times New Roman" w:eastAsia="Times New Roman" w:hAnsi="Times New Roman"/>
          <w:sz w:val="14"/>
          <w:szCs w:val="14"/>
          <w:color w:val="auto"/>
        </w:rPr>
        <w:t>the currency of payment of Securities if other than U.S. dollars and the manner of determining the equivalent amount in U.S.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(24)          </w:t>
      </w:r>
      <w:r>
        <w:rPr>
          <w:rFonts w:ascii="Times New Roman" w:cs="Times New Roman" w:eastAsia="Times New Roman" w:hAnsi="Times New Roman"/>
          <w:sz w:val="14"/>
          <w:szCs w:val="14"/>
          <w:color w:val="auto"/>
        </w:rPr>
        <w:t>whether interest will be payable in cash or additional Securities at the Company’s or the Securityholders’ option and the terms and conditions upon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election may be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1529"/>
        <w:spacing w:after="0" w:line="266" w:lineRule="auto"/>
        <w:rPr>
          <w:sz w:val="20"/>
          <w:szCs w:val="20"/>
          <w:color w:val="auto"/>
        </w:rPr>
      </w:pPr>
      <w:r>
        <w:rPr>
          <w:rFonts w:ascii="Times New Roman" w:cs="Times New Roman" w:eastAsia="Times New Roman" w:hAnsi="Times New Roman"/>
          <w:sz w:val="14"/>
          <w:szCs w:val="14"/>
          <w:b w:val="1"/>
          <w:bCs w:val="1"/>
          <w:color w:val="auto"/>
        </w:rPr>
        <w:t>(25)          </w:t>
      </w:r>
      <w:r>
        <w:rPr>
          <w:rFonts w:ascii="Times New Roman" w:cs="Times New Roman" w:eastAsia="Times New Roman" w:hAnsi="Times New Roman"/>
          <w:sz w:val="14"/>
          <w:szCs w:val="14"/>
          <w:color w:val="auto"/>
        </w:rPr>
        <w:t>the terms and conditions, if any, upon which the Company shall pay amounts in addition to the stated interest, premium, if any and principal amounts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of the series to any Securityholder that is not a “United States person” for federal tax purposes;  </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(26)          </w:t>
      </w:r>
      <w:r>
        <w:rPr>
          <w:rFonts w:ascii="Times New Roman" w:cs="Times New Roman" w:eastAsia="Times New Roman" w:hAnsi="Times New Roman"/>
          <w:sz w:val="14"/>
          <w:szCs w:val="14"/>
          <w:color w:val="auto"/>
        </w:rPr>
        <w:t>any restrictions on transfer, sale or assignment of the Securities of the series;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(27)          </w:t>
      </w:r>
      <w:r>
        <w:rPr>
          <w:rFonts w:ascii="Times New Roman" w:cs="Times New Roman" w:eastAsia="Times New Roman" w:hAnsi="Times New Roman"/>
          <w:sz w:val="14"/>
          <w:szCs w:val="14"/>
          <w:color w:val="auto"/>
        </w:rPr>
        <w:t>any other specific terms, preferences, rights or limitations of, or restrictions on, the Securities, any other additions or changes in the provisions of this Indenture,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terms that may be required by us or advisable under applicable laws or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may otherwise be provided in or pursuant to any such Board Resolution or in any indentures supplemental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4"/>
          <w:szCs w:val="14"/>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  </w:t>
      </w:r>
    </w:p>
    <w:p>
      <w:pPr>
        <w:spacing w:after="0" w:line="153"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4"/>
          <w:szCs w:val="14"/>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2.02         Form of Securities and Trustee’s Certificate</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Securities of any series and the Trustee’s certificate of authentication to be borne by such Securities shall be substantially of the tenor and purport as set forth in one or more indentures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hereto or as provided in a Board Resolution, and set forth in an Officer’s Certificate, and they may have such letters, numbers or other marks of identification or designation 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legends or endorsements printed, lithographed or engraved thereon as the Company may deem appropriate and as are not inconsistent with the provisions of this Indenture, or as may be required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comply with any law or with any rule or regulation made pursuant thereto or with any rule or regulation of any securities exchange on which Securities of that series may be listed, or to conform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2.03         Denominations: Provisions for Payment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4"/>
          <w:szCs w:val="14"/>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  </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4"/>
          <w:szCs w:val="14"/>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  </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interest on any Security that is payable, but is not punctually paid or duly provided for, on any Interest Payment Date for Securities of the same series (herein called “Defaulted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shall forthwith cease to be payable to the registered holder on the relevant regular record date by virtue of having been such holder; and such Defaulted Interest shall be paid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at its election, as provided in clause (1) or clause (2)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1529"/>
        <w:spacing w:after="0" w:line="254" w:lineRule="auto"/>
        <w:rPr>
          <w:sz w:val="20"/>
          <w:szCs w:val="20"/>
          <w:color w:val="auto"/>
        </w:rPr>
      </w:pPr>
      <w:r>
        <w:rPr>
          <w:rFonts w:ascii="Times New Roman" w:cs="Times New Roman" w:eastAsia="Times New Roman" w:hAnsi="Times New Roman"/>
          <w:sz w:val="14"/>
          <w:szCs w:val="14"/>
          <w:b w:val="1"/>
          <w:bCs w:val="1"/>
          <w:color w:val="auto"/>
        </w:rPr>
        <w:t>(1)            </w:t>
      </w:r>
      <w:r>
        <w:rPr>
          <w:rFonts w:ascii="Times New Roman" w:cs="Times New Roman" w:eastAsia="Times New Roman" w:hAnsi="Times New Roman"/>
          <w:sz w:val="14"/>
          <w:szCs w:val="14"/>
          <w:color w:val="auto"/>
        </w:rPr>
        <w:t>The Company may make payment of any Defaulted Interest on Securities to the Persons in whose names such Securities (or their respective Predecessor Securities)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  </w:t>
      </w:r>
    </w:p>
    <w:p>
      <w:pPr>
        <w:spacing w:after="0" w:line="16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(2)            </w:t>
      </w:r>
      <w:r>
        <w:rPr>
          <w:rFonts w:ascii="Times New Roman" w:cs="Times New Roman" w:eastAsia="Times New Roman" w:hAnsi="Times New Roman"/>
          <w:sz w:val="14"/>
          <w:szCs w:val="14"/>
          <w:color w:val="auto"/>
        </w:rPr>
        <w:t>The Company may make payment of any Defaulted Interest on any Securities in any other lawful manner not inconsistent with the requirements of any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exchange on which such Securities may be listed, and upon such notice as may be required by such exchange, if, after notice given by the Company to the Trustee of the proposed payment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this clause, such manner of payment shall be deemed practicable by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Unless otherwise set forth in a Board Resolution or one or more indentures supplemental hereto establishing the terms of any series of Securities pursuant to Section 2.01 hereof,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“regular record date” as used in this Section with respect to a series of Securities and any Interest Payment Date for such series shall mean either the fifteenth day of the month immediately preceding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month in which an Interest Payment Date established for such series pursuant to Section 2.01 hereof shall occur, if such Interest Payment Date is the first day of a month, or the first day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month in which an Interest Payment Date established for such series pursuant to Section 2.01 hereof shall occur, if such Interest Payment Date is the fifteenth day of a month, whether or not 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 a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4"/>
          <w:szCs w:val="14"/>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  </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2.04         Execution and Authentications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Securities shall be signed on behalf of the Company by one of its Officers. Signatures may be in the form of a manual or facsimile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4"/>
          <w:szCs w:val="14"/>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  </w:t>
      </w:r>
    </w:p>
    <w:p>
      <w:pPr>
        <w:spacing w:after="0" w:line="158"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4"/>
          <w:szCs w:val="14"/>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  </w:t>
      </w:r>
    </w:p>
    <w:p>
      <w:pPr>
        <w:spacing w:after="0" w:line="160"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4"/>
          <w:szCs w:val="14"/>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  </w:t>
      </w:r>
    </w:p>
    <w:p>
      <w:pPr>
        <w:spacing w:after="0" w:line="158"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4"/>
          <w:szCs w:val="14"/>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  </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2.05         Registration of Transfer and Exchange</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1019"/>
        <w:spacing w:after="0" w:line="257"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Securities of any series may be exchanged upon presentation thereof at the office or agency of the Company designated for such purpose, for other Securities of such series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  </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Company shall keep, or cause to be kept, at its office or agency designated for such purpose a register or registers (herein referred to as the “Security Register”) in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such reasonable regulations as it may prescribe, the Company shall register the Securities and the transfers of Securities as in this Article provided and which at all reasonable times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open for inspection by the Trustee. The registrar for the purpose of registering Securities and transfer of Securities as herein provided shall be appointed as authorized by Board Resolution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Indenture (the “Security Registrar”).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4"/>
          <w:szCs w:val="14"/>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  </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initially appoints the Trustee as Security Registrar for each series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Securities presented or surrendered for exchange or registration of transfer, as provided in this Section, shall be accompanied (if so required by the Company or the Security Registrar)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written instrument or instruments of transfer, in form satisfactory to the Company or the Security Registrar, duly executed by the registered holder or by such holder’s duly authorized attorney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1019"/>
        <w:spacing w:after="0" w:line="257"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Except as provided pursuant to Section 2.01 pursuant to a Board Resolution, and set forth in an Officer’s Certificate, or established in one or more indentures supplemental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  </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The Company and the Security Registrar shall not be required (i) to issue, exchange or register the transfer of any Securities during a period beginning at the opening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 15 days before the day of the sending of a notice of redemption of less than all the Outstanding Securities of the same series and ending at the close of business on the day of such sending,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 (ii) to register the transfer of or exchange any Securities of any series or portions thereof called for redemption or surrendered for repurchase, but not validly withdrawn, other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unredeemed portion of any such Securities being redeemed in part or not surrendered for repurchase, as the case may be. The provisions of this Section 2.05 are, with respect to any Global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Section 2.11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2.06         Temporary Securities</w:t>
      </w:r>
      <w:r>
        <w:rPr>
          <w:rFonts w:ascii="Times New Roman" w:cs="Times New Roman" w:eastAsia="Times New Roman" w:hAnsi="Times New Roman"/>
          <w:sz w:val="14"/>
          <w:szCs w:val="14"/>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Pending the preparation of definitive Securities of any series, the Company may execute, and the Trustee shall authenticate and deliver, temporary Securities (printed, lithographed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typewritten) of any authorized denomination. Such temporary Securities shall be substantially in the form of the definitive Securities in lieu of which they are issued, but with such omissions,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insertions and variations as may be appropriate for temporary Securities, all as may be determined by the Company. Every temporary Security of any series shall be executed by the Company and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authenticated by the Trustee upon the same conditions and in substantially the same manner, and with like effect, as the definitive Securities of such series. Without unnecessary delay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will execute and will furnish definitive Securities of such series and thereupon any or all temporary Securities of such series may be surrendered in exchange therefor (without charge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Securityholders), at the office or agency of the Company designated for the purpose, and the Trustee shall authenticate and such office or agency shall deliver in exchange for such temporary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 equal aggregate principal amount of definitive Securities of such series, unless the Company advises the Trustee to the effect that definitive Securities need not be executed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furnished until further notice from the Company. Until so exchanged, the temporary Securities of such series shall be entitled to the same benefits under this Indenture as definitive Securities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series authenticated and delivered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2.07         Mutilated, Destroyed, Lost or Stolen Securities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4"/>
          <w:szCs w:val="14"/>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case any Security that has matured or is about to mature shall become mutilated or be destroyed, lost or stolen, the Company may, instead of issuing a substitute Security, pay or authorize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payment of the same (without surrender thereof except in the case of a mutilated Security) if the applicant for such payment shall furnish to the Company and the Trustee such security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indemnity as they may require to save them harmless, and, in case of destruction, loss or theft, evidence to the satisfaction of the Company and the Trustee of the destruction, loss or theft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Security and of the ownership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4"/>
          <w:szCs w:val="14"/>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  </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2.08         Cancellation</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Securities surrendered for the purpose of payment, redemption, repurchase, exchange, registration of transfer or conversion shall, if surrendered to the Company or any paying agent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other applicable agent), be delivered to the Trustee for cancellation, or, if surrendered to the Trustee, shall be cancelled by it, and no Securities shall be issued in lieu thereof except as expressly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required or permitted by any of the provisions of this Indenture. On request of the Company at the time of such surrender, the Trustee shall deliver to the Company canceled Securities held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Trustee. In the absence of such request the Trustee may dispose of canceled Securities in accordance with its standard procedures and deliver a certificate of disposition to the Company.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shall otherwise acquire any of the Securities, however, such acquisition shall not operate as a redemption or satisfaction of the indebtedness represented by such Securities unless and until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same are delivered to the Trustee for cancellation.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2.09         Benefits of Indenture</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Nothing in this Indenture or in the Securities, express or implied, shall give or be construed to give to any Person, other than the parties hereto and the holders of the Securities any legal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equitable right, remedy or claim under or in respect of this Indenture, or under any covenant, condition or provision herein contained; all such covenants, conditions and provisions being for the sole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benefit of the parties hereto and of the holders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2.10         Authenticating Agent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4"/>
          <w:szCs w:val="14"/>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w:t>
      </w:r>
    </w:p>
    <w:p>
      <w:pPr>
        <w:spacing w:after="0" w:line="162"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4"/>
          <w:szCs w:val="14"/>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  </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2.11         Global Securities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If the Company shall establish pursuant to Section 2.01 that the Securities of a particular series are to be issued as a Global Security, then the Company shall execute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Trustee shall, in accordance with Section 2.04, authenticate and deliver, a Global Security that (i) shall represent, and shall be denominated in an amount equal to the aggregate principal amount of,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the Outstanding Securities of such series, (ii) shall be registered in the name of the Depositary or its nominee, (iii) shall be delivered by the Trustee to the Depositary or pursuant to the Depositary’s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instruction (or if the Depositary names the Trustee as its custodian, retained by the Trustee), and (iv) shall bear a legend substantially to the following effect: “Except as otherwise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2.11 of the Indenture, this Security may be transferred, in whole but not in part, only to another nominee of the Depositary or to a successor Depositary or to a nominee of such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1019"/>
        <w:spacing w:after="0" w:line="266"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Notwithstanding the provisions of Section 2.05, the Global Security of a series may be transferred, in whole but not in part and in the manner provided in Section 2.05, only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another nominee of the Depositary for such series, or to a successor Depositary for such series selected or approved by the Company or to a nominee of such successor Depositary.  </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If at any time the Depositary for a series of the Securities notifies the Company that it is unwilling or unable to continue as Depositary for such series or if at any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Depositary for such series shall no longer be registered or in good standing under the Exchange Act, or other applicable statute or regulation, and a successor Depositary for such series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appointed by the Company within 90 days after the Company receives such notice or becomes aware of such condition, as the case may be, or if an Event of Default has occurred and is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the Company has received a request from the Depositary or from the Trustee, this Section 2.11 shall no longer be applicable to the Securities of such series and the Company will execute,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Section 2.04, the Trustee will authenticate and deliver the Securities of such series in definitive registered form without coupons, in authorized denominations, and in an aggregate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 equal to the principal amount of the Global Security of such series in exchange for such Global Security. In addition, the Company may at any time determine that the Securities of any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shall no longer be represented by a Global Security and that the provisions of this Section 2.11 shall no longer apply to the Securities of such series. In such event the Company will execute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Section 2.04, the Trustee, upon receipt of an Officer’s Certificate evidencing such determination by the Company, will authenticate and deliver the Securities of such series in definitive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registered form without coupons, in authorized denominations, and in an aggregate principal amount equal to the principal amount of the Global Security of such series in exchange for such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Security. Upon the exchange of the Global Security for such Securities in definitive registered form without coupons, in authorized denominations, the Global Security shall be canceled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Trustee. Such Securities in definitive registered form issued in exchange for the Global Security pursuant to this Section 2.11(c) shall be registered in such names and in such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denominations as the Depositary, pursuant to instructions from its direct or indirect participants or otherwise, shall instruct the Trustee. The Trustee shall deliver such Securities to the Depositary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delivery to the Persons in whose names such Securities are so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2.12         CUSIP Numbers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in issuing the Securities may use “CUSIP” numbers (if then generally in use), and, if so, the Trustee shall use “CUSIP” numbers in notices of redemption as a convenience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Securityholders; provided that any such notice may state that no representation is made as to the correctness of such numbers either as printed on the Securities or as contained in any notice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redemption and that reliance may be placed only on the other elements of identification printed on the Securities, and any such redemption shall not be affected by any defect in or omission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numbers. The Company will promptly notify the Trustee of any change in the “CUSIP” numbers.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 OF SECURITIES AND SINKING FUND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3.01         Redemption</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may redeem the Securities of any series issued hereunder on and after the dates and in accordance with the terms established for such series pursuant to Section 2.01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3.02         Notice of Redemption</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1019"/>
        <w:spacing w:after="0" w:line="255"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In case the Company shall desire to exercise such right to redeem all or, as the case may be, a portion of the Securities of any series in accordance with any right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  </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Each such notice of redemption shall identify the Securities to be redeemed (including CUSIP numbers, if any), specify the date fixed for redemption and the redemption price at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of that series are to be redeemed, and shall state that payment of the redemption price of such Securities to be redeemed will be made at the office or agency of the Company,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presentation and surrender of such Securities, that interest accrued to the date fixed for redemption will be paid as specified in said notice, that from and after said date interest will cease to accrue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that the redemption is from a sinking fund, if such is the case. If less than all the Securities of a series are to be redeemed, the notice to the holders of Securities of that series to be redeemed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 shall specify the particular Securities to be so redeemed.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4"/>
          <w:szCs w:val="14"/>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  </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If less than all the Securities of a series are to be redeemed, the Company shall give the Trustee at least 45 days’ notice (unless a shorter notice shall be satisfactory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Trustee) in advance of the date fixed for redemption as to the aggregate principal amount of Securities of the series to be redeemed, and thereupon the Securities to be redeemed shall be selected,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lot, on a pro rata basis, or in such other manner as the Company shall deem appropriate and fair in its discretion and that may provide for the selection of a portion or portions (equal to one thousand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dollars ($1,000) or any integral multiple thereof) of the principal amount of such Securities of a denomination larger than $1,000, the Securities to be redeemed and shall thereafter promptly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notify the Company in writing of the numbers of the Securities to be redeemed, in whole or in part. The Company may, if and whenever it shall so elect, by delivery of instructions signed on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behalf by an Officer, instruct the Trustee or any paying agent to call all or any part of the Securities of a particular series for redemption and to give notice of redemption in the manner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such notice to be in the name of the Company or its own name as the Trustee or such paying agent may deem advisable. In any case in which notice of redemption is to be given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Trustee or any such paying agent, the Company shall deliver or cause to be delivered to, or permit to remain with, the Trustee or such paying agent, as the case may be, such Security Register,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transfer books or other records, or suitable copies or extracts therefrom, sufficient to enable the Trustee or such paying agent to give any notice by mail that may be required under the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3.03         Payment Upon Redemption</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If the giving of notice of redemption shall have been completed as above provided, the Securities or portions of Securities of the series to be redeemed specified in such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shall become due and payable on the date and at the place stated in such notice at the applicable redemption price, together with interest accrued to, but excluding, the date fixed for redemption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on such Securities or portions of Securities shall cease to accrue on and after the date fixed for redemption, unless the Company shall default in the payment of such redemption price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interest with respect to any such Security or portion thereof. On presentation and surrender of such Securities on or after the date fixed for redemption at the place of payment specified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notice, said Securities shall be paid and redeemed at the applicable redemption price for such series, together with interest accrued thereon to, but excluding, the date fixed for redemption (but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fixed for redemption is an Interest Payment Date, the interest installment payable on such date shall be payable to the registered holder at the close of business on the applicable record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Section 2.03).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Upon presentation of any Security of such series that is to be redeemed in part only, the Company shall execute and the Trustee shall authenticate and the office or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 the Security is presented shall deliver to the Securityholder thereof, at the expense of the Company, a new Security of the same series of authorized denominations in principal amount equal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unredeemed portion of the Security so presented.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3.04         Sinking Fund</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provisions of Sections 3.04, 3.05 and 3.06 shall be applicable to any sinking fund for the retirement of Securities of a series, except as otherwise specified as contemplated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2.01 for Securities of such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Securities of any series is herein referred to as a “mandatory sinking fund payment,” and any payment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excess of such minimum amount provided for by the terms of Securities of any series is herein referred to as an “optional sinking fund payment”. If provided for by the terms of Securities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series, the cash amount of any sinking fund payment may be subject to reduction as provided in Section 3.05. Each sinking fund payment shall be applied to the redemption of Securities of any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provided for by the terms of Securities of such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3.05         Satisfaction of Sinking Fund Payments with Securities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4"/>
          <w:szCs w:val="14"/>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3.06         Redemption of Securities for Sinking Fund</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4"/>
          <w:szCs w:val="14"/>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  </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4.01         Payment of Principal, Premium and Interest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will duly and punctually pay or cause to be paid the principal of (and premium, if any) and interest on the Securities of that series at the time and place and in the manner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provided herein and established with respect to such Securities. Payments of principal on the Securities may be made at the time provided herein and established with respect to such Securities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dollar check drawn on and mailed to the address of the Securityholder entitled thereto as such address shall appear in the Security Register, or U.S. dollar wire transfer to, a U.S. dollar account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Securityholder shall have furnished wire instructions to the Trustee no later than 15 days prior to the relevant payment date. Payments of interest on the Securities may be made at the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provided herein and established with respect to such Securities by U.S. dollar check mailed to the address of the Securityholder entitled thereto as such address shall appear in the Security Register,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dollar wire transfer to, a U.S. dollar account if such Securityholder shall have furnished wire instructions in writing to the Security Registrar and the Trustee no later than 15 days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relevant payment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4.02         Maintenance of Office or Agency</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4"/>
          <w:szCs w:val="14"/>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  </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4.03         Paying Agents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1019"/>
        <w:spacing w:after="0" w:line="266"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If the Company shall appoint one or more paying agents for all or any series of the Securities, other than the Trustee, the Company will cause each such paying agent to execute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deliver to the Trustee an instrument in which such agent shall agree with the Trustee, subject to the provisions of this Section:  </w:t>
      </w:r>
    </w:p>
    <w:p>
      <w:pPr>
        <w:spacing w:after="0" w:line="153" w:lineRule="exact"/>
        <w:rPr>
          <w:sz w:val="20"/>
          <w:szCs w:val="20"/>
          <w:color w:val="auto"/>
        </w:rPr>
      </w:pPr>
    </w:p>
    <w:p>
      <w:pPr>
        <w:ind w:firstLine="1529"/>
        <w:spacing w:after="0" w:line="266" w:lineRule="auto"/>
        <w:rPr>
          <w:sz w:val="20"/>
          <w:szCs w:val="20"/>
          <w:color w:val="auto"/>
        </w:rPr>
      </w:pPr>
      <w:r>
        <w:rPr>
          <w:rFonts w:ascii="Times New Roman" w:cs="Times New Roman" w:eastAsia="Times New Roman" w:hAnsi="Times New Roman"/>
          <w:sz w:val="14"/>
          <w:szCs w:val="14"/>
          <w:b w:val="1"/>
          <w:bCs w:val="1"/>
          <w:color w:val="auto"/>
        </w:rPr>
        <w:t>(1)            </w:t>
      </w:r>
      <w:r>
        <w:rPr>
          <w:rFonts w:ascii="Times New Roman" w:cs="Times New Roman" w:eastAsia="Times New Roman" w:hAnsi="Times New Roman"/>
          <w:sz w:val="14"/>
          <w:szCs w:val="14"/>
          <w:color w:val="auto"/>
        </w:rPr>
        <w:t>that it will hold all sums held by it as such agent for the payment of the principal of (and premium, if any) or interest on the Securities of that series (whether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sums have been paid to it by the Company or by any other obligor of such Securities) in trust for the benefit of the Persons entitled thereto;  </w:t>
      </w:r>
    </w:p>
    <w:p>
      <w:pPr>
        <w:spacing w:after="0" w:line="15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(2)            </w:t>
      </w:r>
      <w:r>
        <w:rPr>
          <w:rFonts w:ascii="Times New Roman" w:cs="Times New Roman" w:eastAsia="Times New Roman" w:hAnsi="Times New Roman"/>
          <w:sz w:val="14"/>
          <w:szCs w:val="14"/>
          <w:color w:val="auto"/>
        </w:rPr>
        <w:t>that it will give the Trustee notice of any failure by the Company (or by any other obligor of such Securities) to make any payment of the principal of (and premium,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any) or interest on the Securities of that series when the same shall be due and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(3)            </w:t>
      </w:r>
      <w:r>
        <w:rPr>
          <w:rFonts w:ascii="Times New Roman" w:cs="Times New Roman" w:eastAsia="Times New Roman" w:hAnsi="Times New Roman"/>
          <w:sz w:val="14"/>
          <w:szCs w:val="14"/>
          <w:color w:val="auto"/>
        </w:rPr>
        <w:t>that it will, at any time during the continuance of any failure referred to in the preceding paragraph (a)(2) above, upon the written request of the Trustee, forthwith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 to the Trustee all sums so held in trust by such paying agent;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(4)            </w:t>
      </w:r>
      <w:r>
        <w:rPr>
          <w:rFonts w:ascii="Times New Roman" w:cs="Times New Roman" w:eastAsia="Times New Roman" w:hAnsi="Times New Roman"/>
          <w:sz w:val="14"/>
          <w:szCs w:val="14"/>
          <w:color w:val="auto"/>
        </w:rPr>
        <w:t>that it will perform all other duties of paying agent as set forth in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If the Company shall act as its own paying agent with respect to any series of the Securities, it will on or before each due date of the principal of (and premium, if 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on Securities of that series, set aside, segregate and hold in trust for the benefit of the Persons entitled thereto a sum sufficient to pay such principal (and premium, if any) or interest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becoming due on Securities of that series until such sums shall be paid to such Persons or otherwise disposed of as herein provided and will promptly notify the Trustee of such action, or any failure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it or any other obligor on such Securities) to take such action. Whenever the Company shall have one or more paying agents for any series of Securities, it will, prior to each due date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of (and premium, if any) or interest on any Securities of that series, deposit with the paying agent a sum sufficient to pay the principal (and premium, if any) or interest so becoming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sum to be held in trust for the benefit of the Persons entitled to such principal, premium or interest, and (unless such paying agent is the Trustee) the Company will promptly notify the Trustee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action or failure so to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1019"/>
        <w:spacing w:after="0" w:line="257"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Notwithstanding anything in this Section to the contrary, (i) the agreement to hold sums in trust as provided in this Section is subject to the provisions of Section 11.05,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  </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4.04         Appointment to Fill Vacancy in Office of Trustee</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whenever necessary to avoid or fill a vacancy in the office of Trustee, will appoint, in the manner provided in Section 7.10, a Trustee, so that there shall at all times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Trustee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SECURITYHOLDERS’ LISTS AND REPORTS BY THE COMPANY AND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5.01         Company to Furnish Trustee Names and Addresses of Securityholders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4"/>
          <w:szCs w:val="14"/>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  </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5.02         Preservation Of Information; Communications With Securityholders</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both"/>
        <w:ind w:firstLine="1019"/>
        <w:spacing w:after="0" w:line="266"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Trustee shall preserve, in as current a form as is reasonably practicable, all information as to the names and addresses of the holders of Securities contained in the most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recent list furnished to it as provided in Section 5.01 and as to the names and addresses of holders of Securities received by the Trustee in its capacity as Security Registrar (if acting in such capacity).  </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Trustee may destroy any list furnished to it as provided in Section 5.01 upon receipt of a new list so furnished.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b w:val="1"/>
          <w:bCs w:val="1"/>
          <w:color w:val="auto"/>
        </w:rPr>
        <w:t>(c)           </w:t>
      </w:r>
      <w:r>
        <w:rPr>
          <w:rFonts w:ascii="Times New Roman" w:cs="Times New Roman" w:eastAsia="Times New Roman" w:hAnsi="Times New Roman"/>
          <w:sz w:val="13"/>
          <w:szCs w:val="13"/>
          <w:color w:val="auto"/>
        </w:rPr>
        <w:t>Securityholders may communicate as provided in Section 312(b) of the Trust Indenture Act with other Securityholders with respect to their rights under this Indenture or under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Securities, and, in connection with any such communications, the Trustee shall satisfy its obligations under Section 312(b) of the Trust Indenture Act in accordance with the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312(b) of the Trust Indenture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5.03         Reports by the Company</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Company will at all times comply with Section 314(a) of the Trust Indenture Act. The Company covenants and agrees to provide (which delivery may be via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mail) to the Trustee within 30 days, after the Company files the same with the Commission, copies of the annual reports and of the information, documents and other reports (or copies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portions of any of the foregoing as the Commission may from time to time by rules and regulations prescribe) that the Company is required to file with the Commission pursuant to Section 13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15(d) of the Exchange Act; provided, however, the Company shall not be required to deliver to the Trustee any correspondence filed with the Commission or any materials for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has sought and received confidential treatment by the Commission; and provided further, that so long as such filings by the Company are available on the Commission’s Electronic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Gathering, Analysis and Retrieval System (EDGAR), or any successor system, such filings shall be deemed to have been filed with the Trustee for purposes hereof without any further action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the Company. For the avoidance of doubt, a failure by the Company to file annual reports, information and other reports with the Commission within the time period prescribed thereof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Commission shall not be deemed a breach of this Section 5.03.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Delivery of reports, information and documents to the Trustee under Section 5.03 is for informational purposes only and the information and the Trustee’s receipt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foregoing shall not constitute constructive notice of any information contained therein, or determinable from information contained therein including the Company’s compliance with any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covenants thereunder (as to which the Trustee is entitled to rely exclusively on an Officer’s Certificate). The Trustee is under no duty to examine any such reports, information or documents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Trustee or filed with the Commission via EDGAR to ensure compliance with the provision of this Indenture or to ascertain the correctness or otherwise of the information or the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contained therein. The Trustee shall have no responsibility or duty whatsoever to ascertain or determine whether the above referenced filings with the Commission on EDGAR (or any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system) has occurred.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5.04         Reports by the Trustee</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If required by Section 313(a) of the Trust Indenture Act, the Trustee, within sixty (60) days after each May 1, shall send to the Securityholders a brief report dated as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 which complies with Section 313(a) of the Trust Indenture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Trustee shall comply with Section 313(b) and 313(c) of the Trust Indenture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firstLine="1019"/>
        <w:spacing w:after="0" w:line="266"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A copy of each such report shall, at the time of such transmission to Securityholders, be filed by the Trustee with the Company, with each securities exchange upon which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are listed (if so listed) and also with the Commission. The Company agrees to notify the Trustee when any Securities become listed on any securities exchange.  </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REMEDIES OF THE TRUSTEE AND SECURITYHOLDERS ON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6.01         Events of Default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Whenever used herein with respect to Securities of a particular series, “Event of Default” means any one or more of the following events that has occurred and is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(1)            </w:t>
      </w:r>
      <w:r>
        <w:rPr>
          <w:rFonts w:ascii="Times New Roman" w:cs="Times New Roman" w:eastAsia="Times New Roman" w:hAnsi="Times New Roman"/>
          <w:sz w:val="13"/>
          <w:szCs w:val="13"/>
          <w:color w:val="auto"/>
        </w:rPr>
        <w:t>the Company defaults in the payment of any installment of interest upon any of the Securities of that series, as and when the same shall become due and payable,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default continues for a period of 90 days; provided, however, that a valid extension of an interest payment period by the Company in accordance with the terms of any indenture supplemental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hereto shall not constitute a default in the payment of interest for this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both"/>
        <w:ind w:firstLine="1529"/>
        <w:spacing w:after="0" w:line="259" w:lineRule="auto"/>
        <w:rPr>
          <w:sz w:val="20"/>
          <w:szCs w:val="20"/>
          <w:color w:val="auto"/>
        </w:rPr>
      </w:pPr>
      <w:r>
        <w:rPr>
          <w:rFonts w:ascii="Times New Roman" w:cs="Times New Roman" w:eastAsia="Times New Roman" w:hAnsi="Times New Roman"/>
          <w:sz w:val="14"/>
          <w:szCs w:val="14"/>
          <w:b w:val="1"/>
          <w:bCs w:val="1"/>
          <w:color w:val="auto"/>
        </w:rPr>
        <w:t>(2)            </w:t>
      </w:r>
      <w:r>
        <w:rPr>
          <w:rFonts w:ascii="Times New Roman" w:cs="Times New Roman" w:eastAsia="Times New Roman" w:hAnsi="Times New Roman"/>
          <w:sz w:val="14"/>
          <w:szCs w:val="14"/>
          <w:color w:val="auto"/>
        </w:rPr>
        <w:t>the Company defaults in the payment of the principal of (or premium, if any, on) any of the Securities of that series as and when the same shall become due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color w:val="auto"/>
        </w:rPr>
        <w:t> </w:t>
      </w:r>
    </w:p>
    <w:p>
      <w:pPr>
        <w:spacing w:after="0" w:line="177" w:lineRule="exact"/>
        <w:rPr>
          <w:sz w:val="20"/>
          <w:szCs w:val="20"/>
          <w:color w:val="auto"/>
        </w:rPr>
      </w:pPr>
    </w:p>
    <w:p>
      <w:pPr>
        <w:jc w:val="both"/>
        <w:ind w:firstLine="1529"/>
        <w:spacing w:after="0" w:line="262" w:lineRule="auto"/>
        <w:rPr>
          <w:sz w:val="20"/>
          <w:szCs w:val="20"/>
          <w:color w:val="auto"/>
        </w:rPr>
      </w:pPr>
      <w:r>
        <w:rPr>
          <w:rFonts w:ascii="Times New Roman" w:cs="Times New Roman" w:eastAsia="Times New Roman" w:hAnsi="Times New Roman"/>
          <w:sz w:val="14"/>
          <w:szCs w:val="14"/>
          <w:b w:val="1"/>
          <w:bCs w:val="1"/>
          <w:color w:val="auto"/>
        </w:rPr>
        <w:t>(3)            </w:t>
      </w:r>
      <w:r>
        <w:rPr>
          <w:rFonts w:ascii="Times New Roman" w:cs="Times New Roman" w:eastAsia="Times New Roman" w:hAnsi="Times New Roman"/>
          <w:sz w:val="14"/>
          <w:szCs w:val="14"/>
          <w:color w:val="auto"/>
        </w:rPr>
        <w:t>the Company fails to observe or perform any other of its covenants or agreements with respect to that series contained in this Indenture or otherwise established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41" w:lineRule="exact"/>
        <w:rPr>
          <w:sz w:val="20"/>
          <w:szCs w:val="20"/>
          <w:color w:val="auto"/>
        </w:rPr>
      </w:pPr>
    </w:p>
    <w:p>
      <w:pPr>
        <w:jc w:val="both"/>
        <w:ind w:firstLine="1529"/>
        <w:spacing w:after="0" w:line="290" w:lineRule="auto"/>
        <w:rPr>
          <w:sz w:val="20"/>
          <w:szCs w:val="20"/>
          <w:color w:val="auto"/>
        </w:rPr>
      </w:pPr>
      <w:r>
        <w:rPr>
          <w:rFonts w:ascii="Times New Roman" w:cs="Times New Roman" w:eastAsia="Times New Roman" w:hAnsi="Times New Roman"/>
          <w:sz w:val="14"/>
          <w:szCs w:val="14"/>
          <w:b w:val="1"/>
          <w:bCs w:val="1"/>
          <w:color w:val="auto"/>
        </w:rPr>
        <w:t>(4)            </w:t>
      </w:r>
      <w:r>
        <w:rPr>
          <w:rFonts w:ascii="Times New Roman" w:cs="Times New Roman" w:eastAsia="Times New Roman" w:hAnsi="Times New Roman"/>
          <w:sz w:val="14"/>
          <w:szCs w:val="14"/>
          <w:color w:val="auto"/>
        </w:rPr>
        <w:t>the Company pursuant to or within the meaning of any Bankruptcy Law (i) commences a voluntary case, (ii) consents to the entry of an order for relief against it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involuntary case, (iii) consents to the appointment of a Custodian of it or for all or substantially all of its property or (iv) makes a general assignment for the benefit of its creditors; or</w:t>
      </w:r>
    </w:p>
    <w:p>
      <w:pPr>
        <w:spacing w:after="0" w:line="121" w:lineRule="exact"/>
        <w:rPr>
          <w:sz w:val="20"/>
          <w:szCs w:val="20"/>
          <w:color w:val="auto"/>
        </w:rPr>
      </w:pPr>
    </w:p>
    <w:p>
      <w:pPr>
        <w:jc w:val="both"/>
        <w:ind w:firstLine="1529"/>
        <w:spacing w:after="0" w:line="290" w:lineRule="auto"/>
        <w:rPr>
          <w:sz w:val="20"/>
          <w:szCs w:val="20"/>
          <w:color w:val="auto"/>
        </w:rPr>
      </w:pPr>
      <w:r>
        <w:rPr>
          <w:rFonts w:ascii="Times New Roman" w:cs="Times New Roman" w:eastAsia="Times New Roman" w:hAnsi="Times New Roman"/>
          <w:sz w:val="14"/>
          <w:szCs w:val="14"/>
          <w:b w:val="1"/>
          <w:bCs w:val="1"/>
          <w:color w:val="auto"/>
        </w:rPr>
        <w:t>(5)            </w:t>
      </w:r>
      <w:r>
        <w:rPr>
          <w:rFonts w:ascii="Times New Roman" w:cs="Times New Roman" w:eastAsia="Times New Roman" w:hAnsi="Times New Roman"/>
          <w:sz w:val="14"/>
          <w:szCs w:val="14"/>
          <w:color w:val="auto"/>
        </w:rPr>
        <w:t>a court of competent jurisdiction enters an order under any Bankruptcy Law that (i) is for relief against the Company in an involuntary case, (ii) appoints a Custodian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Company for all or substantially all of its property or (iii) orders the liquidation of the Company, and the order or decree remains unstayed and in effect for 90 days.</w:t>
      </w:r>
    </w:p>
    <w:p>
      <w:pPr>
        <w:spacing w:after="0" w:line="121" w:lineRule="exact"/>
        <w:rPr>
          <w:sz w:val="20"/>
          <w:szCs w:val="20"/>
          <w:color w:val="auto"/>
        </w:rPr>
      </w:pPr>
    </w:p>
    <w:p>
      <w:pPr>
        <w:jc w:val="both"/>
        <w:ind w:firstLine="1019"/>
        <w:spacing w:after="0" w:line="260"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In each and every such case (other than an Event of Default specified in clause (4) or clause (5) above), unless the principal of all the Securities of that series shall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43" w:lineRule="exact"/>
        <w:rPr>
          <w:sz w:val="20"/>
          <w:szCs w:val="20"/>
          <w:color w:val="auto"/>
        </w:rPr>
      </w:pPr>
    </w:p>
    <w:p>
      <w:pPr>
        <w:jc w:val="both"/>
        <w:ind w:firstLine="1019"/>
        <w:spacing w:after="0" w:line="258"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At any time after the principal of (and premium, if any, on) and accrued and unpaid interest on the Securities of that series shall have been so declared due and payable,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1" w:right="319" w:bottom="1440" w:gutter="0" w:footer="0" w:header="0"/>
        </w:sectPr>
      </w:pPr>
    </w:p>
    <w:bookmarkStart w:id="105" w:name="page106"/>
    <w:bookmarkEnd w:id="105"/>
    <w:p>
      <w:pPr>
        <w:ind w:left="520"/>
        <w:spacing w:after="0"/>
        <w:rPr>
          <w:sz w:val="20"/>
          <w:szCs w:val="20"/>
          <w:color w:val="auto"/>
        </w:rPr>
      </w:pPr>
      <w:r>
        <w:rPr>
          <w:rFonts w:ascii="Times New Roman" w:cs="Times New Roman" w:eastAsia="Times New Roman" w:hAnsi="Times New Roman"/>
          <w:sz w:val="14"/>
          <w:szCs w:val="14"/>
          <w:color w:val="auto"/>
        </w:rPr>
        <w:t>No such rescission and annulment shall extend to or shall affect any subsequent default or impair any right consequent thereon.</w:t>
      </w:r>
    </w:p>
    <w:p>
      <w:pPr>
        <w:spacing w:after="0" w:line="177"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In case the Trustee shall have proceeded to enforce any right with respect to Securities of that series under this Indenture and such proceedings shall have been discontinued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6.02         Collection of Indebtedness and Suits for Enforcement by Trustee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firstLine="1019"/>
        <w:spacing w:after="0" w:line="259"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Company covenants that (i) in case it shall default in the payment of any installment of interest on any of the Securities of a series, or in any payment required by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43"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If the Company shall fail to pay such amounts forthwith upon such demand, the Trustee, in its own name and as trustee of an express trust, shall be entitled and empowered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39" w:lineRule="exact"/>
        <w:rPr>
          <w:sz w:val="20"/>
          <w:szCs w:val="20"/>
          <w:color w:val="auto"/>
        </w:rPr>
      </w:pPr>
    </w:p>
    <w:p>
      <w:pPr>
        <w:jc w:val="both"/>
        <w:ind w:firstLine="1019"/>
        <w:spacing w:after="0" w:line="259"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In case of any receivership, insolvency, liquidation, bankruptcy, reorganization, readjustment, arrangement, composition or judicial proceedings affecting the Company, or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106" w:name="page107"/>
    <w:bookmarkEnd w:id="106"/>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All rights of action and of asserting claims under this Indenture, or under any of the terms established with respect to Securities of that series, may be enforced by the Trustee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41"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4"/>
          <w:szCs w:val="14"/>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36"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4"/>
          <w:szCs w:val="14"/>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6.03       Application of Moneys Collected</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4"/>
          <w:szCs w:val="14"/>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FIRST: To the payment of costs and expenses of collection and of all amounts payable to the Trustee under Section 7.06;</w:t>
      </w:r>
    </w:p>
    <w:p>
      <w:pPr>
        <w:spacing w:after="0" w:line="179"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4"/>
          <w:szCs w:val="14"/>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07" w:name="page108"/>
    <w:bookmarkEnd w:id="107"/>
    <w:p>
      <w:pPr>
        <w:ind w:left="520"/>
        <w:spacing w:after="0"/>
        <w:rPr>
          <w:sz w:val="20"/>
          <w:szCs w:val="20"/>
          <w:color w:val="auto"/>
        </w:rPr>
      </w:pPr>
      <w:r>
        <w:rPr>
          <w:rFonts w:ascii="Times New Roman" w:cs="Times New Roman" w:eastAsia="Times New Roman" w:hAnsi="Times New Roman"/>
          <w:sz w:val="14"/>
          <w:szCs w:val="14"/>
          <w:color w:val="auto"/>
        </w:rPr>
        <w:t>THIRD: To the payment of the remainder, if any, to the Company or any other Person lawfully entitled thereto.</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6.04       Limitation on Suits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4"/>
          <w:szCs w:val="14"/>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43"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4"/>
          <w:szCs w:val="14"/>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6.05       Rights and Remedies Cumulative; Delay or Omission Not Waiver</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Except as otherwise provided in Section 2.07, all powers and remedies given by this Article to the Trustee or to the Securityholders shall, to the extent permitted by law,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108" w:name="page109"/>
    <w:bookmarkEnd w:id="108"/>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No delay or omission of the Trustee or of any holder of any of the Securities to exercise any right or power accruing upon any Event of Default occurring and continuing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6.06       Control by Securityholders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6.07       Undertaking to Pay Costs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4"/>
          <w:szCs w:val="14"/>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ARTICLE 7</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7.01       Certain Duties and Responsibilities of Trustee</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Trustee, prior to the occurrence of an Event of Default with respect to the Securities of a series and after the curing of all Events of Default with respect to the Securities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4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No provision of this Indenture shall be construed to relieve the Trustee from liability for its own negligent action, its own negligent failure to act, or its own willful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misconduct, except that:</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(i)            </w:t>
      </w:r>
      <w:r>
        <w:rPr>
          <w:rFonts w:ascii="Times New Roman" w:cs="Times New Roman" w:eastAsia="Times New Roman" w:hAnsi="Times New Roman"/>
          <w:sz w:val="14"/>
          <w:szCs w:val="14"/>
          <w:color w:val="auto"/>
        </w:rPr>
        <w:t>prior to the occurrence of an Event of Default with respect to the Securities of a series and after the curing or waiving of all such Events of Default with respect to that series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may have occurred:</w:t>
      </w:r>
    </w:p>
    <w:p>
      <w:pPr>
        <w:spacing w:after="0" w:line="121" w:lineRule="exact"/>
        <w:rPr>
          <w:sz w:val="20"/>
          <w:szCs w:val="20"/>
          <w:color w:val="auto"/>
        </w:rPr>
      </w:pPr>
    </w:p>
    <w:p>
      <w:pPr>
        <w:jc w:val="both"/>
        <w:ind w:firstLine="1529"/>
        <w:spacing w:after="0" w:line="272"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duties and obligations of the Trustee shall with respect to the Securities of such series be determined solely by the express provisions of this Indenture,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32" w:lineRule="exact"/>
        <w:rPr>
          <w:sz w:val="20"/>
          <w:szCs w:val="20"/>
          <w:color w:val="auto"/>
        </w:rPr>
      </w:pPr>
    </w:p>
    <w:p>
      <w:pPr>
        <w:jc w:val="both"/>
        <w:ind w:firstLine="1529"/>
        <w:spacing w:after="0" w:line="265"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in the absence of bad faith on the part of the Trustee, the Trustee may with respect to the Securities of such series conclusively rely, as to the truth of the statements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0" w:name="page111"/>
    <w:bookmarkEnd w:id="110"/>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(ii)            </w:t>
      </w:r>
      <w:r>
        <w:rPr>
          <w:rFonts w:ascii="Times New Roman" w:cs="Times New Roman" w:eastAsia="Times New Roman" w:hAnsi="Times New Roman"/>
          <w:sz w:val="14"/>
          <w:szCs w:val="14"/>
          <w:color w:val="auto"/>
        </w:rPr>
        <w:t>the Trustee shall not be liable to any Securityholder or to any other Person for any error of judgment made in good faith by a Responsible Officer or Responsible Officers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Trustee, unless it shall be proved that the Trustee was negligent in ascertaining the pertinent facts;</w:t>
      </w:r>
    </w:p>
    <w:p>
      <w:pPr>
        <w:spacing w:after="0" w:line="121" w:lineRule="exact"/>
        <w:rPr>
          <w:sz w:val="20"/>
          <w:szCs w:val="20"/>
          <w:color w:val="auto"/>
        </w:rPr>
      </w:pPr>
    </w:p>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(iii)            </w:t>
      </w:r>
      <w:r>
        <w:rPr>
          <w:rFonts w:ascii="Times New Roman" w:cs="Times New Roman" w:eastAsia="Times New Roman" w:hAnsi="Times New Roman"/>
          <w:sz w:val="14"/>
          <w:szCs w:val="14"/>
          <w:color w:val="auto"/>
        </w:rPr>
        <w:t>the Trustee shall not be liable with respect to any action taken or omitted to be taken by it in good faith in accordance with the direction of the holders of not less than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32" w:lineRule="exact"/>
        <w:rPr>
          <w:sz w:val="20"/>
          <w:szCs w:val="20"/>
          <w:color w:val="auto"/>
        </w:rPr>
      </w:pPr>
    </w:p>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(iv)            </w:t>
      </w:r>
      <w:r>
        <w:rPr>
          <w:rFonts w:ascii="Times New Roman" w:cs="Times New Roman" w:eastAsia="Times New Roman" w:hAnsi="Times New Roman"/>
          <w:sz w:val="14"/>
          <w:szCs w:val="14"/>
          <w:color w:val="auto"/>
        </w:rPr>
        <w:t>none of the provisions contained in this Indenture shall require the Trustee to expend or risk its own funds or otherwise incur personal financial liability in the performance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(v)            </w:t>
      </w:r>
      <w:r>
        <w:rPr>
          <w:rFonts w:ascii="Times New Roman" w:cs="Times New Roman" w:eastAsia="Times New Roman" w:hAnsi="Times New Roman"/>
          <w:sz w:val="14"/>
          <w:szCs w:val="14"/>
          <w:color w:val="auto"/>
        </w:rPr>
        <w:t>The Trustee shall not be required to give any bond or surety in respect of the performance of its powers or duties hereunder;</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(vi)           </w:t>
      </w:r>
      <w:r>
        <w:rPr>
          <w:rFonts w:ascii="Times New Roman" w:cs="Times New Roman" w:eastAsia="Times New Roman" w:hAnsi="Times New Roman"/>
          <w:sz w:val="14"/>
          <w:szCs w:val="14"/>
          <w:color w:val="auto"/>
        </w:rPr>
        <w:t>The permissive right of the Trustee to do things enumerated in this Indenture shall not be construed as a duty of the Trustee; and</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(vii)          </w:t>
      </w:r>
      <w:r>
        <w:rPr>
          <w:rFonts w:ascii="Times New Roman" w:cs="Times New Roman" w:eastAsia="Times New Roman" w:hAnsi="Times New Roman"/>
          <w:sz w:val="14"/>
          <w:szCs w:val="14"/>
          <w:color w:val="auto"/>
        </w:rPr>
        <w:t>No Trustee shall have any duty or responsibility for any act or omission of any other Trustee appointed with respect to a series of Securities hereunder.</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7.02       Certain Rights of Trustee</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Except as otherwise provided in Section 7.01:</w:t>
      </w:r>
    </w:p>
    <w:p>
      <w:pPr>
        <w:spacing w:after="0" w:line="177"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Trustee may conclusively rely and shall be protected in acting or refraining from acting upon any resolution, certificate, statement, instrument, opinion, report, notice,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 consent, order, approval, bond, security or other paper or document believed by it to be genuine and to have been signed or presented by the proper party or parties;</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Any request, direction, order or demand of the Company mentioned herein shall be sufficiently evidenced by a Board Resolution or an instrument signed in the name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by any authorized Officer of the Company (unless other evidence in respect thereof is specifically prescribed herein);</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The Trustee may consult with counsel and the opinion or written advice of such counsel or, if requested, any Opinion of Counsel shall be full and complete authorization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protection in respect of any action taken or suffered or omitted hereunder in good faith and in reliance thereon;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1" w:name="page112"/>
    <w:bookmarkEnd w:id="111"/>
    <w:p>
      <w:pPr>
        <w:jc w:val="both"/>
        <w:ind w:firstLine="1019"/>
        <w:spacing w:after="0" w:line="262"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order or direction of any of the Securityholders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4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(e)            </w:t>
      </w:r>
      <w:r>
        <w:rPr>
          <w:rFonts w:ascii="Times New Roman" w:cs="Times New Roman" w:eastAsia="Times New Roman" w:hAnsi="Times New Roman"/>
          <w:sz w:val="14"/>
          <w:szCs w:val="14"/>
          <w:color w:val="auto"/>
        </w:rPr>
        <w:t>The Trustee shall not be liable for any action taken or omitted to be taken by it in good faith and believed by it to be authorized or within the discretion or rights or powers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conferred upon it by this Indenture;</w:t>
      </w:r>
    </w:p>
    <w:p>
      <w:pPr>
        <w:spacing w:after="0" w:line="121" w:lineRule="exact"/>
        <w:rPr>
          <w:sz w:val="20"/>
          <w:szCs w:val="20"/>
          <w:color w:val="auto"/>
        </w:rPr>
      </w:pPr>
    </w:p>
    <w:p>
      <w:pPr>
        <w:jc w:val="both"/>
        <w:ind w:firstLine="1019"/>
        <w:spacing w:after="0" w:line="260" w:lineRule="auto"/>
        <w:rPr>
          <w:sz w:val="20"/>
          <w:szCs w:val="20"/>
          <w:color w:val="auto"/>
        </w:rPr>
      </w:pPr>
      <w:r>
        <w:rPr>
          <w:rFonts w:ascii="Times New Roman" w:cs="Times New Roman" w:eastAsia="Times New Roman" w:hAnsi="Times New Roman"/>
          <w:sz w:val="14"/>
          <w:szCs w:val="14"/>
          <w:b w:val="1"/>
          <w:bCs w:val="1"/>
          <w:color w:val="auto"/>
        </w:rPr>
        <w:t>(f)            </w:t>
      </w:r>
      <w:r>
        <w:rPr>
          <w:rFonts w:ascii="Times New Roman" w:cs="Times New Roman" w:eastAsia="Times New Roman" w:hAnsi="Times New Roman"/>
          <w:sz w:val="14"/>
          <w:szCs w:val="14"/>
          <w:color w:val="auto"/>
        </w:rPr>
        <w:t>The Trustee shall not be bound to make any investigation into the facts or matters stated in any resolution, certificate, statement, instrument, opinion, report, notice, request,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313" w:lineRule="exact"/>
        <w:rPr>
          <w:sz w:val="20"/>
          <w:szCs w:val="20"/>
          <w:color w:val="auto"/>
        </w:rPr>
      </w:pPr>
    </w:p>
    <w:p>
      <w:pPr>
        <w:ind w:firstLine="1024"/>
        <w:spacing w:after="0" w:line="290" w:lineRule="auto"/>
        <w:tabs>
          <w:tab w:leader="none" w:pos="1220"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The Trustee may execute any of the trusts or powers hereunder or perform any duties hereunder either directly or by or through agents or attorneys and the Trustee shall not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responsible for any misconduct or negligence on the part of any agent or attorney appointed with due care by it hereunder;</w:t>
      </w:r>
    </w:p>
    <w:p>
      <w:pPr>
        <w:spacing w:after="0" w:line="121"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(h)            </w:t>
      </w: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39"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(i)            </w:t>
      </w:r>
      <w:r>
        <w:rPr>
          <w:rFonts w:ascii="Times New Roman" w:cs="Times New Roman" w:eastAsia="Times New Roman" w:hAnsi="Times New Roman"/>
          <w:sz w:val="14"/>
          <w:szCs w:val="14"/>
          <w:color w:val="auto"/>
        </w:rPr>
        <w:t>In no event shall the Trustee be responsible or liable for special, indirect, punitive or consequential loss or damage of any kind whatsoever (including, but not limited to, loss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profit) irrespective of whether the Trustee has been advised of the likelihood of such loss or damage and regardless of the form of action; and</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2" w:name="page113"/>
    <w:bookmarkEnd w:id="112"/>
    <w:p>
      <w:pPr>
        <w:jc w:val="both"/>
        <w:ind w:firstLine="1019"/>
        <w:spacing w:after="0" w:line="258" w:lineRule="auto"/>
        <w:rPr>
          <w:sz w:val="20"/>
          <w:szCs w:val="20"/>
          <w:color w:val="auto"/>
        </w:rPr>
      </w:pPr>
      <w:r>
        <w:rPr>
          <w:rFonts w:ascii="Times New Roman" w:cs="Times New Roman" w:eastAsia="Times New Roman" w:hAnsi="Times New Roman"/>
          <w:sz w:val="14"/>
          <w:szCs w:val="14"/>
          <w:b w:val="1"/>
          <w:bCs w:val="1"/>
          <w:color w:val="auto"/>
        </w:rPr>
        <w:t>(j)            </w:t>
      </w:r>
      <w:r>
        <w:rPr>
          <w:rFonts w:ascii="Times New Roman" w:cs="Times New Roman" w:eastAsia="Times New Roman" w:hAnsi="Times New Roman"/>
          <w:sz w:val="14"/>
          <w:szCs w:val="14"/>
          <w:color w:val="auto"/>
        </w:rPr>
        <w:t>The Trustee agrees to accept and act upon instructions or directions pursuant to this Indenture sent by unsecured e-mail, facsimile transmission or other similar unsecured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145"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(k)            </w:t>
      </w: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enforceable by, the Trustee in each of its capacities hereunder and under the Securities, and each agent, custodian or other person employed to act under this Indenture; and</w:t>
      </w:r>
    </w:p>
    <w:p>
      <w:pPr>
        <w:spacing w:after="0" w:line="121" w:lineRule="exact"/>
        <w:rPr>
          <w:sz w:val="20"/>
          <w:szCs w:val="20"/>
          <w:color w:val="auto"/>
        </w:rPr>
      </w:pPr>
    </w:p>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(l)            </w:t>
      </w:r>
      <w:r>
        <w:rPr>
          <w:rFonts w:ascii="Times New Roman" w:cs="Times New Roman" w:eastAsia="Times New Roman" w:hAnsi="Times New Roman"/>
          <w:sz w:val="14"/>
          <w:szCs w:val="14"/>
          <w:color w:val="auto"/>
        </w:rPr>
        <w:t>The Trustee shall not be deemed to have knowledge of any Default or Event of Default (other than an Event of Default constituting the failure to pay the interest on, 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7.03       Trustee Not Responsible for Recitals or Issuance or Securities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recitals contained herein and in the Securities shall be taken as the statements of the Company, and the Trustee assumes no responsibility for the correctness of the same.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Trustee makes no representations as to the validity or sufficiency of this Indenture or of the Securities.</w:t>
      </w:r>
    </w:p>
    <w:p>
      <w:pPr>
        <w:spacing w:after="0" w:line="179" w:lineRule="exact"/>
        <w:rPr>
          <w:sz w:val="20"/>
          <w:szCs w:val="20"/>
          <w:color w:val="auto"/>
        </w:rPr>
      </w:pPr>
    </w:p>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The Trustee shall not be accountable for the use or application by the Company of any of the Securities or of the proceeds of such Securities, or for the use or application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moneys paid over by the Trustee in accordance with any provision of this Indenture or established pursuant to Section 2.01, or for the use or application of any moneys received by any paying agent other than the Trustee.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3" w:name="page114"/>
    <w:bookmarkEnd w:id="113"/>
    <w:p>
      <w:pPr>
        <w:ind w:left="520"/>
        <w:spacing w:after="0"/>
        <w:rPr>
          <w:sz w:val="20"/>
          <w:szCs w:val="20"/>
          <w:color w:val="auto"/>
        </w:rPr>
      </w:pPr>
      <w:r>
        <w:rPr>
          <w:rFonts w:ascii="Times New Roman" w:cs="Times New Roman" w:eastAsia="Times New Roman" w:hAnsi="Times New Roman"/>
          <w:sz w:val="14"/>
          <w:szCs w:val="14"/>
          <w:b w:val="1"/>
          <w:bCs w:val="1"/>
          <w:color w:val="auto"/>
        </w:rPr>
        <w:t>Section 7.04       May Hold Securities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7.05       Moneys Held in Trust</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4"/>
          <w:szCs w:val="14"/>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7.06       Compensation and Reimbursement</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Company shall pay to the Trustee for each of its capacities hereunder from time to time compensation for its services as the Company and the Trustee shall from time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32"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Company shall indemnify each of the Trustee in each of its capacities hereunder against any loss, liability or expense (including the cost of defending itself and including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4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The Company need not reimburse any expense or indemnify against any loss or liability incurred by the Trustee or by any officer, director, employee, shareholder or agent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Trustee through negligence or bad faith.</w:t>
      </w:r>
    </w:p>
    <w:p>
      <w:pPr>
        <w:spacing w:after="0" w:line="121"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To ensure the Company’s payment obligations in this Section, the Trustee shall have a lien prior to the Securities on all funds or property held or collected by the Trustee,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4" w:name="page115"/>
    <w:bookmarkEnd w:id="114"/>
    <w:p>
      <w:pPr>
        <w:ind w:left="520"/>
        <w:spacing w:after="0"/>
        <w:rPr>
          <w:sz w:val="20"/>
          <w:szCs w:val="20"/>
          <w:color w:val="auto"/>
        </w:rPr>
      </w:pPr>
      <w:r>
        <w:rPr>
          <w:rFonts w:ascii="Times New Roman" w:cs="Times New Roman" w:eastAsia="Times New Roman" w:hAnsi="Times New Roman"/>
          <w:sz w:val="14"/>
          <w:szCs w:val="14"/>
          <w:b w:val="1"/>
          <w:bCs w:val="1"/>
          <w:color w:val="auto"/>
        </w:rPr>
        <w:t>Section 7.07       Reliance on Officer’s Certificate</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4"/>
          <w:szCs w:val="14"/>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7.08       Disqualification; Conflicting Interests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7.09       Corporate Trustee Required; Eligibility</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4"/>
          <w:szCs w:val="14"/>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41"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4"/>
          <w:szCs w:val="14"/>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7.10       Resignation and Removal; Appointment of Successor</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firstLine="1019"/>
        <w:spacing w:after="0" w:line="259"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Trustee or any successor hereafter appointed may at any time resign with respect to the Securities of one or more series by giving written notice thereof to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5" w:name="page116"/>
    <w:bookmarkEnd w:id="115"/>
    <w:p>
      <w:pPr>
        <w:ind w:left="102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In case at any time any one of the following shall occur:</w:t>
      </w:r>
    </w:p>
    <w:p>
      <w:pPr>
        <w:spacing w:after="0" w:line="179" w:lineRule="exact"/>
        <w:rPr>
          <w:sz w:val="20"/>
          <w:szCs w:val="20"/>
          <w:color w:val="auto"/>
        </w:rPr>
      </w:pPr>
    </w:p>
    <w:p>
      <w:pPr>
        <w:jc w:val="both"/>
        <w:ind w:firstLine="1529"/>
        <w:spacing w:after="0" w:line="290" w:lineRule="auto"/>
        <w:rPr>
          <w:sz w:val="20"/>
          <w:szCs w:val="20"/>
          <w:color w:val="auto"/>
        </w:rPr>
      </w:pPr>
      <w:r>
        <w:rPr>
          <w:rFonts w:ascii="Times New Roman" w:cs="Times New Roman" w:eastAsia="Times New Roman" w:hAnsi="Times New Roman"/>
          <w:sz w:val="14"/>
          <w:szCs w:val="14"/>
          <w:b w:val="1"/>
          <w:bCs w:val="1"/>
          <w:color w:val="auto"/>
        </w:rPr>
        <w:t>(i)            </w:t>
      </w:r>
      <w:r>
        <w:rPr>
          <w:rFonts w:ascii="Times New Roman" w:cs="Times New Roman" w:eastAsia="Times New Roman" w:hAnsi="Times New Roman"/>
          <w:sz w:val="14"/>
          <w:szCs w:val="14"/>
          <w:color w:val="auto"/>
        </w:rPr>
        <w:t>the Trustee shall fail to comply with the provisions of Section 7.08 after written request therefor by the Company or by any Securityholder who has been a bona fide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holder of a Security or Securities for at least six months; or</w:t>
      </w:r>
    </w:p>
    <w:p>
      <w:pPr>
        <w:spacing w:after="0" w:line="121" w:lineRule="exact"/>
        <w:rPr>
          <w:sz w:val="20"/>
          <w:szCs w:val="20"/>
          <w:color w:val="auto"/>
        </w:rPr>
      </w:pPr>
    </w:p>
    <w:p>
      <w:pPr>
        <w:jc w:val="both"/>
        <w:ind w:firstLine="1529"/>
        <w:spacing w:after="0" w:line="290" w:lineRule="auto"/>
        <w:rPr>
          <w:sz w:val="20"/>
          <w:szCs w:val="20"/>
          <w:color w:val="auto"/>
        </w:rPr>
      </w:pPr>
      <w:r>
        <w:rPr>
          <w:rFonts w:ascii="Times New Roman" w:cs="Times New Roman" w:eastAsia="Times New Roman" w:hAnsi="Times New Roman"/>
          <w:sz w:val="14"/>
          <w:szCs w:val="14"/>
          <w:b w:val="1"/>
          <w:bCs w:val="1"/>
          <w:color w:val="auto"/>
        </w:rPr>
        <w:t>(ii)            </w:t>
      </w:r>
      <w:r>
        <w:rPr>
          <w:rFonts w:ascii="Times New Roman" w:cs="Times New Roman" w:eastAsia="Times New Roman" w:hAnsi="Times New Roman"/>
          <w:sz w:val="14"/>
          <w:szCs w:val="14"/>
          <w:color w:val="auto"/>
        </w:rPr>
        <w:t>the Trustee shall cease to be eligible in accordance with the provisions of Section 7.09 and shall fail to resign after written request therefor by the Company or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such Securityholder; or</w:t>
      </w:r>
    </w:p>
    <w:p>
      <w:pPr>
        <w:spacing w:after="0" w:line="121" w:lineRule="exact"/>
        <w:rPr>
          <w:sz w:val="20"/>
          <w:szCs w:val="20"/>
          <w:color w:val="auto"/>
        </w:rPr>
      </w:pPr>
    </w:p>
    <w:p>
      <w:pPr>
        <w:jc w:val="both"/>
        <w:ind w:firstLine="1529"/>
        <w:spacing w:after="0" w:line="272" w:lineRule="auto"/>
        <w:rPr>
          <w:sz w:val="20"/>
          <w:szCs w:val="20"/>
          <w:color w:val="auto"/>
        </w:rPr>
      </w:pPr>
      <w:r>
        <w:rPr>
          <w:rFonts w:ascii="Times New Roman" w:cs="Times New Roman" w:eastAsia="Times New Roman" w:hAnsi="Times New Roman"/>
          <w:sz w:val="14"/>
          <w:szCs w:val="14"/>
          <w:b w:val="1"/>
          <w:bCs w:val="1"/>
          <w:color w:val="auto"/>
        </w:rPr>
        <w:t>(iii)            </w:t>
      </w:r>
      <w:r>
        <w:rPr>
          <w:rFonts w:ascii="Times New Roman" w:cs="Times New Roman" w:eastAsia="Times New Roman" w:hAnsi="Times New Roman"/>
          <w:sz w:val="14"/>
          <w:szCs w:val="14"/>
          <w:color w:val="auto"/>
        </w:rPr>
        <w:t>the Trustee shall become incapable of acting, or shall be adjudged a bankrupt or insolvent, or commence a voluntary bankruptcy proceeding, or a receiver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Trustee or of its property shall be appointed or consented to, or any public officer shall take charge or control of the Trustee or of its property or affairs for the purpose of rehabilitation, conservation or liquidation;</w:t>
      </w:r>
    </w:p>
    <w:p>
      <w:pPr>
        <w:spacing w:after="0" w:line="134"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4"/>
          <w:szCs w:val="14"/>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39"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The holders of a majority in aggregate principal amount of the Securities of any series at the time Outstanding may at any time remove the Trustee with respect to such series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so notifying the Trustee and the Company and may appoint a successor Trustee for such series with the consent of the Company.</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Any resignation or removal of the Trustee and appointment of a successor trustee with respect to the Securities of a series pursuant to any of the provisions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shall become effective upon acceptance of appointment by the successor trustee as provided in Section 7.11.</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(e)            </w:t>
      </w:r>
      <w:r>
        <w:rPr>
          <w:rFonts w:ascii="Times New Roman" w:cs="Times New Roman" w:eastAsia="Times New Roman" w:hAnsi="Times New Roman"/>
          <w:sz w:val="14"/>
          <w:szCs w:val="14"/>
          <w:color w:val="auto"/>
        </w:rPr>
        <w:t>Any successor trustee appointed pursuant to this Section may be appointed with respect to the Securities of one or more series or all of such series, and at any time there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only one Trustee with respect to the Securities of any particular series.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6" w:name="page117"/>
    <w:bookmarkEnd w:id="116"/>
    <w:p>
      <w:pPr>
        <w:ind w:left="520"/>
        <w:spacing w:after="0"/>
        <w:rPr>
          <w:sz w:val="20"/>
          <w:szCs w:val="20"/>
          <w:color w:val="auto"/>
        </w:rPr>
      </w:pPr>
      <w:r>
        <w:rPr>
          <w:rFonts w:ascii="Times New Roman" w:cs="Times New Roman" w:eastAsia="Times New Roman" w:hAnsi="Times New Roman"/>
          <w:sz w:val="14"/>
          <w:szCs w:val="14"/>
          <w:b w:val="1"/>
          <w:bCs w:val="1"/>
          <w:color w:val="auto"/>
        </w:rPr>
        <w:t>Section 7.11       Acceptance of Appointment By Successor</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In case of the appointment hereunder of a successor trustee with respect to all Securities, every such successor trustee so appointed shall execute, acknowledge and deliver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41" w:lineRule="exact"/>
        <w:rPr>
          <w:sz w:val="20"/>
          <w:szCs w:val="20"/>
          <w:color w:val="auto"/>
        </w:rPr>
      </w:pPr>
    </w:p>
    <w:p>
      <w:pPr>
        <w:jc w:val="both"/>
        <w:ind w:firstLine="1019"/>
        <w:spacing w:after="0" w:line="256"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In case of the appointment hereunder of a successor trustee with respect to the Securities of one or more (but not all) series, the Company, the retiring Trustee and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45"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Upon request of any such successor trustee, the Company shall execute any and all instruments for more fully and certainly vesting in and confirming to such successor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trustee all such rights, powers and trusts referred to in paragraph (a) or (b) of this Section, as the case may be.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7" w:name="page118"/>
    <w:bookmarkEnd w:id="117"/>
    <w:p>
      <w:pPr>
        <w:ind w:left="1020"/>
        <w:spacing w:after="0"/>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No successor trustee shall accept its appointment unless at the time of such acceptance such successor trustee shall be qualified and eligible under this Article.</w:t>
      </w:r>
    </w:p>
    <w:p>
      <w:pPr>
        <w:spacing w:after="0" w:line="179" w:lineRule="exact"/>
        <w:rPr>
          <w:sz w:val="20"/>
          <w:szCs w:val="20"/>
          <w:color w:val="auto"/>
        </w:rPr>
      </w:pPr>
    </w:p>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(e)            </w:t>
      </w:r>
      <w:r>
        <w:rPr>
          <w:rFonts w:ascii="Times New Roman" w:cs="Times New Roman" w:eastAsia="Times New Roman" w:hAnsi="Times New Roman"/>
          <w:sz w:val="14"/>
          <w:szCs w:val="14"/>
          <w:color w:val="auto"/>
        </w:rPr>
        <w:t>Upon acceptance of appointment by a successor trustee as provided in this Section, the Company shall send notice of the succession of such trustee hereunder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Securityholders. If the Company fails to send such notice within ten days after acceptance of appointment by the successor trustee, the successor trustee shall cause such notice to be sent at the expense of the Company.</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7.12       Merger, Conversion, Consolidation or Succession to Business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4"/>
          <w:szCs w:val="14"/>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7.13       Preferential Collection of Claims Against the Company</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7.14       Notice of Default</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4"/>
          <w:szCs w:val="14"/>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4"/>
          <w:szCs w:val="14"/>
          <w:b w:val="1"/>
          <w:bCs w:val="1"/>
          <w:color w:val="auto"/>
        </w:rPr>
        <w:t>ARTICLE 8</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SECURITYHOLDERS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8.01       Evidence of Action by Securityholders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4"/>
          <w:szCs w:val="14"/>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41"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4"/>
          <w:szCs w:val="14"/>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8.02       Proof of Execution by Securityholders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fact and date of the execution by any such Person of any instrument may be proved in any reasonable manner acceptable to the Trustee.</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ownership of Securities shall be proved by the Security Register of such Securities or by a certificate of the Security Registrar thereof.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Trustee may require such additional proof of any matter referred to in this Section as it shall deem necessary.</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9" w:name="page120"/>
    <w:bookmarkEnd w:id="119"/>
    <w:p>
      <w:pPr>
        <w:ind w:left="520"/>
        <w:spacing w:after="0"/>
        <w:rPr>
          <w:sz w:val="20"/>
          <w:szCs w:val="20"/>
          <w:color w:val="auto"/>
        </w:rPr>
      </w:pPr>
      <w:r>
        <w:rPr>
          <w:rFonts w:ascii="Times New Roman" w:cs="Times New Roman" w:eastAsia="Times New Roman" w:hAnsi="Times New Roman"/>
          <w:sz w:val="14"/>
          <w:szCs w:val="14"/>
          <w:b w:val="1"/>
          <w:bCs w:val="1"/>
          <w:color w:val="auto"/>
        </w:rPr>
        <w:t>Section 8.03       Who May be Deemed Owners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4"/>
          <w:szCs w:val="14"/>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3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8.04       Certain Securities Owned by Company Disregarded</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4"/>
          <w:szCs w:val="14"/>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8.05       Actions Binding on Future Securityholders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4"/>
          <w:szCs w:val="14"/>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4"/>
          <w:szCs w:val="14"/>
          <w:b w:val="1"/>
          <w:bCs w:val="1"/>
          <w:color w:val="auto"/>
        </w:rPr>
        <w:t>ARTICLE 9</w:t>
      </w:r>
    </w:p>
    <w:p>
      <w:pPr>
        <w:spacing w:after="0" w:line="17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9.01       Supplemental Indentures Without the Consent of Securityholders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to cure any ambiguity, defect, or inconsistency herein or in the Securities of any series;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to comply with Article Ten;</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79"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to add to the covenants, restrictions, conditions or provisions relating to the Company for the benefit of the holders of all or any series of Securities (and if such covenants,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(e)            </w:t>
      </w: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Securities, 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herein set forth;</w:t>
      </w:r>
    </w:p>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(f)            </w:t>
      </w:r>
      <w:r>
        <w:rPr>
          <w:rFonts w:ascii="Times New Roman" w:cs="Times New Roman" w:eastAsia="Times New Roman" w:hAnsi="Times New Roman"/>
          <w:sz w:val="14"/>
          <w:szCs w:val="14"/>
          <w:color w:val="auto"/>
        </w:rPr>
        <w:t>to make any change that does not adversely affect the rights of any Securityholder in any material respect;</w:t>
      </w:r>
    </w:p>
    <w:p>
      <w:pPr>
        <w:spacing w:after="0" w:line="179"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(g)            </w:t>
      </w:r>
      <w:r>
        <w:rPr>
          <w:rFonts w:ascii="Times New Roman" w:cs="Times New Roman" w:eastAsia="Times New Roman" w:hAnsi="Times New Roman"/>
          <w:sz w:val="14"/>
          <w:szCs w:val="14"/>
          <w:color w:val="auto"/>
        </w:rPr>
        <w:t>to provide for the issuance of and establish the form and terms and conditions of the Securities of any series as provided in Section 2.01, to establish the form of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certifications required to be furnished pursuant to the terms of this Indenture or any series of Securities, or to add to the rights of the holders of any series of Securities;</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(h)            </w:t>
      </w:r>
      <w:r>
        <w:rPr>
          <w:rFonts w:ascii="Times New Roman" w:cs="Times New Roman" w:eastAsia="Times New Roman" w:hAnsi="Times New Roman"/>
          <w:sz w:val="14"/>
          <w:szCs w:val="14"/>
          <w:color w:val="auto"/>
        </w:rPr>
        <w:t>to evidence and provide for the acceptance of appointment hereunder by a successor trustee; or</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(i)            </w:t>
      </w:r>
      <w:r>
        <w:rPr>
          <w:rFonts w:ascii="Times New Roman" w:cs="Times New Roman" w:eastAsia="Times New Roman" w:hAnsi="Times New Roman"/>
          <w:sz w:val="14"/>
          <w:szCs w:val="14"/>
          <w:color w:val="auto"/>
        </w:rPr>
        <w:t>to comply with any requirements of the Commission or any successor in connection with the qualification of this Indenture under the Trust Indenture Act.</w:t>
      </w:r>
    </w:p>
    <w:p>
      <w:pPr>
        <w:spacing w:after="0" w:line="181" w:lineRule="exact"/>
        <w:rPr>
          <w:sz w:val="20"/>
          <w:szCs w:val="20"/>
          <w:color w:val="auto"/>
        </w:rPr>
      </w:pPr>
    </w:p>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21" w:name="page122"/>
    <w:bookmarkEnd w:id="121"/>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9.02       Supplemental Indentures With Consent of Securityholders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4"/>
          <w:szCs w:val="14"/>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43" w:lineRule="exact"/>
        <w:rPr>
          <w:sz w:val="20"/>
          <w:szCs w:val="20"/>
          <w:color w:val="auto"/>
        </w:rPr>
      </w:pPr>
    </w:p>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9.03       Effect of Supplemental Indentures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4"/>
          <w:szCs w:val="14"/>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9.04       Securities Affected by Supplemental Indentures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4"/>
          <w:szCs w:val="14"/>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122" w:name="page123"/>
    <w:bookmarkEnd w:id="122"/>
    <w:p>
      <w:pPr>
        <w:ind w:left="520"/>
        <w:spacing w:after="0"/>
        <w:rPr>
          <w:sz w:val="20"/>
          <w:szCs w:val="20"/>
          <w:color w:val="auto"/>
        </w:rPr>
      </w:pPr>
      <w:r>
        <w:rPr>
          <w:rFonts w:ascii="Times New Roman" w:cs="Times New Roman" w:eastAsia="Times New Roman" w:hAnsi="Times New Roman"/>
          <w:sz w:val="14"/>
          <w:szCs w:val="14"/>
          <w:b w:val="1"/>
          <w:bCs w:val="1"/>
          <w:color w:val="auto"/>
        </w:rPr>
        <w:t>Section 9.05       Execution of Supplemental Indentures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4"/>
          <w:szCs w:val="14"/>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43"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4"/>
          <w:szCs w:val="14"/>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SUCCESSOR ENTITY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10.01     Company May Consolidate, Etc.</w:t>
      </w:r>
    </w:p>
    <w:p>
      <w:pPr>
        <w:spacing w:after="0" w:line="181"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14"/>
          <w:szCs w:val="14"/>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23" w:name="page124"/>
    <w:bookmarkEnd w:id="123"/>
    <w:p>
      <w:pPr>
        <w:ind w:left="520"/>
        <w:spacing w:after="0"/>
        <w:rPr>
          <w:sz w:val="20"/>
          <w:szCs w:val="20"/>
          <w:color w:val="auto"/>
        </w:rPr>
      </w:pPr>
      <w:r>
        <w:rPr>
          <w:rFonts w:ascii="Times New Roman" w:cs="Times New Roman" w:eastAsia="Times New Roman" w:hAnsi="Times New Roman"/>
          <w:sz w:val="14"/>
          <w:szCs w:val="14"/>
          <w:b w:val="1"/>
          <w:bCs w:val="1"/>
          <w:color w:val="auto"/>
        </w:rPr>
        <w:t>Section 10.02     Successor Entity Substituted</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In case of any such consolidation, merger, sale, conveyance, transfer or other disposition and upon the assumption by the successor entity by supplemental indenture,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39"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In case of any such consolidation, merger, sale, conveyance, transfer or other disposition, such changes in phraseology and form (but not in substance) may be made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thereafter to be issued as may be appropriate.</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Nothing contained in this Article shall require any action by the Company in the case of a consolidation or merger of any Person into the Company where the Company is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survivor of such transaction, or the acquisition by the Company, by purchase or otherwise, of all or any part of the property of any other Person (whether or not affiliated with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11.01     Satisfaction and Discharge of Indenture</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4"/>
          <w:szCs w:val="14"/>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24" w:name="page125"/>
    <w:bookmarkEnd w:id="124"/>
    <w:p>
      <w:pPr>
        <w:ind w:left="520"/>
        <w:spacing w:after="0"/>
        <w:rPr>
          <w:sz w:val="20"/>
          <w:szCs w:val="20"/>
          <w:color w:val="auto"/>
        </w:rPr>
      </w:pPr>
      <w:r>
        <w:rPr>
          <w:rFonts w:ascii="Times New Roman" w:cs="Times New Roman" w:eastAsia="Times New Roman" w:hAnsi="Times New Roman"/>
          <w:sz w:val="14"/>
          <w:szCs w:val="14"/>
          <w:b w:val="1"/>
          <w:bCs w:val="1"/>
          <w:color w:val="auto"/>
        </w:rPr>
        <w:t>Section 11.02     Discharge of Obligations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4"/>
          <w:szCs w:val="14"/>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Thereafter, Sections 7.06 and 11.05 shall survive.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11.03     Deposited Moneys to be Held in Trust</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4"/>
          <w:szCs w:val="14"/>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11.04     Payment of Moneys Held by Paying Agents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25" w:name="page126"/>
    <w:bookmarkEnd w:id="125"/>
    <w:p>
      <w:pPr>
        <w:ind w:left="520"/>
        <w:spacing w:after="0"/>
        <w:rPr>
          <w:sz w:val="20"/>
          <w:szCs w:val="20"/>
          <w:color w:val="auto"/>
        </w:rPr>
      </w:pPr>
      <w:r>
        <w:rPr>
          <w:rFonts w:ascii="Times New Roman" w:cs="Times New Roman" w:eastAsia="Times New Roman" w:hAnsi="Times New Roman"/>
          <w:sz w:val="14"/>
          <w:szCs w:val="14"/>
          <w:b w:val="1"/>
          <w:bCs w:val="1"/>
          <w:color w:val="auto"/>
        </w:rPr>
        <w:t>Section 11.05     Repayment to Company</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4"/>
          <w:szCs w:val="14"/>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IMMUNITY OF INCORPORATORS, STOCKHOLDERS, OFFICERS AND DIRECTORS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12.01     No Recourse</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14"/>
          <w:szCs w:val="14"/>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4"/>
          <w:szCs w:val="14"/>
          <w:b w:val="1"/>
          <w:bCs w:val="1"/>
          <w:color w:val="auto"/>
        </w:rPr>
        <w:t>ARTICLE 13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13.01     Effect on Successors and Assigns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the covenants, stipulations, promises and agreements in this Indenture made by or on behalf of the Company shall bind its successors and assigns, whether so expressed or not.</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13.02     Actions by Successor</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13.03     Surrender of Company Powers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13.04     Notices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4"/>
          <w:szCs w:val="14"/>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w:t>
      </w:r>
      <w:r>
        <w:rPr>
          <w:rFonts w:ascii="Times New Roman" w:cs="Times New Roman" w:eastAsia="Times New Roman" w:hAnsi="Times New Roman"/>
          <w:sz w:val="14"/>
          <w:szCs w:val="14"/>
          <w:u w:val="single" w:color="auto"/>
          <w:color w:val="auto"/>
        </w:rPr>
        <w:t>                                                                                                                </w:t>
      </w:r>
      <w:r>
        <w:rPr>
          <w:rFonts w:ascii="Times New Roman" w:cs="Times New Roman" w:eastAsia="Times New Roman" w:hAnsi="Times New Roman"/>
          <w:sz w:val="14"/>
          <w:szCs w:val="14"/>
          <w:color w:val="auto"/>
        </w:rPr>
        <w:t>.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13.05     Governing Law; Jury Trial Waiver</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This Indenture and each Security shall be governed by, and construed in accordance with, the internal laws of the State of New York, except to the extent that the Trust Indenture Act is applicable.</w:t>
      </w:r>
    </w:p>
    <w:p>
      <w:pPr>
        <w:spacing w:after="0" w:line="125"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4"/>
          <w:szCs w:val="14"/>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27" w:name="page128"/>
    <w:bookmarkEnd w:id="127"/>
    <w:p>
      <w:pPr>
        <w:ind w:left="520"/>
        <w:spacing w:after="0"/>
        <w:rPr>
          <w:sz w:val="20"/>
          <w:szCs w:val="20"/>
          <w:color w:val="auto"/>
        </w:rPr>
      </w:pPr>
      <w:r>
        <w:rPr>
          <w:rFonts w:ascii="Times New Roman" w:cs="Times New Roman" w:eastAsia="Times New Roman" w:hAnsi="Times New Roman"/>
          <w:sz w:val="14"/>
          <w:szCs w:val="14"/>
          <w:b w:val="1"/>
          <w:bCs w:val="1"/>
          <w:color w:val="auto"/>
        </w:rPr>
        <w:t>Section 13.06     Treatment of Securities as Debt</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It is intended that the Securities will be treated as indebtedness and not as equity for federal income tax purposes. The provisions of this Indenture shall be interpreted to further this intention.</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13.07     Certificates and Opinions as to Conditions Precedent</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Upon any application or demand by the Company to the Trustee to take any action under any of the provisions of this Indenture, the Company shall furnish to the Trustee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41"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Each certificate or opinion provided for in this Indenture and delivered to the Trustee with respect to compliance with a condition or covenant in this Indenture (other than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13.08     Payments on Business Days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4"/>
          <w:szCs w:val="14"/>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28" w:name="page129"/>
    <w:bookmarkEnd w:id="128"/>
    <w:p>
      <w:pPr>
        <w:ind w:left="520"/>
        <w:spacing w:after="0"/>
        <w:rPr>
          <w:sz w:val="20"/>
          <w:szCs w:val="20"/>
          <w:color w:val="auto"/>
        </w:rPr>
      </w:pPr>
      <w:r>
        <w:rPr>
          <w:rFonts w:ascii="Times New Roman" w:cs="Times New Roman" w:eastAsia="Times New Roman" w:hAnsi="Times New Roman"/>
          <w:sz w:val="14"/>
          <w:szCs w:val="14"/>
          <w:b w:val="1"/>
          <w:bCs w:val="1"/>
          <w:color w:val="auto"/>
        </w:rPr>
        <w:t>Section 13.09     Conflict with Trust Indenture Act</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and to the extent that any provision of this Indenture limits, qualifies or conflicts with the duties imposed by Section 318(c) of the Trust Indenture Act, such imposed duties shall control.</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13.10     Counterparts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13.11     Separability</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4"/>
          <w:szCs w:val="14"/>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13.12     Compliance Certificates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shall deliver to the Trustee, within 120 days after the end of each fiscal year during which any Securities of any series were outstanding, an officer’s certificate stating whether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not the signers know of any Event of Default that occurred during such fiscal year. Such certificate shall contain a certification from the principal executive officer, principal financial officer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accounting officer of the Company that a review has been conducted of the activities of the Company and the Company’s performance under this Indenture and that the Company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complied with all conditions and covenants under this Indenture. For purposes of this Section 13.12, such compliance shall be determined without regard to any period of grace or requirement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notice provided under this Indenture. If the officer of the Company signing such certificate has knowledge of such an Event of Default, the certificate shall describe any such Event of Default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13.13     U.S.A Patriot Act</w:t>
      </w:r>
      <w:r>
        <w:rPr>
          <w:rFonts w:ascii="Times New Roman" w:cs="Times New Roman" w:eastAsia="Times New Roman" w:hAnsi="Times New Roman"/>
          <w:sz w:val="14"/>
          <w:szCs w:val="14"/>
          <w:color w:val="auto"/>
        </w:rPr>
        <w:t>.</w:t>
      </w:r>
    </w:p>
    <w:p>
      <w:pPr>
        <w:spacing w:after="0" w:line="165"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29" w:name="page130"/>
    <w:bookmarkEnd w:id="129"/>
    <w:p>
      <w:pPr>
        <w:ind w:left="520"/>
        <w:spacing w:after="0"/>
        <w:rPr>
          <w:sz w:val="20"/>
          <w:szCs w:val="20"/>
          <w:color w:val="auto"/>
        </w:rPr>
      </w:pPr>
      <w:r>
        <w:rPr>
          <w:rFonts w:ascii="Times New Roman" w:cs="Times New Roman" w:eastAsia="Times New Roman" w:hAnsi="Times New Roman"/>
          <w:sz w:val="14"/>
          <w:szCs w:val="14"/>
          <w:b w:val="1"/>
          <w:bCs w:val="1"/>
          <w:color w:val="auto"/>
        </w:rPr>
        <w:t>Section 13.14     Force Majeure</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4"/>
          <w:szCs w:val="14"/>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Section 13.15     Table of Contents; Headings.</w:t>
      </w:r>
    </w:p>
    <w:p>
      <w:pPr>
        <w:spacing w:after="0" w:line="181" w:lineRule="exact"/>
        <w:rPr>
          <w:sz w:val="20"/>
          <w:szCs w:val="20"/>
          <w:color w:val="auto"/>
        </w:rPr>
      </w:pPr>
    </w:p>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4"/>
          <w:szCs w:val="14"/>
          <w:color w:val="auto"/>
        </w:rPr>
        <w:t>, the parties hereto have caused this Indenture to be duly executed all as of the day and year first above written.</w:t>
      </w:r>
    </w:p>
    <w:p>
      <w:pPr>
        <w:spacing w:after="0" w:line="17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e</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9"/>
          <w:szCs w:val="9"/>
          <w:b w:val="1"/>
          <w:bCs w:val="1"/>
          <w:color w:val="auto"/>
        </w:rPr>
        <w:t>ide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w:t>
      </w:r>
    </w:p>
    <w:p>
      <w:pPr>
        <w:spacing w:after="0" w:line="18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15240</wp:posOffset>
            </wp:positionV>
            <wp:extent cx="316293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3162935" cy="6985"/>
                    </a:xfrm>
                    <a:prstGeom prst="rect">
                      <a:avLst/>
                    </a:prstGeom>
                    <a:noFill/>
                  </pic:spPr>
                </pic:pic>
              </a:graphicData>
            </a:graphic>
          </wp:anchor>
        </w:drawing>
      </w:r>
    </w:p>
    <w:p>
      <w:pPr>
        <w:spacing w:after="0" w:line="15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15240</wp:posOffset>
            </wp:positionV>
            <wp:extent cx="316293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3162935" cy="6985"/>
                    </a:xfrm>
                    <a:prstGeom prst="rect">
                      <a:avLst/>
                    </a:prstGeom>
                    <a:noFill/>
                  </pic:spPr>
                </pic:pic>
              </a:graphicData>
            </a:graphic>
          </wp:anchor>
        </w:drawing>
      </w:r>
    </w:p>
    <w:p>
      <w:pPr>
        <w:spacing w:after="0" w:line="15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15240</wp:posOffset>
            </wp:positionV>
            <wp:extent cx="316293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3162935" cy="6985"/>
                    </a:xfrm>
                    <a:prstGeom prst="rect">
                      <a:avLst/>
                    </a:prstGeom>
                    <a:noFill/>
                  </pic:spPr>
                </pic:pic>
              </a:graphicData>
            </a:graphic>
          </wp:anchor>
        </w:drawing>
      </w:r>
    </w:p>
    <w:p>
      <w:pPr>
        <w:spacing w:after="0" w:line="15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rustee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Trustee</w:t>
      </w:r>
    </w:p>
    <w:p>
      <w:pPr>
        <w:spacing w:after="0" w:line="18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15240</wp:posOffset>
            </wp:positionV>
            <wp:extent cx="316293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3162935" cy="6985"/>
                    </a:xfrm>
                    <a:prstGeom prst="rect">
                      <a:avLst/>
                    </a:prstGeom>
                    <a:noFill/>
                  </pic:spPr>
                </pic:pic>
              </a:graphicData>
            </a:graphic>
          </wp:anchor>
        </w:drawing>
      </w:r>
    </w:p>
    <w:p>
      <w:pPr>
        <w:spacing w:after="0" w:line="15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15240</wp:posOffset>
            </wp:positionV>
            <wp:extent cx="316293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3162935" cy="6985"/>
                    </a:xfrm>
                    <a:prstGeom prst="rect">
                      <a:avLst/>
                    </a:prstGeom>
                    <a:noFill/>
                  </pic:spPr>
                </pic:pic>
              </a:graphicData>
            </a:graphic>
          </wp:anchor>
        </w:drawing>
      </w:r>
    </w:p>
    <w:p>
      <w:pPr>
        <w:spacing w:after="0" w:line="15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15240</wp:posOffset>
            </wp:positionV>
            <wp:extent cx="316293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3162935" cy="6985"/>
                    </a:xfrm>
                    <a:prstGeom prst="rect">
                      <a:avLst/>
                    </a:prstGeom>
                    <a:noFill/>
                  </pic:spPr>
                </pic:pic>
              </a:graphicData>
            </a:graphic>
          </wp:anchor>
        </w:drawing>
      </w:r>
    </w:p>
    <w:p>
      <w:pPr>
        <w:spacing w:after="0" w:line="33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15240</wp:posOffset>
            </wp:positionV>
            <wp:extent cx="716153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9639"/>
          </w:cols>
          <w:pgMar w:left="820" w:top="739" w:right="1440"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86"/>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CROSS-REFERENCE TABLE (1)</w:t>
            </w:r>
          </w:p>
        </w:tc>
        <w:tc>
          <w:tcPr>
            <w:tcW w:w="14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340"/>
        </w:trPr>
        <w:tc>
          <w:tcPr>
            <w:tcW w:w="80" w:type="dxa"/>
            <w:vAlign w:val="bottom"/>
          </w:tcPr>
          <w:p>
            <w:pPr>
              <w:spacing w:after="0"/>
              <w:rPr>
                <w:sz w:val="24"/>
                <w:szCs w:val="24"/>
                <w:color w:val="auto"/>
              </w:rPr>
            </w:pPr>
          </w:p>
        </w:tc>
        <w:tc>
          <w:tcPr>
            <w:tcW w:w="832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4"/>
                <w:szCs w:val="14"/>
                <w:b w:val="1"/>
                <w:bCs w:val="1"/>
                <w:color w:val="auto"/>
              </w:rPr>
              <w:t>Section of Trust Indenture Act of 1939, as Amended</w:t>
            </w:r>
          </w:p>
        </w:tc>
        <w:tc>
          <w:tcPr>
            <w:tcW w:w="140" w:type="dxa"/>
            <w:vAlign w:val="bottom"/>
          </w:tcPr>
          <w:p>
            <w:pPr>
              <w:spacing w:after="0"/>
              <w:rPr>
                <w:sz w:val="24"/>
                <w:szCs w:val="24"/>
                <w:color w:val="auto"/>
              </w:rPr>
            </w:pPr>
          </w:p>
        </w:tc>
        <w:tc>
          <w:tcPr>
            <w:tcW w:w="26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Section of Indenture</w:t>
            </w:r>
          </w:p>
        </w:tc>
      </w:tr>
      <w:tr>
        <w:trPr>
          <w:trHeight w:val="146"/>
        </w:trPr>
        <w:tc>
          <w:tcPr>
            <w:tcW w:w="80" w:type="dxa"/>
            <w:vAlign w:val="bottom"/>
          </w:tcPr>
          <w:p>
            <w:pPr>
              <w:spacing w:after="0"/>
              <w:rPr>
                <w:sz w:val="12"/>
                <w:szCs w:val="12"/>
                <w:color w:val="auto"/>
              </w:rPr>
            </w:pPr>
          </w:p>
        </w:tc>
        <w:tc>
          <w:tcPr>
            <w:tcW w:w="8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310(a)</w:t>
            </w:r>
          </w:p>
        </w:tc>
        <w:tc>
          <w:tcPr>
            <w:tcW w:w="140" w:type="dxa"/>
            <w:vAlign w:val="bottom"/>
          </w:tcPr>
          <w:p>
            <w:pPr>
              <w:spacing w:after="0"/>
              <w:rPr>
                <w:sz w:val="12"/>
                <w:szCs w:val="12"/>
                <w:color w:val="auto"/>
              </w:rPr>
            </w:pPr>
          </w:p>
        </w:tc>
        <w:tc>
          <w:tcPr>
            <w:tcW w:w="26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7.09</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310(b)</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7.08</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7.10</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310(c)</w:t>
            </w: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Inapplicable</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311(a)</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7.13</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311(b)</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7.13</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311(c)</w:t>
            </w: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Inapplicable</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312(a)</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5.01</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5.02(a)</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312(b)</w:t>
            </w: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5.02(c)</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312(c)</w:t>
            </w: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5.02(c)</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313(a)</w:t>
            </w: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5.04(a)</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313(b)</w:t>
            </w: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5.04(b)</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313(c)</w:t>
            </w: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5.04(a)</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5.04(b)</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313(d)</w:t>
            </w: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5.04(c)</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314(a)</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5.03</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13.12</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314(b)</w:t>
            </w: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Inapplicable</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314(c)</w:t>
            </w: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13.07(a)</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314(d)</w:t>
            </w: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Inapplicable</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314(e)</w:t>
            </w: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13.07(b)</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314(f)</w:t>
            </w: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Inapplicable</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315(a)</w:t>
            </w: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7.01(a)</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7.01(b)</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315(b)</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7.14</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315(c)</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7.01</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315(d)</w:t>
            </w:r>
          </w:p>
        </w:tc>
        <w:tc>
          <w:tcPr>
            <w:tcW w:w="1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7.01(b)</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315(e)</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6.07</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316(a)</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6.06</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8.04</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316(b)</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6.04</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316(c)</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8.01</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317(a)</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6.02</w:t>
            </w:r>
          </w:p>
        </w:tc>
      </w:tr>
      <w:tr>
        <w:trPr>
          <w:trHeight w:val="170"/>
        </w:trPr>
        <w:tc>
          <w:tcPr>
            <w:tcW w:w="80" w:type="dxa"/>
            <w:vAlign w:val="bottom"/>
          </w:tcPr>
          <w:p>
            <w:pPr>
              <w:spacing w:after="0"/>
              <w:rPr>
                <w:sz w:val="14"/>
                <w:szCs w:val="1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317(b)</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4.03</w:t>
            </w:r>
          </w:p>
        </w:tc>
      </w:tr>
      <w:tr>
        <w:trPr>
          <w:trHeight w:val="184"/>
        </w:trPr>
        <w:tc>
          <w:tcPr>
            <w:tcW w:w="80" w:type="dxa"/>
            <w:vAlign w:val="bottom"/>
          </w:tcPr>
          <w:p>
            <w:pPr>
              <w:spacing w:after="0"/>
              <w:rPr>
                <w:sz w:val="16"/>
                <w:szCs w:val="16"/>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318(a)</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79387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1793875" cy="6985"/>
                    </a:xfrm>
                    <a:prstGeom prst="rect">
                      <a:avLst/>
                    </a:prstGeom>
                    <a:noFill/>
                  </pic:spPr>
                </pic:pic>
              </a:graphicData>
            </a:graphic>
          </wp:anchor>
        </w:drawing>
      </w:r>
    </w:p>
    <w:p>
      <w:pPr>
        <w:spacing w:after="0" w:line="242" w:lineRule="exact"/>
        <w:rPr>
          <w:sz w:val="20"/>
          <w:szCs w:val="20"/>
          <w:color w:val="auto"/>
        </w:rPr>
      </w:pPr>
    </w:p>
    <w:p>
      <w:pPr>
        <w:ind w:left="5580" w:right="2240" w:hanging="5575"/>
        <w:spacing w:after="0" w:line="794" w:lineRule="auto"/>
        <w:tabs>
          <w:tab w:leader="none" w:pos="267"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Cross-Reference Table does not constitute part of the Indenture and shall not have any bearing on the interpretation of any of its terms or provisions.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16153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00"/>
          </w:cols>
          <w:pgMar w:left="300" w:top="739" w:right="3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b w:val="1"/>
          <w:bCs w:val="1"/>
          <w:color w:val="auto"/>
        </w:rPr>
        <w:t>Exhibit 4.5</w:t>
      </w:r>
    </w:p>
    <w:p>
      <w:pPr>
        <w:spacing w:after="0" w:line="17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e</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9"/>
          <w:szCs w:val="9"/>
          <w:b w:val="1"/>
          <w:bCs w:val="1"/>
          <w:color w:val="auto"/>
        </w:rPr>
        <w:t>ide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w:t>
      </w:r>
    </w:p>
    <w:p>
      <w:pPr>
        <w:spacing w:after="0" w:line="22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0"/>
          <w:szCs w:val="10"/>
          <w:b w:val="1"/>
          <w:bCs w:val="1"/>
          <w:color w:val="auto"/>
        </w:rPr>
        <w:t>and</w:t>
      </w:r>
    </w:p>
    <w:p>
      <w:pPr>
        <w:spacing w:after="0" w:line="17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 A</w:t>
      </w:r>
      <w:r>
        <w:rPr>
          <w:rFonts w:ascii="Times New Roman" w:cs="Times New Roman" w:eastAsia="Times New Roman" w:hAnsi="Times New Roman"/>
          <w:sz w:val="9"/>
          <w:szCs w:val="9"/>
          <w:b w:val="1"/>
          <w:bCs w:val="1"/>
          <w:color w:val="auto"/>
        </w:rPr>
        <w:t>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gent</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9"/>
          <w:szCs w:val="9"/>
          <w:b w:val="1"/>
          <w:bCs w:val="1"/>
          <w:color w:val="auto"/>
        </w:rPr>
        <w:t>orm of</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rdinary</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9"/>
          <w:szCs w:val="9"/>
          <w:b w:val="1"/>
          <w:bCs w:val="1"/>
          <w:color w:val="auto"/>
        </w:rPr>
        <w:t>hare</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greement</w:t>
      </w:r>
    </w:p>
    <w:p>
      <w:pPr>
        <w:spacing w:after="0" w:line="16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9"/>
          <w:szCs w:val="9"/>
          <w:b w:val="1"/>
          <w:bCs w:val="1"/>
          <w:color w:val="auto"/>
        </w:rPr>
        <w:t>ated</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s</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f</w:t>
      </w:r>
      <w:r>
        <w:rPr>
          <w:rFonts w:ascii="Times New Roman" w:cs="Times New Roman" w:eastAsia="Times New Roman" w:hAnsi="Times New Roman"/>
          <w:sz w:val="14"/>
          <w:szCs w:val="14"/>
          <w:b w:val="1"/>
          <w:bCs w:val="1"/>
          <w:color w:val="auto"/>
        </w:rPr>
        <w:t xml:space="preserve">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353695</wp:posOffset>
            </wp:positionV>
            <wp:extent cx="716153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40"/>
          </w:cols>
          <w:pgMar w:left="1440" w:top="314" w:right="31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e</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9"/>
          <w:szCs w:val="9"/>
          <w:b w:val="1"/>
          <w:bCs w:val="1"/>
          <w:color w:val="auto"/>
        </w:rPr>
        <w:t>ide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 F</w:t>
      </w:r>
      <w:r>
        <w:rPr>
          <w:rFonts w:ascii="Times New Roman" w:cs="Times New Roman" w:eastAsia="Times New Roman" w:hAnsi="Times New Roman"/>
          <w:sz w:val="9"/>
          <w:szCs w:val="9"/>
          <w:b w:val="1"/>
          <w:bCs w:val="1"/>
          <w:color w:val="auto"/>
        </w:rPr>
        <w:t>orm of</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rdinary</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9"/>
          <w:szCs w:val="9"/>
          <w:b w:val="1"/>
          <w:bCs w:val="1"/>
          <w:color w:val="auto"/>
        </w:rPr>
        <w:t>hare</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greement</w:t>
      </w:r>
    </w:p>
    <w:p>
      <w:pPr>
        <w:spacing w:after="0" w:line="179"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his</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rdinary</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9"/>
          <w:szCs w:val="9"/>
          <w:b w:val="1"/>
          <w:bCs w:val="1"/>
          <w:color w:val="auto"/>
        </w:rPr>
        <w:t>hare</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dated as of [●], between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e</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9"/>
          <w:szCs w:val="9"/>
          <w:b w:val="1"/>
          <w:bCs w:val="1"/>
          <w:color w:val="auto"/>
        </w:rPr>
        <w:t>ide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an exempted company with limited liability incorporated under the laws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Cayman Islands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w:t>
      </w:r>
    </w:p>
    <w:p>
      <w:pPr>
        <w:spacing w:after="0" w:line="301"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proposes to sell [If Warrants are sold with other securities —[title of such other securities being offered] (the “</w:t>
      </w:r>
      <w:r>
        <w:rPr>
          <w:rFonts w:ascii="Times New Roman" w:cs="Times New Roman" w:eastAsia="Times New Roman" w:hAnsi="Times New Roman"/>
          <w:sz w:val="14"/>
          <w:szCs w:val="14"/>
          <w:b w:val="1"/>
          <w:bCs w:val="1"/>
          <w:i w:val="1"/>
          <w:iCs w:val="1"/>
          <w:color w:val="auto"/>
        </w:rPr>
        <w:t>Other Securities</w:t>
      </w:r>
      <w:r>
        <w:rPr>
          <w:rFonts w:ascii="Times New Roman" w:cs="Times New Roman" w:eastAsia="Times New Roman" w:hAnsi="Times New Roman"/>
          <w:sz w:val="14"/>
          <w:szCs w:val="14"/>
          <w:color w:val="auto"/>
        </w:rPr>
        <w:t>”) with] warrant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evidencing one or more warrants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or, individually, a “</w:t>
      </w:r>
      <w:r>
        <w:rPr>
          <w:rFonts w:ascii="Times New Roman" w:cs="Times New Roman" w:eastAsia="Times New Roman" w:hAnsi="Times New Roman"/>
          <w:sz w:val="14"/>
          <w:szCs w:val="14"/>
          <w:b w:val="1"/>
          <w:bCs w:val="1"/>
          <w:i w:val="1"/>
          <w:iCs w:val="1"/>
          <w:color w:val="auto"/>
        </w:rPr>
        <w:t>Warrant</w:t>
      </w:r>
      <w:r>
        <w:rPr>
          <w:rFonts w:ascii="Times New Roman" w:cs="Times New Roman" w:eastAsia="Times New Roman" w:hAnsi="Times New Roman"/>
          <w:sz w:val="14"/>
          <w:szCs w:val="14"/>
          <w:color w:val="auto"/>
        </w:rPr>
        <w:t>”) representing the right to purchase [Class A]/[Class B] ordinary shares of the Company, par value $0.00001 per share (the “</w:t>
      </w:r>
      <w:r>
        <w:rPr>
          <w:rFonts w:ascii="Times New Roman" w:cs="Times New Roman" w:eastAsia="Times New Roman" w:hAnsi="Times New Roman"/>
          <w:sz w:val="14"/>
          <w:szCs w:val="14"/>
          <w:b w:val="1"/>
          <w:bCs w:val="1"/>
          <w:i w:val="1"/>
          <w:iCs w:val="1"/>
          <w:color w:val="auto"/>
        </w:rPr>
        <w:t>Warrant Securities</w:t>
      </w:r>
      <w:r>
        <w:rPr>
          <w:rFonts w:ascii="Times New Roman" w:cs="Times New Roman" w:eastAsia="Times New Roman" w:hAnsi="Times New Roman"/>
          <w:sz w:val="14"/>
          <w:szCs w:val="14"/>
          <w:color w:val="auto"/>
        </w:rPr>
        <w:t>”), such warrant certificates and other warrant certificates issued pursuant to this Agreement being herein called the “</w:t>
      </w:r>
      <w:r>
        <w:rPr>
          <w:rFonts w:ascii="Times New Roman" w:cs="Times New Roman" w:eastAsia="Times New Roman" w:hAnsi="Times New Roman"/>
          <w:sz w:val="14"/>
          <w:szCs w:val="14"/>
          <w:b w:val="1"/>
          <w:bCs w:val="1"/>
          <w:i w:val="1"/>
          <w:iCs w:val="1"/>
          <w:color w:val="auto"/>
        </w:rPr>
        <w:t>Warrant Certificates</w:t>
      </w:r>
      <w:r>
        <w:rPr>
          <w:rFonts w:ascii="Times New Roman" w:cs="Times New Roman" w:eastAsia="Times New Roman" w:hAnsi="Times New Roman"/>
          <w:sz w:val="14"/>
          <w:szCs w:val="14"/>
          <w:color w:val="auto"/>
        </w:rPr>
        <w:t>”; and</w:t>
      </w:r>
    </w:p>
    <w:p>
      <w:pPr>
        <w:spacing w:after="0" w:line="132"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desires the Warrant Agent to act on behalf of the Company, and the Warrant Agent is willing so to act, in connection with the issuance, registration, transfer,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9"/>
          <w:szCs w:val="9"/>
          <w:b w:val="1"/>
          <w:bCs w:val="1"/>
          <w:color w:val="auto"/>
        </w:rPr>
        <w:t>ow</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9"/>
          <w:szCs w:val="9"/>
          <w:b w:val="1"/>
          <w:bCs w:val="1"/>
          <w:color w:val="auto"/>
        </w:rPr>
        <w:t>herefore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consideration of the premises and of the mutual agreements herein contained, the parties hereto agree as follows: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ISSUANCE OF WARRANTS AND EXECUTION AND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DELIVERY OF WARRANT CERTIFICATES</w:t>
      </w:r>
    </w:p>
    <w:p>
      <w:pPr>
        <w:spacing w:after="0" w:line="163"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1.1            Issuance of Warrants.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If Warrants alone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issuance, each Warrant Certificate shall evidence one or more Warrants.] [</w:t>
      </w:r>
      <w:r>
        <w:rPr>
          <w:rFonts w:ascii="Times New Roman" w:cs="Times New Roman" w:eastAsia="Times New Roman" w:hAnsi="Times New Roman"/>
          <w:sz w:val="14"/>
          <w:szCs w:val="14"/>
          <w:b w:val="1"/>
          <w:bCs w:val="1"/>
          <w:i w:val="1"/>
          <w:iCs w:val="1"/>
          <w:color w:val="auto"/>
        </w:rPr>
        <w:t>If Other Securities and Warrants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 w:cs="Times New Roman" w:eastAsia="Times New Roman" w:hAnsi="Times New Roman"/>
          <w:sz w:val="14"/>
          <w:szCs w:val="14"/>
          <w:b w:val="1"/>
          <w:bCs w:val="1"/>
          <w:i w:val="1"/>
          <w:iCs w:val="1"/>
          <w:color w:val="auto"/>
        </w:rPr>
        <w:t>If Other Securities and Warrants</w:t>
      </w:r>
      <w:r>
        <w:rPr>
          <w:rFonts w:ascii="Times New Roman" w:cs="Times New Roman" w:eastAsia="Times New Roman" w:hAnsi="Times New Roman"/>
          <w:sz w:val="14"/>
          <w:szCs w:val="14"/>
          <w:color w:val="auto"/>
        </w:rPr>
        <w:t xml:space="preserve"> —Warrant Certificates will be issued with the Other Securities and each Warrant Certificate will evidence [●] Warrants for each [$[●] principal amount] [[●] shares] of Other Securities issued.]</w:t>
      </w:r>
    </w:p>
    <w:p>
      <w:pPr>
        <w:spacing w:after="0" w:line="13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            Execution and Delivery of Warrant Certificates. </w:t>
      </w:r>
      <w:r>
        <w:rPr>
          <w:rFonts w:ascii="Times New Roman" w:cs="Times New Roman" w:eastAsia="Times New Roman" w:hAnsi="Times New Roman"/>
          <w:sz w:val="14"/>
          <w:szCs w:val="14"/>
          <w:color w:val="auto"/>
        </w:rPr>
        <w:t>Each Warrant Certificate, whenever issued, shall be in registered form substantially in the form set forth in</w:t>
      </w:r>
      <w:r>
        <w:rPr>
          <w:rFonts w:ascii="Times New Roman" w:cs="Times New Roman" w:eastAsia="Times New Roman" w:hAnsi="Times New Roman"/>
          <w:sz w:val="14"/>
          <w:szCs w:val="14"/>
          <w:b w:val="1"/>
          <w:bCs w:val="1"/>
          <w:color w:val="auto"/>
        </w:rPr>
        <w:t xml:space="preserve"> Exhibit A </w:t>
      </w:r>
      <w:r>
        <w:rPr>
          <w:rFonts w:ascii="Times New Roman" w:cs="Times New Roman" w:eastAsia="Times New Roman" w:hAnsi="Times New Roman"/>
          <w:sz w:val="14"/>
          <w:szCs w:val="14"/>
          <w:color w:val="auto"/>
        </w:rPr>
        <w:t>hereto,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34" w:name="page135"/>
    <w:bookmarkEnd w:id="134"/>
    <w:p>
      <w:pPr>
        <w:jc w:val="both"/>
        <w:ind w:firstLine="510"/>
        <w:spacing w:after="0" w:line="270" w:lineRule="auto"/>
        <w:rPr>
          <w:sz w:val="20"/>
          <w:szCs w:val="20"/>
          <w:color w:val="auto"/>
        </w:rPr>
      </w:pPr>
      <w:r>
        <w:rPr>
          <w:rFonts w:ascii="Times New Roman" w:cs="Times New Roman" w:eastAsia="Times New Roman" w:hAnsi="Times New Roman"/>
          <w:sz w:val="14"/>
          <w:szCs w:val="14"/>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36"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4"/>
          <w:szCs w:val="14"/>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39"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holder of a Warrant Certificate</w:t>
      </w:r>
      <w:r>
        <w:rPr>
          <w:rFonts w:ascii="Times New Roman" w:cs="Times New Roman" w:eastAsia="Times New Roman" w:hAnsi="Times New Roman"/>
          <w:sz w:val="14"/>
          <w:szCs w:val="14"/>
          <w:color w:val="auto"/>
        </w:rPr>
        <w:t>” as used herein shall mean any person in whose name at the time any Warrant Certificate shall be registered upon the books to be maintained by the Warrant Agent for that purpose.</w:t>
      </w:r>
    </w:p>
    <w:p>
      <w:pPr>
        <w:spacing w:after="0" w:line="121"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1.3            Issuance of Warrant Certificates. </w:t>
      </w:r>
      <w:r>
        <w:rPr>
          <w:rFonts w:ascii="Times New Roman" w:cs="Times New Roman" w:eastAsia="Times New Roman" w:hAnsi="Times New Roman"/>
          <w:sz w:val="14"/>
          <w:szCs w:val="14"/>
          <w:color w:val="auto"/>
        </w:rPr>
        <w:t>Warrant Certificates evidencing the right to purchase Warrant Securities may be executed by the Company and delivered to the Warrant Agent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 PRICE, DURATION AND EXERCISE OF WARRANTS</w:t>
      </w:r>
    </w:p>
    <w:p>
      <w:pPr>
        <w:spacing w:after="0" w:line="179"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2.1            Warrant Price. </w:t>
      </w:r>
      <w:r>
        <w:rPr>
          <w:rFonts w:ascii="Times New Roman" w:cs="Times New Roman" w:eastAsia="Times New Roman" w:hAnsi="Times New Roman"/>
          <w:sz w:val="14"/>
          <w:szCs w:val="14"/>
          <w:color w:val="auto"/>
        </w:rPr>
        <w:t>During the period specified in Section 2.2, each Warrant shall, subject to the terms of this Agreement and the applicable Warrant Certificate, entitle the holder 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cs="Times New Roman" w:eastAsia="Times New Roman" w:hAnsi="Times New Roman"/>
          <w:sz w:val="14"/>
          <w:szCs w:val="14"/>
          <w:b w:val="1"/>
          <w:bCs w:val="1"/>
          <w:i w:val="1"/>
          <w:iCs w:val="1"/>
          <w:color w:val="auto"/>
        </w:rPr>
        <w:t>Warrant Price.</w:t>
      </w:r>
      <w:r>
        <w:rPr>
          <w:rFonts w:ascii="Times New Roman" w:cs="Times New Roman" w:eastAsia="Times New Roman" w:hAnsi="Times New Roman"/>
          <w:sz w:val="14"/>
          <w:szCs w:val="14"/>
          <w:color w:val="auto"/>
        </w:rPr>
        <w:t>”</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2.2            Duration of Warrants. </w:t>
      </w:r>
      <w:r>
        <w:rPr>
          <w:rFonts w:ascii="Times New Roman" w:cs="Times New Roman" w:eastAsia="Times New Roman" w:hAnsi="Times New Roman"/>
          <w:sz w:val="14"/>
          <w:szCs w:val="14"/>
          <w:color w:val="auto"/>
        </w:rPr>
        <w:t>Each Warrant may be exercised in whole or in part at any time, as specified herein, on or after [the date thereof] [●] and at or before [●] p.m., [City] time, on</w:t>
      </w:r>
    </w:p>
    <w:p>
      <w:pPr>
        <w:spacing w:after="0" w:line="25" w:lineRule="exact"/>
        <w:rPr>
          <w:sz w:val="20"/>
          <w:szCs w:val="20"/>
          <w:color w:val="auto"/>
        </w:rPr>
      </w:pPr>
    </w:p>
    <w:p>
      <w:pPr>
        <w:jc w:val="both"/>
        <w:ind w:firstLine="5"/>
        <w:spacing w:after="0" w:line="259" w:lineRule="auto"/>
        <w:tabs>
          <w:tab w:leader="none" w:pos="23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4"/>
          <w:szCs w:val="14"/>
          <w:b w:val="1"/>
          <w:bCs w:val="1"/>
          <w:i w:val="1"/>
          <w:iCs w:val="1"/>
          <w:color w:val="auto"/>
        </w:rPr>
        <w:t>Expiration Date</w:t>
      </w:r>
      <w:r>
        <w:rPr>
          <w:rFonts w:ascii="Times New Roman" w:cs="Times New Roman" w:eastAsia="Times New Roman" w:hAnsi="Times New Roman"/>
          <w:sz w:val="14"/>
          <w:szCs w:val="14"/>
          <w:color w:val="auto"/>
        </w:rPr>
        <w:t>”). Each Warrant not exercised at or before [●] p.m., [City] time, on the Expiration Date shall become void, and all rights of the holder of the Warrant Certificate evidencing such Warrant under this Agreement shall cease.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135" w:name="page136"/>
    <w:bookmarkEnd w:id="135"/>
    <w:p>
      <w:pPr>
        <w:ind w:left="520"/>
        <w:spacing w:after="0"/>
        <w:rPr>
          <w:sz w:val="20"/>
          <w:szCs w:val="20"/>
          <w:color w:val="auto"/>
        </w:rPr>
      </w:pPr>
      <w:r>
        <w:rPr>
          <w:rFonts w:ascii="Times New Roman" w:cs="Times New Roman" w:eastAsia="Times New Roman" w:hAnsi="Times New Roman"/>
          <w:sz w:val="14"/>
          <w:szCs w:val="14"/>
          <w:b w:val="1"/>
          <w:bCs w:val="1"/>
          <w:color w:val="auto"/>
        </w:rPr>
        <w:t>2.3            Exercise of Warrants.</w:t>
      </w:r>
    </w:p>
    <w:p>
      <w:pPr>
        <w:spacing w:after="0" w:line="179" w:lineRule="exact"/>
        <w:rPr>
          <w:sz w:val="20"/>
          <w:szCs w:val="20"/>
          <w:color w:val="auto"/>
        </w:rPr>
      </w:pPr>
    </w:p>
    <w:p>
      <w:pPr>
        <w:jc w:val="both"/>
        <w:ind w:firstLine="1019"/>
        <w:spacing w:after="0" w:line="256"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During the period specified in Section 2.2, the Warrants may be exercised to purchase a whole number of Warrant Securities in registered form by providing certain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45"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Warrant Agent shall, from time to time, as promptly as practicable, advise the Company of (i) the number of Warrant Securities with respect to which Warrants were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39"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As soon as practicable after the exercise of any Warrant, the Company shall issue to or upon the order of the holder of the Warrant Certificate evidencing such Warrant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39" w:lineRule="exact"/>
        <w:rPr>
          <w:sz w:val="20"/>
          <w:szCs w:val="20"/>
          <w:color w:val="auto"/>
        </w:rPr>
      </w:pPr>
    </w:p>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The Company shall not be required to pay any stamp or other tax or other governmental charge required to be paid in connection with any transfer involved in the issue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32"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(e)            </w:t>
      </w:r>
      <w:r>
        <w:rPr>
          <w:rFonts w:ascii="Times New Roman" w:cs="Times New Roman" w:eastAsia="Times New Roman" w:hAnsi="Times New Roman"/>
          <w:sz w:val="14"/>
          <w:szCs w:val="14"/>
          <w:color w:val="auto"/>
        </w:rPr>
        <w:t>Prior to the issuance of any Warrants there shall have been reserved, and the Company shall at all times through the Expiration Date keep reserved, out of its authorized but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unissued Warrant Securities, a number of shares sufficient to provide for the exercise of the Warrants.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OTHER PROVISIONS RELATING TO RIGHTS OF HOLDERS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 CERTIFICATES</w:t>
      </w:r>
    </w:p>
    <w:p>
      <w:pPr>
        <w:spacing w:after="0" w:line="163"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3.1            No Rights as Warrant Securityholder Conferred by Warrants or Warrant Certificates. </w:t>
      </w:r>
      <w:r>
        <w:rPr>
          <w:rFonts w:ascii="Times New Roman" w:cs="Times New Roman" w:eastAsia="Times New Roman" w:hAnsi="Times New Roman"/>
          <w:sz w:val="14"/>
          <w:szCs w:val="14"/>
          <w:color w:val="auto"/>
        </w:rPr>
        <w:t>No Warrant Certificate or Warrant evidenced thereby shall entitle the holder thereof to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32"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3.2            Lost, Stolen, Mutilated or Destroyed Warrant Certificates. </w:t>
      </w:r>
      <w:r>
        <w:rPr>
          <w:rFonts w:ascii="Times New Roman" w:cs="Times New Roman" w:eastAsia="Times New Roman" w:hAnsi="Times New Roman"/>
          <w:sz w:val="14"/>
          <w:szCs w:val="14"/>
          <w:color w:val="auto"/>
        </w:rPr>
        <w:t>Upon receipt by the Warrant Agent of evidence reasonably satisfactory to it and the Company of the ownership of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45"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3.3            Holder of Warrant Certificate May Enforce Rights. </w:t>
      </w:r>
      <w:r>
        <w:rPr>
          <w:rFonts w:ascii="Times New Roman" w:cs="Times New Roman" w:eastAsia="Times New Roman" w:hAnsi="Times New Roman"/>
          <w:sz w:val="14"/>
          <w:szCs w:val="14"/>
          <w:color w:val="auto"/>
        </w:rPr>
        <w:t>Notwithstanding any of the provisions of this Agreement, any holder of a Warrant Certificate, without the consent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3.4            Adjustments.</w:t>
      </w:r>
    </w:p>
    <w:p>
      <w:pPr>
        <w:spacing w:after="0" w:line="179"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In case the Company shall at any time subdivide its outstanding [Class A]/[Class B] ordinary shares into a greater number of shares, the Warrant Price in effect immediately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prior to such subdivision shall be proportionately reduced and the number of Warrant Securities purchasable under the Warrants shall be proportionately increased. Conversely, in case the outstanding [Class A]/[Class B] ordinary shares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37" w:name="page138"/>
    <w:bookmarkEnd w:id="137"/>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If at any time or from time to time the holders of [Class A]/[Class B] ordinary shares (or any shares of stock or other securities at the time receivable upon the exercise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Warrants) shall have received or become entitled to receive, without payment therefor,</w:t>
      </w:r>
    </w:p>
    <w:p>
      <w:pPr>
        <w:spacing w:after="0" w:line="121" w:lineRule="exact"/>
        <w:rPr>
          <w:sz w:val="20"/>
          <w:szCs w:val="20"/>
          <w:color w:val="auto"/>
        </w:rPr>
      </w:pPr>
    </w:p>
    <w:p>
      <w:pPr>
        <w:jc w:val="both"/>
        <w:ind w:firstLine="1529"/>
        <w:spacing w:after="0" w:line="290" w:lineRule="auto"/>
        <w:rPr>
          <w:sz w:val="20"/>
          <w:szCs w:val="20"/>
          <w:color w:val="auto"/>
        </w:rPr>
      </w:pPr>
      <w:r>
        <w:rPr>
          <w:rFonts w:ascii="Times New Roman" w:cs="Times New Roman" w:eastAsia="Times New Roman" w:hAnsi="Times New Roman"/>
          <w:sz w:val="14"/>
          <w:szCs w:val="14"/>
          <w:b w:val="1"/>
          <w:bCs w:val="1"/>
          <w:color w:val="auto"/>
        </w:rPr>
        <w:t>(i)            </w:t>
      </w:r>
      <w:r>
        <w:rPr>
          <w:rFonts w:ascii="Times New Roman" w:cs="Times New Roman" w:eastAsia="Times New Roman" w:hAnsi="Times New Roman"/>
          <w:sz w:val="14"/>
          <w:szCs w:val="14"/>
          <w:color w:val="auto"/>
        </w:rPr>
        <w:t>[Class A]/[Class B] ordinary shares or any shares of stock or other securities which are at any time directly or indirectly convertible into or exchangeable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[Class A]/[Class B] ordinary shares, or any rights or options to subscribe for, purchase or otherwise acquire any of the foregoing by way of dividend or other distribution;</w:t>
      </w:r>
    </w:p>
    <w:p>
      <w:pPr>
        <w:spacing w:after="0" w:line="1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(ii)           </w:t>
      </w:r>
      <w:r>
        <w:rPr>
          <w:rFonts w:ascii="Times New Roman" w:cs="Times New Roman" w:eastAsia="Times New Roman" w:hAnsi="Times New Roman"/>
          <w:sz w:val="14"/>
          <w:szCs w:val="14"/>
          <w:color w:val="auto"/>
        </w:rPr>
        <w:t>any cash paid or payable otherwise than as a cash dividend paid or payable out of the Company’s current or retained earnings;</w:t>
      </w:r>
    </w:p>
    <w:p>
      <w:pPr>
        <w:spacing w:after="0" w:line="17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(iii)          </w:t>
      </w:r>
      <w:r>
        <w:rPr>
          <w:rFonts w:ascii="Times New Roman" w:cs="Times New Roman" w:eastAsia="Times New Roman" w:hAnsi="Times New Roman"/>
          <w:sz w:val="14"/>
          <w:szCs w:val="14"/>
          <w:color w:val="auto"/>
        </w:rPr>
        <w:t>any evidence of the Company’s indebtedness or rights to subscribe for or purchase the Company’s indebtedness; or</w:t>
      </w:r>
    </w:p>
    <w:p>
      <w:pPr>
        <w:spacing w:after="0" w:line="179" w:lineRule="exact"/>
        <w:rPr>
          <w:sz w:val="20"/>
          <w:szCs w:val="20"/>
          <w:color w:val="auto"/>
        </w:rPr>
      </w:pPr>
    </w:p>
    <w:p>
      <w:pPr>
        <w:jc w:val="both"/>
        <w:ind w:firstLine="1529"/>
        <w:spacing w:after="0" w:line="260" w:lineRule="auto"/>
        <w:rPr>
          <w:sz w:val="20"/>
          <w:szCs w:val="20"/>
          <w:color w:val="auto"/>
        </w:rPr>
      </w:pPr>
      <w:r>
        <w:rPr>
          <w:rFonts w:ascii="Times New Roman" w:cs="Times New Roman" w:eastAsia="Times New Roman" w:hAnsi="Times New Roman"/>
          <w:sz w:val="14"/>
          <w:szCs w:val="14"/>
          <w:b w:val="1"/>
          <w:bCs w:val="1"/>
          <w:color w:val="auto"/>
        </w:rPr>
        <w:t>(iv)          </w:t>
      </w:r>
      <w:r>
        <w:rPr>
          <w:rFonts w:ascii="Times New Roman" w:cs="Times New Roman" w:eastAsia="Times New Roman" w:hAnsi="Times New Roman"/>
          <w:sz w:val="14"/>
          <w:szCs w:val="14"/>
          <w:color w:val="auto"/>
        </w:rPr>
        <w:t>[Class A]/[Class B] ordinary shares or additional stock or other securities or property (including cash) by way of spinoff, split-up, reclassification, combination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shares or similar corporate rearrangement (other than [Class A]/[Class B] ordinary shares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[Class A]/[Class B] ordinary shares received or became entitled to receive such shares or all other additional stock and other securities and property.</w:t>
      </w:r>
    </w:p>
    <w:p>
      <w:pPr>
        <w:spacing w:after="0" w:line="143" w:lineRule="exact"/>
        <w:rPr>
          <w:sz w:val="20"/>
          <w:szCs w:val="20"/>
          <w:color w:val="auto"/>
        </w:rPr>
      </w:pPr>
    </w:p>
    <w:p>
      <w:pPr>
        <w:jc w:val="both"/>
        <w:ind w:firstLine="1019"/>
        <w:spacing w:after="0" w:line="255"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In case of (i) any reclassification, capital reorganization, or change in the [Class A]/[Class B] ordinary shares of the Company (other than as a result of a subdivision,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[Class A]/[Class B] ordinary shares other than the issuance of additional [Class A]/[Class B] ordinary shares) or (iii)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4"/>
          <w:szCs w:val="14"/>
          <w:b w:val="1"/>
          <w:bCs w:val="1"/>
          <w:i w:val="1"/>
          <w:iCs w:val="1"/>
          <w:color w:val="auto"/>
        </w:rPr>
        <w:t>Reorganization Event</w:t>
      </w:r>
      <w:r>
        <w:rPr>
          <w:rFonts w:ascii="Times New Roman" w:cs="Times New Roman" w:eastAsia="Times New Roman" w:hAnsi="Times New Roman"/>
          <w:sz w:val="14"/>
          <w:szCs w:val="14"/>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38" w:name="page139"/>
    <w:bookmarkEnd w:id="138"/>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The Company may, at its option, at any time until the Expiration Date, reduce the then current Warrant Price to any amount deemed appropriate by the Board of Directors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for any period not exceeding twenty consecutive days (as evidenced in a resolution adopted by such Board of Directors), but only upon giving the notices required by Section 3.5 at least ten days prior to taking such action.</w:t>
      </w:r>
    </w:p>
    <w:p>
      <w:pPr>
        <w:spacing w:after="0" w:line="132"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(e)            </w:t>
      </w:r>
      <w:r>
        <w:rPr>
          <w:rFonts w:ascii="Times New Roman" w:cs="Times New Roman" w:eastAsia="Times New Roman" w:hAnsi="Times New Roman"/>
          <w:sz w:val="14"/>
          <w:szCs w:val="14"/>
          <w:color w:val="auto"/>
        </w:rPr>
        <w:t>Except as herein otherwise expressly provided, no adjustment in the Warrant Price shall be made by reason of the issuance of [Class A]/[Class B] ordinary shares,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convertible into or exchangeable for [Class A]/[Class B] ordinary shares, or securities carrying the right to purchase any of the foregoing or for any other reason whatsoever.</w:t>
      </w:r>
    </w:p>
    <w:p>
      <w:pPr>
        <w:spacing w:after="0" w:line="121" w:lineRule="exact"/>
        <w:rPr>
          <w:sz w:val="20"/>
          <w:szCs w:val="20"/>
          <w:color w:val="auto"/>
        </w:rPr>
      </w:pPr>
    </w:p>
    <w:p>
      <w:pPr>
        <w:jc w:val="both"/>
        <w:ind w:firstLine="1019"/>
        <w:spacing w:after="0" w:line="257" w:lineRule="auto"/>
        <w:rPr>
          <w:sz w:val="20"/>
          <w:szCs w:val="20"/>
          <w:color w:val="auto"/>
        </w:rPr>
      </w:pPr>
      <w:r>
        <w:rPr>
          <w:rFonts w:ascii="Times New Roman" w:cs="Times New Roman" w:eastAsia="Times New Roman" w:hAnsi="Times New Roman"/>
          <w:sz w:val="14"/>
          <w:szCs w:val="14"/>
          <w:b w:val="1"/>
          <w:bCs w:val="1"/>
          <w:color w:val="auto"/>
        </w:rPr>
        <w:t>(f)            </w:t>
      </w:r>
      <w:r>
        <w:rPr>
          <w:rFonts w:ascii="Times New Roman" w:cs="Times New Roman" w:eastAsia="Times New Roman" w:hAnsi="Times New Roman"/>
          <w:sz w:val="14"/>
          <w:szCs w:val="14"/>
          <w:color w:val="auto"/>
        </w:rPr>
        <w:t>No fractional Warrant Securities shall be issued upon the exercise of Warrants. If more than one Warrant shall be exercised at one time by the same holder, the number of full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4"/>
          <w:szCs w:val="14"/>
          <w:b w:val="1"/>
          <w:bCs w:val="1"/>
          <w:i w:val="1"/>
          <w:iCs w:val="1"/>
          <w:color w:val="auto"/>
        </w:rPr>
        <w:t>OTC Bulletin Board</w:t>
      </w:r>
      <w:r>
        <w:rPr>
          <w:rFonts w:ascii="Times New Roman" w:cs="Times New Roman" w:eastAsia="Times New Roman" w:hAnsi="Times New Roman"/>
          <w:sz w:val="14"/>
          <w:szCs w:val="14"/>
          <w:color w:val="auto"/>
        </w:rPr>
        <w:t>”) operated by the Financial Industry Regulatory Authority, Inc. (“</w:t>
      </w:r>
      <w:r>
        <w:rPr>
          <w:rFonts w:ascii="Times New Roman" w:cs="Times New Roman" w:eastAsia="Times New Roman" w:hAnsi="Times New Roman"/>
          <w:sz w:val="14"/>
          <w:szCs w:val="14"/>
          <w:b w:val="1"/>
          <w:bCs w:val="1"/>
          <w:i w:val="1"/>
          <w:iCs w:val="1"/>
          <w:color w:val="auto"/>
        </w:rPr>
        <w:t>FINRA</w:t>
      </w:r>
      <w:r>
        <w:rPr>
          <w:rFonts w:ascii="Times New Roman" w:cs="Times New Roman" w:eastAsia="Times New Roman" w:hAnsi="Times New Roman"/>
          <w:sz w:val="14"/>
          <w:szCs w:val="14"/>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45" w:lineRule="exact"/>
        <w:rPr>
          <w:sz w:val="20"/>
          <w:szCs w:val="20"/>
          <w:color w:val="auto"/>
        </w:rPr>
      </w:pPr>
    </w:p>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(g)            </w:t>
      </w:r>
      <w:r>
        <w:rPr>
          <w:rFonts w:ascii="Times New Roman" w:cs="Times New Roman" w:eastAsia="Times New Roman" w:hAnsi="Times New Roman"/>
          <w:sz w:val="14"/>
          <w:szCs w:val="14"/>
          <w:color w:val="auto"/>
        </w:rPr>
        <w:t>Whenever the Warrant Price then in effect is adjusted as herein provided, the Company shall mail to each holder of the Warrants at such holder’s address as it shall appear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books of the Company a statement setting forth the adjusted Warrant Price then and thereafter effective under the provisions hereof, together with the facts, in reasonable detail, upon which such adjustment is based.</w:t>
      </w:r>
    </w:p>
    <w:p>
      <w:pPr>
        <w:spacing w:after="0" w:line="132"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(h)            </w:t>
      </w:r>
      <w:r>
        <w:rPr>
          <w:rFonts w:ascii="Times New Roman" w:cs="Times New Roman" w:eastAsia="Times New Roman" w:hAnsi="Times New Roman"/>
          <w:sz w:val="14"/>
          <w:szCs w:val="14"/>
          <w:color w:val="auto"/>
        </w:rPr>
        <w:t>Notwithstanding anything to the contrary herein, in no event shall the Warrant Price, as adjusted in accordance with the terms hereof, be less than the par value per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[Class A]/[Class B] ordinary share.</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3.5            Notice to Warrantholders. </w:t>
      </w:r>
      <w:r>
        <w:rPr>
          <w:rFonts w:ascii="Times New Roman" w:cs="Times New Roman" w:eastAsia="Times New Roman" w:hAnsi="Times New Roman"/>
          <w:sz w:val="14"/>
          <w:szCs w:val="14"/>
          <w:color w:val="auto"/>
        </w:rPr>
        <w:t>In case the Company shall (a) effect any dividend or distribution described in Section 3.4(b), (b) effect any Reorganization Event, (c) make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distribution on or in respect of the [Class A]/[Class B] ordinary shares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[Class A]/[Class B] ordinary shares that will be entitled to such dividend or distribution are to be determined, (y) the date on which such Reorganization Event, dissolution, liquidation or winding up is expected to become effective, and the date as of which it is expected that holders of [Class A]/[Class B] ordinary shares of record shall be entitled to exchange their [Class A]/[Class B] ordinary shares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39" w:name="page140"/>
    <w:bookmarkEnd w:id="139"/>
    <w:p>
      <w:pPr>
        <w:ind w:left="520"/>
        <w:spacing w:after="0"/>
        <w:rPr>
          <w:sz w:val="20"/>
          <w:szCs w:val="20"/>
          <w:color w:val="auto"/>
        </w:rPr>
      </w:pPr>
      <w:r>
        <w:rPr>
          <w:rFonts w:ascii="Times New Roman" w:cs="Times New Roman" w:eastAsia="Times New Roman" w:hAnsi="Times New Roman"/>
          <w:sz w:val="14"/>
          <w:szCs w:val="14"/>
          <w:b w:val="1"/>
          <w:bCs w:val="1"/>
          <w:color w:val="auto"/>
        </w:rPr>
        <w:t>3.6            </w:t>
      </w:r>
      <w:r>
        <w:rPr>
          <w:rFonts w:ascii="Times New Roman" w:cs="Times New Roman" w:eastAsia="Times New Roman" w:hAnsi="Times New Roman"/>
          <w:sz w:val="14"/>
          <w:szCs w:val="14"/>
          <w:color w:val="auto"/>
        </w:rPr>
        <w:t>[If the Warrants are Subject to Acceleration by the Company, Insert — Acceleration of Warrants by the Company.</w:t>
      </w:r>
    </w:p>
    <w:p>
      <w:pPr>
        <w:spacing w:after="0" w:line="179"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At any time on or after [●], the Company shall have the right to accelerate any or all Warrants at any time by causing them to expire at the close of business on the day next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preceding a specified date (the “</w:t>
      </w:r>
      <w:r>
        <w:rPr>
          <w:rFonts w:ascii="Times New Roman" w:cs="Times New Roman" w:eastAsia="Times New Roman" w:hAnsi="Times New Roman"/>
          <w:sz w:val="14"/>
          <w:szCs w:val="14"/>
          <w:b w:val="1"/>
          <w:bCs w:val="1"/>
          <w:i w:val="1"/>
          <w:iCs w:val="1"/>
          <w:color w:val="auto"/>
        </w:rPr>
        <w:t>Acceleration Date</w:t>
      </w:r>
      <w:r>
        <w:rPr>
          <w:rFonts w:ascii="Times New Roman" w:cs="Times New Roman" w:eastAsia="Times New Roman" w:hAnsi="Times New Roman"/>
          <w:sz w:val="14"/>
          <w:szCs w:val="14"/>
          <w:color w:val="auto"/>
        </w:rPr>
        <w:t>”), if the Market Price (as hereinafter defined) of the [Class A]/[Class B] ordinary shares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39" w:lineRule="exact"/>
        <w:rPr>
          <w:sz w:val="20"/>
          <w:szCs w:val="20"/>
          <w:color w:val="auto"/>
        </w:rPr>
      </w:pPr>
    </w:p>
    <w:p>
      <w:pPr>
        <w:jc w:val="both"/>
        <w:ind w:firstLine="1019"/>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(b)            (b)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Market Price</w:t>
      </w:r>
      <w:r>
        <w:rPr>
          <w:rFonts w:ascii="Times New Roman" w:cs="Times New Roman" w:eastAsia="Times New Roman" w:hAnsi="Times New Roman"/>
          <w:sz w:val="14"/>
          <w:szCs w:val="14"/>
          <w:color w:val="auto"/>
        </w:rPr>
        <w:t>” for each Trading Day shall be, if the [Class A]/[Class B] ordinary share is listed or admitted to trading on any registered national securities exchange,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last reported sale price, regular way (or, if no such price is reported, the average of the reported closing bid and asked prices, regular way) of [Class A]/[Class B] ordinary shares, in either case as reported on the principal registered national securities exchange on which the [Class A]/[Class B] ordinary share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[Class A]/[Class B] ordinary shares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[Class A]/[Class B] ordinary shares,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45"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Notice of an acceleration specifying the Acceleration Date shall be sent by mail first class, postage prepaid, to each registered holder of a Warrant Certificate representing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39"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Any Warrant accelerated may be exercised until [●] p.m., [City] time, on the business day next preceding the Acceleration Date. The Warrant Price shall be payable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provided in Section 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AND TRANSFER OF WARRANT CERTIFICATES</w:t>
      </w:r>
    </w:p>
    <w:p>
      <w:pPr>
        <w:spacing w:after="0" w:line="179"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4"/>
          <w:szCs w:val="14"/>
          <w:b w:val="1"/>
          <w:bCs w:val="1"/>
          <w:color w:val="auto"/>
        </w:rPr>
        <w:t>4.1            </w:t>
      </w:r>
      <w:r>
        <w:rPr>
          <w:rFonts w:ascii="Times New Roman" w:cs="Times New Roman" w:eastAsia="Times New Roman" w:hAnsi="Times New Roman"/>
          <w:sz w:val="14"/>
          <w:szCs w:val="14"/>
          <w:color w:val="auto"/>
        </w:rPr>
        <w:t>Exchange and Transfer of Warrant Certificates. Upon surrender at the corporate trust office of the Warrant Agent, Warrant Certificates evidencing Warrants may be exchanged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48"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4.2            Treatment of Holders of Warrant Certificates. </w:t>
      </w:r>
      <w:r>
        <w:rPr>
          <w:rFonts w:ascii="Times New Roman" w:cs="Times New Roman" w:eastAsia="Times New Roman" w:hAnsi="Times New Roman"/>
          <w:sz w:val="14"/>
          <w:szCs w:val="14"/>
          <w:color w:val="auto"/>
        </w:rPr>
        <w:t>The Company, the Warrant Agent and all other persons may treat the registered holder of a Warrant Certificate as the absolute owner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thereof for any purpose and as the person entitled to exercise the rights represented by the Warrants evidenced thereby, any notice to the contrary notwithstanding.</w:t>
      </w:r>
    </w:p>
    <w:p>
      <w:pPr>
        <w:spacing w:after="0" w:line="121"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4.3            Cancellation of Warrant Certificates. </w:t>
      </w:r>
      <w:r>
        <w:rPr>
          <w:rFonts w:ascii="Times New Roman" w:cs="Times New Roman" w:eastAsia="Times New Roman" w:hAnsi="Times New Roman"/>
          <w:sz w:val="14"/>
          <w:szCs w:val="14"/>
          <w:color w:val="auto"/>
        </w:rPr>
        <w:t>Any Warrant Certificate surrendered for exchange, registration of transfer or exercise of the Warrants evidenced thereby shall, if surrendered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WARRANT AGENT</w:t>
      </w:r>
    </w:p>
    <w:p>
      <w:pPr>
        <w:spacing w:after="0" w:line="179"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5.1            Warrant Agent. </w:t>
      </w:r>
      <w:r>
        <w:rPr>
          <w:rFonts w:ascii="Times New Roman" w:cs="Times New Roman" w:eastAsia="Times New Roman" w:hAnsi="Times New Roman"/>
          <w:sz w:val="14"/>
          <w:szCs w:val="14"/>
          <w:color w:val="auto"/>
        </w:rPr>
        <w:t>The Company hereby appoints [●] as Warrant Agent of the Company in respect of the Warrants and the Warrant Certificates upon the terms and subject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1" w:name="page142"/>
    <w:bookmarkEnd w:id="141"/>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5.2            Conditions of Warrant Agent’s Obligations. </w:t>
      </w:r>
      <w:r>
        <w:rPr>
          <w:rFonts w:ascii="Times New Roman" w:cs="Times New Roman" w:eastAsia="Times New Roman" w:hAnsi="Times New Roman"/>
          <w:sz w:val="14"/>
          <w:szCs w:val="14"/>
          <w:color w:val="auto"/>
        </w:rPr>
        <w:t>The Warrant Agent accepts its obligations herein set forth upon the terms and conditions hereof, including the following to all of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agrees and to all of which the rights hereunder of the holders from time to time of the Warrant Certificates shall be subject:</w:t>
      </w:r>
    </w:p>
    <w:p>
      <w:pPr>
        <w:spacing w:after="0" w:line="121"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(a)            Compensation and Indemnification. </w:t>
      </w:r>
      <w:r>
        <w:rPr>
          <w:rFonts w:ascii="Times New Roman" w:cs="Times New Roman" w:eastAsia="Times New Roman" w:hAnsi="Times New Roman"/>
          <w:sz w:val="14"/>
          <w:szCs w:val="14"/>
          <w:color w:val="auto"/>
        </w:rPr>
        <w:t>The Company agrees promptly to pay the Warrant Agent the compensation to be agreed upon with the Company for all services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4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(b)            Agent for the Company. </w:t>
      </w:r>
      <w:r>
        <w:rPr>
          <w:rFonts w:ascii="Times New Roman" w:cs="Times New Roman" w:eastAsia="Times New Roman" w:hAnsi="Times New Roman"/>
          <w:sz w:val="14"/>
          <w:szCs w:val="14"/>
          <w:color w:val="auto"/>
        </w:rPr>
        <w:t>In acting under this Agreement and in connection with the Warrant Certificates, the Warrant Agent is acting solely as agent of the Company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does not assume any obligations or relationship of agency or trust for or with any of the holders of Warrant Certificates or beneficial owners of Warrants.</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            Counsel. </w:t>
      </w:r>
      <w:r>
        <w:rPr>
          <w:rFonts w:ascii="Times New Roman" w:cs="Times New Roman" w:eastAsia="Times New Roman" w:hAnsi="Times New Roman"/>
          <w:sz w:val="14"/>
          <w:szCs w:val="14"/>
          <w:color w:val="auto"/>
        </w:rPr>
        <w:t>The Warrant Agent may consult with counsel satisfactory to it, which may include counsel for the Company, and the written advice of such counsel shall be full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complete authorization and protection in respect of any action taken, suffered or omitted by it hereunder in good faith and in accordance with the advice of such counsel.</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(d)            Documents. </w:t>
      </w:r>
      <w:r>
        <w:rPr>
          <w:rFonts w:ascii="Times New Roman" w:cs="Times New Roman" w:eastAsia="Times New Roman" w:hAnsi="Times New Roman"/>
          <w:sz w:val="14"/>
          <w:szCs w:val="14"/>
          <w:color w:val="auto"/>
        </w:rPr>
        <w:t>The Warrant Agent shall be protected and shall incur no liability for or in respect of any action taken or omitted by it in reliance upon any Warrant Certificate,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notice, direction, consent, certificate, affidavit, statement or other paper or document reasonably believed by it to be genuine and to have been presented or signed by the proper parties.</w:t>
      </w:r>
    </w:p>
    <w:p>
      <w:pPr>
        <w:spacing w:after="0" w:line="121"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(e)            Certain Transactions. </w:t>
      </w:r>
      <w:r>
        <w:rPr>
          <w:rFonts w:ascii="Times New Roman" w:cs="Times New Roman" w:eastAsia="Times New Roman" w:hAnsi="Times New Roman"/>
          <w:sz w:val="14"/>
          <w:szCs w:val="14"/>
          <w:color w:val="auto"/>
        </w:rPr>
        <w:t>The Warrant Agent, and its officers, directors and employees, may become the owner of, or acquire any interest in, Warrants, with the same rights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39"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(f)            No Liability for Interest. </w:t>
      </w:r>
      <w:r>
        <w:rPr>
          <w:rFonts w:ascii="Times New Roman" w:cs="Times New Roman" w:eastAsia="Times New Roman" w:hAnsi="Times New Roman"/>
          <w:sz w:val="14"/>
          <w:szCs w:val="14"/>
          <w:color w:val="auto"/>
        </w:rPr>
        <w:t>Unless otherwise agreed with the Company, the Warrant Agent shall have no liability for interest on any monies at any time received by it pursuant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any of the provisions of this Agreement or of the Warrant Certificates.</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(g)            No Liability for Invalidity. </w:t>
      </w:r>
      <w:r>
        <w:rPr>
          <w:rFonts w:ascii="Times New Roman" w:cs="Times New Roman" w:eastAsia="Times New Roman" w:hAnsi="Times New Roman"/>
          <w:sz w:val="14"/>
          <w:szCs w:val="14"/>
          <w:color w:val="auto"/>
        </w:rPr>
        <w:t>The Warrant Agent shall have no liability with respect to any invalidity of this Agreement or any of the Warrant Certificates (except as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Agent’s countersignature thereon).</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(h)            No Responsibility for Representations. </w:t>
      </w:r>
      <w:r>
        <w:rPr>
          <w:rFonts w:ascii="Times New Roman" w:cs="Times New Roman" w:eastAsia="Times New Roman" w:hAnsi="Times New Roman"/>
          <w:sz w:val="14"/>
          <w:szCs w:val="14"/>
          <w:color w:val="auto"/>
        </w:rPr>
        <w:t>The Warrant Agent shall not be responsible for any of the recitals or representations herein or in the Warrant Certificates (except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Warrant Agent’s countersignature thereon), all of which are made solely by the Company.</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2" w:name="page143"/>
    <w:bookmarkEnd w:id="142"/>
    <w:p>
      <w:pPr>
        <w:jc w:val="both"/>
        <w:ind w:firstLine="1019"/>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(i)            No Implied Obligations. </w:t>
      </w:r>
      <w:r>
        <w:rPr>
          <w:rFonts w:ascii="Times New Roman" w:cs="Times New Roman" w:eastAsia="Times New Roman" w:hAnsi="Times New Roman"/>
          <w:sz w:val="14"/>
          <w:szCs w:val="14"/>
          <w:color w:val="auto"/>
        </w:rPr>
        <w:t>The Warrant Agent shall be obligated to perform only such duties as are herein and in the Warrant Certificates specifically set forth and no implied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5.3            Resignation, Removal and Appointment of Successors.</w:t>
      </w:r>
    </w:p>
    <w:p>
      <w:pPr>
        <w:spacing w:after="0" w:line="179"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Company agrees, for the benefit of the holders from time to time of the Warrant Certificates, that there shall at all times be a Warrant Agent hereunder until all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Warrants have been exercised or are no longer exercisable.</w:t>
      </w:r>
    </w:p>
    <w:p>
      <w:pPr>
        <w:spacing w:after="0" w:line="121" w:lineRule="exact"/>
        <w:rPr>
          <w:sz w:val="20"/>
          <w:szCs w:val="20"/>
          <w:color w:val="auto"/>
        </w:rPr>
      </w:pPr>
    </w:p>
    <w:p>
      <w:pPr>
        <w:jc w:val="both"/>
        <w:ind w:firstLine="1019"/>
        <w:spacing w:after="0" w:line="260"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Warrant Agent may at any time resign as agent by giving written notice to the Company of such intention on its part, specifying the date on which its desired resignation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43" w:lineRule="exact"/>
        <w:rPr>
          <w:sz w:val="20"/>
          <w:szCs w:val="20"/>
          <w:color w:val="auto"/>
        </w:rPr>
      </w:pPr>
    </w:p>
    <w:p>
      <w:pPr>
        <w:jc w:val="both"/>
        <w:ind w:firstLine="1019"/>
        <w:spacing w:after="0" w:line="257"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In case at any time the Warrant Agent shall resign, or shall be removed, or shall become incapable of acting, or shall be adjudged a bankrupt or insolvent, or shall commence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3" w:name="page144"/>
    <w:bookmarkEnd w:id="143"/>
    <w:p>
      <w:pPr>
        <w:jc w:val="both"/>
        <w:ind w:firstLine="1019"/>
        <w:spacing w:after="0" w:line="262"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Any successor Warrant Agent appointed hereunder shall execute, acknowledge and deliver to its predecessor and to the Company an instrument accepting such appointment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41"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(e)            </w:t>
      </w:r>
      <w:r>
        <w:rPr>
          <w:rFonts w:ascii="Times New Roman" w:cs="Times New Roman" w:eastAsia="Times New Roman" w:hAnsi="Times New Roman"/>
          <w:sz w:val="14"/>
          <w:szCs w:val="14"/>
          <w:color w:val="auto"/>
        </w:rPr>
        <w:t>Any corporation into which the Warrant Agent hereunder may be merged or converted or any corporation with which the Warrant Agent may be consolidated,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79"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6.1            Amendment. </w:t>
      </w:r>
      <w:r>
        <w:rPr>
          <w:rFonts w:ascii="Times New Roman" w:cs="Times New Roman" w:eastAsia="Times New Roman" w:hAnsi="Times New Roman"/>
          <w:sz w:val="14"/>
          <w:szCs w:val="14"/>
          <w:color w:val="auto"/>
        </w:rPr>
        <w:t>This Agreement may be amended by the parties hereto, without the consent of the holder of any Warrant Certificate, for the purpose of curing any ambiguity, or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32"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6.2            Notices and Demands to the Company and Warrant Agent. </w:t>
      </w:r>
      <w:r>
        <w:rPr>
          <w:rFonts w:ascii="Times New Roman" w:cs="Times New Roman" w:eastAsia="Times New Roman" w:hAnsi="Times New Roman"/>
          <w:sz w:val="14"/>
          <w:szCs w:val="14"/>
          <w:color w:val="auto"/>
        </w:rPr>
        <w:t>If the Warrant Agent shall receive any notice or demand addressed to the Company by the holder of a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 pursuant to the provisions of the Warrant Certificates, the Warrant Agent shall promptly forward such notice or demand to the Company.</w:t>
      </w:r>
    </w:p>
    <w:p>
      <w:pPr>
        <w:spacing w:after="0" w:line="121" w:lineRule="exact"/>
        <w:rPr>
          <w:sz w:val="20"/>
          <w:szCs w:val="20"/>
          <w:color w:val="auto"/>
        </w:rPr>
      </w:pPr>
    </w:p>
    <w:p>
      <w:pPr>
        <w:jc w:val="both"/>
        <w:ind w:firstLine="510"/>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6.3            Addresses. </w:t>
      </w:r>
      <w:r>
        <w:rPr>
          <w:rFonts w:ascii="Times New Roman" w:cs="Times New Roman" w:eastAsia="Times New Roman" w:hAnsi="Times New Roman"/>
          <w:sz w:val="14"/>
          <w:szCs w:val="14"/>
          <w:color w:val="auto"/>
        </w:rPr>
        <w:t>Any communication from the Company to the Warrant Agent with respect to this Agreement shall be addressed to [●], Attention: [●] and any communication from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Agent to the Company with respect to this Agreement shall be addressed to WeRide, Inc., 21st Floor, Tower A, Guanzhou Life Science Innovation Center, No. 51, Luoxuan Road, Guangzhou International Biotech Island, Guangzhou 510005 People’s Republic of China, Attention: [●] (or such other address as shall be specified in writing by the Warrant Agent or by the Company).</w:t>
      </w:r>
    </w:p>
    <w:p>
      <w:pPr>
        <w:spacing w:after="0" w:line="3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6.4            Governing Law. </w:t>
      </w:r>
      <w:r>
        <w:rPr>
          <w:rFonts w:ascii="Times New Roman" w:cs="Times New Roman" w:eastAsia="Times New Roman" w:hAnsi="Times New Roman"/>
          <w:sz w:val="14"/>
          <w:szCs w:val="14"/>
          <w:color w:val="auto"/>
        </w:rPr>
        <w:t>This Agreement and each Warrant Certificate issued hereunder shall be governed by and construed in accordance with the laws of the State of New York.</w:t>
      </w:r>
    </w:p>
    <w:p>
      <w:pPr>
        <w:spacing w:after="0" w:line="179"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6.5            Delivery of Prospectus. </w:t>
      </w:r>
      <w:r>
        <w:rPr>
          <w:rFonts w:ascii="Times New Roman" w:cs="Times New Roman" w:eastAsia="Times New Roman" w:hAnsi="Times New Roman"/>
          <w:sz w:val="14"/>
          <w:szCs w:val="14"/>
          <w:color w:val="auto"/>
        </w:rPr>
        <w:t>The Company shall furnish to the Warrant Agent sufficient copies of a prospectus meeting the requirements of the Securities Act of 1933, as amended,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relating to the Warrant Securities deliverable upon exercise of the Warrants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4" w:name="page145"/>
    <w:bookmarkEnd w:id="144"/>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6.6            Obtaining of Governmental Approvals. </w:t>
      </w:r>
      <w:r>
        <w:rPr>
          <w:rFonts w:ascii="Times New Roman" w:cs="Times New Roman" w:eastAsia="Times New Roman" w:hAnsi="Times New Roman"/>
          <w:sz w:val="14"/>
          <w:szCs w:val="14"/>
          <w:color w:val="auto"/>
        </w:rPr>
        <w:t>The Company will from time to time take all action which may be necessary to obtain and keep effective any and all permits, consents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39"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6.7            Persons Having Rights Under the Agreement. </w:t>
      </w:r>
      <w:r>
        <w:rPr>
          <w:rFonts w:ascii="Times New Roman" w:cs="Times New Roman" w:eastAsia="Times New Roman" w:hAnsi="Times New Roman"/>
          <w:sz w:val="14"/>
          <w:szCs w:val="14"/>
          <w:color w:val="auto"/>
        </w:rPr>
        <w:t>Nothing in this Agreement shall give to any person other than the Company, the Warrant Agent and the holders of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Certificates any right, remedy or claim under or by reason of this Agreement.</w:t>
      </w:r>
    </w:p>
    <w:p>
      <w:pPr>
        <w:spacing w:after="0" w:line="121"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6.8            Headings. </w:t>
      </w:r>
      <w:r>
        <w:rPr>
          <w:rFonts w:ascii="Times New Roman" w:cs="Times New Roman" w:eastAsia="Times New Roman" w:hAnsi="Times New Roman"/>
          <w:sz w:val="14"/>
          <w:szCs w:val="14"/>
          <w:color w:val="auto"/>
        </w:rPr>
        <w:t>The descriptive headings of the several Articles and Sections of this Agreement are inserted for convenience only and shall not control or affect the meaning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construction of any of the provisions hereof.</w:t>
      </w:r>
    </w:p>
    <w:p>
      <w:pPr>
        <w:spacing w:after="0" w:line="121"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6.9            Counterparts. </w:t>
      </w:r>
      <w:r>
        <w:rPr>
          <w:rFonts w:ascii="Times New Roman" w:cs="Times New Roman" w:eastAsia="Times New Roman" w:hAnsi="Times New Roman"/>
          <w:sz w:val="14"/>
          <w:szCs w:val="14"/>
          <w:color w:val="auto"/>
        </w:rPr>
        <w:t>This Agreement may be executed in any number of counterparts, each of which as so executed shall be deemed to be an original, but such counterparts shall together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constitute but one and the same instrument.</w:t>
      </w:r>
    </w:p>
    <w:p>
      <w:pPr>
        <w:spacing w:after="0" w:line="121"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6.10          Inspection of Agreement. </w:t>
      </w:r>
      <w:r>
        <w:rPr>
          <w:rFonts w:ascii="Times New Roman" w:cs="Times New Roman" w:eastAsia="Times New Roman" w:hAnsi="Times New Roman"/>
          <w:sz w:val="14"/>
          <w:szCs w:val="14"/>
          <w:color w:val="auto"/>
        </w:rPr>
        <w:t>A copy of this Agreement shall be available at all reasonable times at the principal corporate trust office of the Warrant Agent for inspection by the holder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any Warrant Certificate. The Warrant Agent may require such holder to submit such holder’s Warrant Certificate for inspection by it.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parties hereto have caused this Agreement to be duly executed as of the day and year first above written.</w:t>
      </w:r>
    </w:p>
    <w:p>
      <w:pPr>
        <w:spacing w:after="0" w:line="18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WeRide, Inc., as Company</w:t>
      </w:r>
    </w:p>
    <w:p>
      <w:pPr>
        <w:spacing w:after="0" w:line="179" w:lineRule="exact"/>
        <w:rPr>
          <w:sz w:val="20"/>
          <w:szCs w:val="20"/>
          <w:color w:val="auto"/>
        </w:rPr>
      </w:pPr>
    </w:p>
    <w:p>
      <w:pPr>
        <w:ind w:left="5120"/>
        <w:spacing w:after="0"/>
        <w:tabs>
          <w:tab w:leader="none" w:pos="57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              </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-101600</wp:posOffset>
            </wp:positionV>
            <wp:extent cx="315595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3155950" cy="698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12700</wp:posOffset>
            </wp:positionV>
            <wp:extent cx="315595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3155950" cy="698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-101600</wp:posOffset>
            </wp:positionV>
            <wp:extent cx="315595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3155950" cy="6985"/>
                    </a:xfrm>
                    <a:prstGeom prst="rect">
                      <a:avLst/>
                    </a:prstGeom>
                    <a:noFill/>
                  </pic:spPr>
                </pic:pic>
              </a:graphicData>
            </a:graphic>
          </wp:anchor>
        </w:drawing>
      </w:r>
    </w:p>
    <w:p>
      <w:pPr>
        <w:spacing w:after="0" w:line="15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9"/>
          <w:szCs w:val="9"/>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130810</wp:posOffset>
            </wp:positionV>
            <wp:extent cx="315595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3155950" cy="698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16510</wp:posOffset>
            </wp:positionV>
            <wp:extent cx="315595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3155950" cy="6985"/>
                    </a:xfrm>
                    <a:prstGeom prst="rect">
                      <a:avLst/>
                    </a:prstGeom>
                    <a:noFill/>
                  </pic:spPr>
                </pic:pic>
              </a:graphicData>
            </a:graphic>
          </wp:anchor>
        </w:drawing>
      </w:r>
    </w:p>
    <w:p>
      <w:pPr>
        <w:spacing w:after="0" w:line="3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9"/>
          <w:szCs w:val="9"/>
          <w:b w:val="1"/>
          <w:bCs w:val="1"/>
          <w:color w:val="auto"/>
        </w:rPr>
        <w:t>ountersigned</w:t>
      </w:r>
    </w:p>
    <w:p>
      <w:pPr>
        <w:spacing w:after="0" w:line="18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 as Warrant Agent</w:t>
      </w:r>
    </w:p>
    <w:p>
      <w:pPr>
        <w:spacing w:after="0" w:line="17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-101600</wp:posOffset>
            </wp:positionV>
            <wp:extent cx="315595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3155950" cy="698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12700</wp:posOffset>
            </wp:positionV>
            <wp:extent cx="315595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3155950" cy="698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-101600</wp:posOffset>
            </wp:positionV>
            <wp:extent cx="315595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3155950" cy="6985"/>
                    </a:xfrm>
                    <a:prstGeom prst="rect">
                      <a:avLst/>
                    </a:prstGeom>
                    <a:noFill/>
                  </pic:spPr>
                </pic:pic>
              </a:graphicData>
            </a:graphic>
          </wp:anchor>
        </w:drawing>
      </w:r>
    </w:p>
    <w:p>
      <w:pPr>
        <w:spacing w:after="0" w:line="15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9"/>
          <w:szCs w:val="9"/>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130810</wp:posOffset>
            </wp:positionV>
            <wp:extent cx="315595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3155950" cy="698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16510</wp:posOffset>
            </wp:positionV>
            <wp:extent cx="315595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3155950" cy="6985"/>
                    </a:xfrm>
                    <a:prstGeom prst="rect">
                      <a:avLst/>
                    </a:prstGeom>
                    <a:noFill/>
                  </pic:spPr>
                </pic:pic>
              </a:graphicData>
            </a:graphic>
          </wp:anchor>
        </w:drawing>
      </w:r>
    </w:p>
    <w:p>
      <w:pPr>
        <w:spacing w:after="0" w:line="352"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9"/>
          <w:szCs w:val="9"/>
          <w:color w:val="auto"/>
        </w:rPr>
        <w:t>ignature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9"/>
          <w:szCs w:val="9"/>
          <w:color w:val="auto"/>
        </w:rPr>
        <w:t>age to</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9"/>
          <w:szCs w:val="9"/>
          <w:color w:val="auto"/>
        </w:rPr>
        <w:t>e</w:t>
      </w:r>
      <w:r>
        <w:rPr>
          <w:rFonts w:ascii="Times New Roman" w:cs="Times New Roman" w:eastAsia="Times New Roman" w:hAnsi="Times New Roman"/>
          <w:sz w:val="14"/>
          <w:szCs w:val="14"/>
          <w:color w:val="auto"/>
        </w:rPr>
        <w:t>R</w:t>
      </w:r>
      <w:r>
        <w:rPr>
          <w:rFonts w:ascii="Times New Roman" w:cs="Times New Roman" w:eastAsia="Times New Roman" w:hAnsi="Times New Roman"/>
          <w:sz w:val="9"/>
          <w:szCs w:val="9"/>
          <w:color w:val="auto"/>
        </w:rPr>
        <w:t>ide</w:t>
      </w:r>
      <w:r>
        <w:rPr>
          <w:rFonts w:ascii="Times New Roman" w:cs="Times New Roman" w:eastAsia="Times New Roman" w:hAnsi="Times New Roman"/>
          <w:sz w:val="14"/>
          <w:szCs w:val="14"/>
          <w:color w:val="auto"/>
        </w:rPr>
        <w:t>, I</w:t>
      </w:r>
      <w:r>
        <w:rPr>
          <w:rFonts w:ascii="Times New Roman" w:cs="Times New Roman" w:eastAsia="Times New Roman" w:hAnsi="Times New Roman"/>
          <w:sz w:val="9"/>
          <w:szCs w:val="9"/>
          <w:color w:val="auto"/>
        </w:rPr>
        <w:t>nc</w:t>
      </w:r>
      <w:r>
        <w:rPr>
          <w:rFonts w:ascii="Times New Roman" w:cs="Times New Roman" w:eastAsia="Times New Roman" w:hAnsi="Times New Roman"/>
          <w:sz w:val="14"/>
          <w:szCs w:val="14"/>
          <w:color w:val="auto"/>
        </w:rPr>
        <w:t>. [C</w:t>
      </w:r>
      <w:r>
        <w:rPr>
          <w:rFonts w:ascii="Times New Roman" w:cs="Times New Roman" w:eastAsia="Times New Roman" w:hAnsi="Times New Roman"/>
          <w:sz w:val="9"/>
          <w:szCs w:val="9"/>
          <w:color w:val="auto"/>
        </w:rPr>
        <w:t>lass</w:t>
      </w:r>
      <w:r>
        <w:rPr>
          <w:rFonts w:ascii="Times New Roman" w:cs="Times New Roman" w:eastAsia="Times New Roman" w:hAnsi="Times New Roman"/>
          <w:sz w:val="14"/>
          <w:szCs w:val="14"/>
          <w:color w:val="auto"/>
        </w:rPr>
        <w:t xml:space="preserve"> A]/[C</w:t>
      </w:r>
      <w:r>
        <w:rPr>
          <w:rFonts w:ascii="Times New Roman" w:cs="Times New Roman" w:eastAsia="Times New Roman" w:hAnsi="Times New Roman"/>
          <w:sz w:val="9"/>
          <w:szCs w:val="9"/>
          <w:color w:val="auto"/>
        </w:rPr>
        <w:t>lass</w:t>
      </w:r>
      <w:r>
        <w:rPr>
          <w:rFonts w:ascii="Times New Roman" w:cs="Times New Roman" w:eastAsia="Times New Roman" w:hAnsi="Times New Roman"/>
          <w:sz w:val="14"/>
          <w:szCs w:val="14"/>
          <w:color w:val="auto"/>
        </w:rPr>
        <w:t xml:space="preserve"> B] O</w:t>
      </w:r>
      <w:r>
        <w:rPr>
          <w:rFonts w:ascii="Times New Roman" w:cs="Times New Roman" w:eastAsia="Times New Roman" w:hAnsi="Times New Roman"/>
          <w:sz w:val="9"/>
          <w:szCs w:val="9"/>
          <w:color w:val="auto"/>
        </w:rPr>
        <w:t>rdinary</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9"/>
          <w:szCs w:val="9"/>
          <w:color w:val="auto"/>
        </w:rPr>
        <w:t>hare</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9"/>
          <w:szCs w:val="9"/>
          <w:color w:val="auto"/>
        </w:rPr>
        <w:t>arrant</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9"/>
          <w:szCs w:val="9"/>
          <w:color w:val="auto"/>
        </w:rPr>
        <w:t>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352425</wp:posOffset>
            </wp:positionV>
            <wp:extent cx="716153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9639"/>
          </w:cols>
          <w:pgMar w:left="820" w:top="739" w:right="1440" w:bottom="1440" w:gutter="0" w:footer="0" w:header="0"/>
        </w:sectPr>
      </w:pPr>
    </w:p>
    <w:bookmarkStart w:id="146" w:name="page147"/>
    <w:bookmarkEnd w:id="146"/>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9"/>
          <w:szCs w:val="9"/>
          <w:b w:val="1"/>
          <w:bCs w:val="1"/>
          <w:color w:val="auto"/>
        </w:rPr>
        <w:t>xhibit</w:t>
      </w:r>
      <w:r>
        <w:rPr>
          <w:rFonts w:ascii="Times New Roman" w:cs="Times New Roman" w:eastAsia="Times New Roman" w:hAnsi="Times New Roman"/>
          <w:sz w:val="14"/>
          <w:szCs w:val="14"/>
          <w:b w:val="1"/>
          <w:bCs w:val="1"/>
          <w:color w:val="auto"/>
        </w:rPr>
        <w:t xml:space="preserve"> A</w:t>
      </w:r>
    </w:p>
    <w:p>
      <w:pPr>
        <w:spacing w:after="0" w:line="17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FORM OF WARRANT CERTIFICATE</w:t>
      </w:r>
    </w:p>
    <w:p>
      <w:pPr>
        <w:spacing w:after="0" w:line="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[FACE OF WARRANT CERTIFICATE]</w:t>
      </w:r>
    </w:p>
    <w:p>
      <w:pPr>
        <w:spacing w:after="0" w:line="333" w:lineRule="exact"/>
        <w:rPr>
          <w:sz w:val="20"/>
          <w:szCs w:val="20"/>
          <w:color w:val="auto"/>
        </w:rPr>
      </w:pPr>
    </w:p>
    <w:p>
      <w:pPr>
        <w:spacing w:after="0"/>
        <w:tabs>
          <w:tab w:leader="none" w:pos="596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Form of Legend if Warrants are not immediately exercisable.</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[Prior to [●], Warrants evidenced by this Warrant Certificate cannot be exercised.]</w:t>
      </w:r>
    </w:p>
    <w:p>
      <w:pPr>
        <w:spacing w:after="0" w:line="18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EXERCISABLE ONLY IF COUNTERSIGNED BY THE WARRANT AGENT AS PROVIDED HEREIN</w:t>
      </w:r>
    </w:p>
    <w:p>
      <w:pPr>
        <w:spacing w:after="0" w:line="17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VOID AFTER [●] P.M., [City] time,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352425</wp:posOffset>
            </wp:positionV>
            <wp:extent cx="716153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620"/>
          </w:cols>
          <w:pgMar w:left="380" w:top="739" w:right="89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4"/>
          <w:szCs w:val="14"/>
          <w:b w:val="1"/>
          <w:bCs w:val="1"/>
          <w:color w:val="auto"/>
        </w:rPr>
        <w:t>WERIDE,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[CLASS A]/[CLASS B] ORDINARY SHARE, PAR VALUE $0.00001 PER SHARE</w:t>
      </w:r>
    </w:p>
    <w:p>
      <w:pPr>
        <w:spacing w:after="0" w:line="165" w:lineRule="exact"/>
        <w:rPr>
          <w:sz w:val="20"/>
          <w:szCs w:val="20"/>
          <w:color w:val="auto"/>
        </w:rPr>
      </w:pPr>
    </w:p>
    <w:p>
      <w:pPr>
        <w:spacing w:after="0"/>
        <w:tabs>
          <w:tab w:leader="none" w:pos="10540" w:val="left"/>
        </w:tabs>
        <w:rPr>
          <w:sz w:val="20"/>
          <w:szCs w:val="20"/>
          <w:color w:val="auto"/>
        </w:rPr>
      </w:pPr>
      <w:r>
        <w:rPr>
          <w:rFonts w:ascii="Times New Roman" w:cs="Times New Roman" w:eastAsia="Times New Roman" w:hAnsi="Times New Roman"/>
          <w:sz w:val="14"/>
          <w:szCs w:val="14"/>
          <w:color w:val="auto"/>
        </w:rPr>
        <w:t>No. [●]</w:t>
      </w:r>
      <w:r>
        <w:rPr>
          <w:sz w:val="20"/>
          <w:szCs w:val="20"/>
          <w:color w:val="auto"/>
        </w:rPr>
        <w:tab/>
      </w:r>
      <w:r>
        <w:rPr>
          <w:rFonts w:ascii="Times New Roman" w:cs="Times New Roman" w:eastAsia="Times New Roman" w:hAnsi="Times New Roman"/>
          <w:sz w:val="13"/>
          <w:szCs w:val="13"/>
          <w:color w:val="auto"/>
        </w:rPr>
        <w:t>[●] Warrants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certifies that [●] or registered assigns is the registered owner of the above indicated number of Warrants, each Warrant entitling such owner to purchase, at any time [after [●] p.m., [City] time, [on [●] and] on or before [●] p.m., [City] time, on [●], [●] [Class A]/[Class B] ordinary shares, par value $0.00001 (the “</w:t>
      </w:r>
      <w:r>
        <w:rPr>
          <w:rFonts w:ascii="Times New Roman" w:cs="Times New Roman" w:eastAsia="Times New Roman" w:hAnsi="Times New Roman"/>
          <w:sz w:val="14"/>
          <w:szCs w:val="14"/>
          <w:b w:val="1"/>
          <w:bCs w:val="1"/>
          <w:i w:val="1"/>
          <w:iCs w:val="1"/>
          <w:color w:val="auto"/>
        </w:rPr>
        <w:t>Warrant Securities</w:t>
      </w:r>
      <w:r>
        <w:rPr>
          <w:rFonts w:ascii="Times New Roman" w:cs="Times New Roman" w:eastAsia="Times New Roman" w:hAnsi="Times New Roman"/>
          <w:sz w:val="14"/>
          <w:szCs w:val="14"/>
          <w:color w:val="auto"/>
        </w:rPr>
        <w:t>”), of WeRide,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on the following basis: during the period from [●], through and including [●], the exercise price per Warrant Security will be $[●], subject to adjustment as provided in the Warrant Agreement (as hereinafter defined) (the “</w:t>
      </w:r>
      <w:r>
        <w:rPr>
          <w:rFonts w:ascii="Times New Roman" w:cs="Times New Roman" w:eastAsia="Times New Roman" w:hAnsi="Times New Roman"/>
          <w:sz w:val="14"/>
          <w:szCs w:val="14"/>
          <w:b w:val="1"/>
          <w:bCs w:val="1"/>
          <w:i w:val="1"/>
          <w:iCs w:val="1"/>
          <w:color w:val="auto"/>
        </w:rPr>
        <w:t>Warrant Price</w:t>
      </w:r>
      <w:r>
        <w:rPr>
          <w:rFonts w:ascii="Times New Roman" w:cs="Times New Roman" w:eastAsia="Times New Roman" w:hAnsi="Times New Roman"/>
          <w:sz w:val="14"/>
          <w:szCs w:val="14"/>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which is, on the date hereof, at the address specified on the reverse hereof, and upon compliance with and subject to the conditions set forth herein and in the Warrant Agreement (as hereinafter defined).</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This Warrant Certificate is issued under and in accordance with the Warrant Agreement dated as of [●] (the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317500</wp:posOffset>
            </wp:positionV>
            <wp:extent cx="716153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8" w:name="page149"/>
    <w:bookmarkEnd w:id="148"/>
    <w:p>
      <w:pPr>
        <w:spacing w:after="0" w:line="287" w:lineRule="auto"/>
        <w:rPr>
          <w:sz w:val="20"/>
          <w:szCs w:val="20"/>
          <w:color w:val="auto"/>
        </w:rPr>
      </w:pPr>
      <w:r>
        <w:rPr>
          <w:rFonts w:ascii="Times New Roman" w:cs="Times New Roman" w:eastAsia="Times New Roman" w:hAnsi="Times New Roman"/>
          <w:sz w:val="14"/>
          <w:szCs w:val="14"/>
          <w:color w:val="auto"/>
        </w:rPr>
        <w:t>Reference is hereby made to the further provisions of this Warrant Certificate set forth on the reverse hereof, which further provisions shall for all purposes have the same effect as if set forth at this place.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Warrant Certificate shall not be valid or obligatory for any purpose until countersigned by the Warrant Agent.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4"/>
          <w:szCs w:val="14"/>
          <w:color w:val="auto"/>
        </w:rPr>
        <w:t>, the Company has caused this Warrant to be executed in its name and on its behalf by the facsimile signatures of its duly authorized officers.</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Dated:</w:t>
        <w:tab/>
        <w:t>________________</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WeRide, Inc.</w:t>
      </w:r>
      <w:r>
        <w:rPr>
          <w:rFonts w:ascii="Times New Roman" w:cs="Times New Roman" w:eastAsia="Times New Roman" w:hAnsi="Times New Roman"/>
          <w:sz w:val="14"/>
          <w:szCs w:val="14"/>
          <w:color w:val="auto"/>
        </w:rPr>
        <w:t>, as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-101600</wp:posOffset>
            </wp:positionV>
            <wp:extent cx="285940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285940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12700</wp:posOffset>
            </wp:positionV>
            <wp:extent cx="285940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2859405" cy="698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-101600</wp:posOffset>
            </wp:positionV>
            <wp:extent cx="285940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2859405"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130810</wp:posOffset>
            </wp:positionV>
            <wp:extent cx="285940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2859405" cy="698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16510</wp:posOffset>
            </wp:positionV>
            <wp:extent cx="285940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2859405" cy="698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COUNTERSIGNED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-101600</wp:posOffset>
            </wp:positionV>
            <wp:extent cx="285940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285940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12700</wp:posOffset>
            </wp:positionV>
            <wp:extent cx="285940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2859405" cy="698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-101600</wp:posOffset>
            </wp:positionV>
            <wp:extent cx="285940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2859405"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130810</wp:posOffset>
            </wp:positionV>
            <wp:extent cx="285940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2859405" cy="698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16510</wp:posOffset>
            </wp:positionV>
            <wp:extent cx="285940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285940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474980</wp:posOffset>
            </wp:positionV>
            <wp:extent cx="716153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4"/>
          <w:szCs w:val="14"/>
          <w:b w:val="1"/>
          <w:bCs w:val="1"/>
          <w:color w:val="auto"/>
        </w:rPr>
        <w:t>[REVERSE OF WARRANT CERTIFICATE]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(Instructions for Exercise of Warrant)</w:t>
      </w:r>
    </w:p>
    <w:p>
      <w:pPr>
        <w:spacing w:after="0" w:line="18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4"/>
          <w:szCs w:val="14"/>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(To be executed upon exercise of Warrants)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undersigned hereby irrevocably elects to exercise ______ Warrants, evidenced by this Warrant Certificate, to purchase _______ [Class A]/[Class B] ordinary shares, par value $0.00001</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per share (the “</w:t>
      </w:r>
      <w:r>
        <w:rPr>
          <w:rFonts w:ascii="Times New Roman" w:cs="Times New Roman" w:eastAsia="Times New Roman" w:hAnsi="Times New Roman"/>
          <w:sz w:val="14"/>
          <w:szCs w:val="14"/>
          <w:b w:val="1"/>
          <w:bCs w:val="1"/>
          <w:i w:val="1"/>
          <w:iCs w:val="1"/>
          <w:color w:val="auto"/>
        </w:rPr>
        <w:t>Warrant Securities</w:t>
      </w:r>
      <w:r>
        <w:rPr>
          <w:rFonts w:ascii="Times New Roman" w:cs="Times New Roman" w:eastAsia="Times New Roman" w:hAnsi="Times New Roman"/>
          <w:sz w:val="14"/>
          <w:szCs w:val="14"/>
          <w:color w:val="auto"/>
        </w:rPr>
        <w:t>”), of WeRide,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WeRide,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46" w:lineRule="exact"/>
        <w:rPr>
          <w:sz w:val="20"/>
          <w:szCs w:val="20"/>
          <w:color w:val="auto"/>
        </w:rPr>
      </w:pPr>
    </w:p>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35" w:lineRule="exact"/>
        <w:rPr>
          <w:sz w:val="20"/>
          <w:szCs w:val="20"/>
          <w:color w:val="auto"/>
        </w:rPr>
      </w:pPr>
    </w:p>
    <w:p>
      <w:pPr>
        <w:spacing w:after="0"/>
        <w:tabs>
          <w:tab w:leader="none" w:pos="482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Name:</w:t>
      </w:r>
    </w:p>
    <w:p>
      <w:pPr>
        <w:spacing w:after="0" w:line="2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-101600</wp:posOffset>
            </wp:positionV>
            <wp:extent cx="659511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6595110" cy="698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(Insert Social Security or Other Identifying Number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358076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3580765" cy="698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Guaranteed:</w:t>
      </w:r>
    </w:p>
    <w:p>
      <w:pPr>
        <w:spacing w:after="0" w:line="2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1432560</wp:posOffset>
            </wp:positionH>
            <wp:positionV relativeFrom="paragraph">
              <wp:posOffset>-101600</wp:posOffset>
            </wp:positionV>
            <wp:extent cx="214439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2144395" cy="698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this Warrant Certificate and must bear a signature guarantee by a FINRA member firm).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Warrant may be exercised at the following addresses: By hand at: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mail at:</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[Instructions as to form and delivery of Warrant Securities and, if applicable, Warrant Certificates evidencing Warrants for the number of Warrant Securities remaining unexercised—complete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317500</wp:posOffset>
            </wp:positionV>
            <wp:extent cx="716153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8180" w:type="dxa"/>
            <w:vAlign w:val="bottom"/>
            <w:gridSpan w:val="3"/>
          </w:tcPr>
          <w:p>
            <w:pPr>
              <w:jc w:val="center"/>
              <w:ind w:right="3029"/>
              <w:spacing w:after="0"/>
              <w:rPr>
                <w:sz w:val="20"/>
                <w:szCs w:val="20"/>
                <w:color w:val="auto"/>
              </w:rPr>
            </w:pPr>
            <w:r>
              <w:rPr>
                <w:rFonts w:ascii="Times New Roman" w:cs="Times New Roman" w:eastAsia="Times New Roman" w:hAnsi="Times New Roman"/>
                <w:sz w:val="14"/>
                <w:szCs w:val="14"/>
                <w:b w:val="1"/>
                <w:bCs w:val="1"/>
                <w:color w:val="auto"/>
              </w:rPr>
              <w:t>ASSIGNMENT</w:t>
            </w:r>
          </w:p>
        </w:tc>
        <w:tc>
          <w:tcPr>
            <w:tcW w:w="0" w:type="dxa"/>
            <w:vAlign w:val="bottom"/>
          </w:tcPr>
          <w:p>
            <w:pPr>
              <w:spacing w:after="0"/>
              <w:rPr>
                <w:sz w:val="1"/>
                <w:szCs w:val="1"/>
                <w:color w:val="auto"/>
              </w:rPr>
            </w:pPr>
          </w:p>
        </w:tc>
      </w:tr>
      <w:tr>
        <w:trPr>
          <w:trHeight w:val="340"/>
        </w:trPr>
        <w:tc>
          <w:tcPr>
            <w:tcW w:w="3100" w:type="dxa"/>
            <w:vAlign w:val="bottom"/>
          </w:tcPr>
          <w:p>
            <w:pPr>
              <w:spacing w:after="0"/>
              <w:rPr>
                <w:sz w:val="24"/>
                <w:szCs w:val="24"/>
                <w:color w:val="auto"/>
              </w:rPr>
            </w:pPr>
          </w:p>
        </w:tc>
        <w:tc>
          <w:tcPr>
            <w:tcW w:w="8180" w:type="dxa"/>
            <w:vAlign w:val="bottom"/>
            <w:gridSpan w:val="3"/>
          </w:tcPr>
          <w:p>
            <w:pPr>
              <w:jc w:val="center"/>
              <w:ind w:right="3029"/>
              <w:spacing w:after="0"/>
              <w:rPr>
                <w:sz w:val="20"/>
                <w:szCs w:val="20"/>
                <w:color w:val="auto"/>
              </w:rPr>
            </w:pPr>
            <w:r>
              <w:rPr>
                <w:rFonts w:ascii="Times New Roman" w:cs="Times New Roman" w:eastAsia="Times New Roman" w:hAnsi="Times New Roman"/>
                <w:sz w:val="14"/>
                <w:szCs w:val="14"/>
                <w:color w:val="auto"/>
              </w:rPr>
              <w:t>[Form of assignment to be executed if Warrant Holder desires to transfer Warrant]</w:t>
            </w:r>
          </w:p>
        </w:tc>
        <w:tc>
          <w:tcPr>
            <w:tcW w:w="0" w:type="dxa"/>
            <w:vAlign w:val="bottom"/>
          </w:tcPr>
          <w:p>
            <w:pPr>
              <w:spacing w:after="0"/>
              <w:rPr>
                <w:sz w:val="1"/>
                <w:szCs w:val="1"/>
                <w:color w:val="auto"/>
              </w:rPr>
            </w:pPr>
          </w:p>
        </w:tc>
      </w:tr>
      <w:tr>
        <w:trPr>
          <w:trHeight w:val="340"/>
        </w:trPr>
        <w:tc>
          <w:tcPr>
            <w:tcW w:w="1128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9"/>
                <w:szCs w:val="9"/>
                <w:b w:val="1"/>
                <w:bCs w:val="1"/>
                <w:color w:val="auto"/>
              </w:rPr>
              <w:t>or</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9"/>
                <w:szCs w:val="9"/>
                <w:b w:val="1"/>
                <w:bCs w:val="1"/>
                <w:color w:val="auto"/>
              </w:rPr>
              <w:t>alue</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9"/>
                <w:szCs w:val="9"/>
                <w:b w:val="1"/>
                <w:bCs w:val="1"/>
                <w:color w:val="auto"/>
              </w:rPr>
              <w:t>eceived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______________ hereby sells, assigns and transfers unto:</w:t>
            </w:r>
          </w:p>
        </w:tc>
        <w:tc>
          <w:tcPr>
            <w:tcW w:w="0" w:type="dxa"/>
            <w:vAlign w:val="bottom"/>
          </w:tcPr>
          <w:p>
            <w:pPr>
              <w:spacing w:after="0"/>
              <w:rPr>
                <w:sz w:val="1"/>
                <w:szCs w:val="1"/>
                <w:color w:val="auto"/>
              </w:rPr>
            </w:pPr>
          </w:p>
        </w:tc>
      </w:tr>
      <w:tr>
        <w:trPr>
          <w:trHeight w:val="340"/>
        </w:trPr>
        <w:tc>
          <w:tcPr>
            <w:tcW w:w="3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(Please print name and address including zip code)</w:t>
            </w:r>
          </w:p>
        </w:tc>
        <w:tc>
          <w:tcPr>
            <w:tcW w:w="24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Please print Social Security or other identifying number</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right represented by the within Warrant to purchase _______________ shares of [Title of Warrant Securities] of WeRide, Inc. to which the within Warrant relates and appoints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 attorney to transfer such right on the books of the Warrant Agent with full power of substitution in the premises.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3380" w:type="dxa"/>
            <w:vAlign w:val="bottom"/>
          </w:tcPr>
          <w:p>
            <w:pPr>
              <w:spacing w:after="0"/>
              <w:rPr>
                <w:sz w:val="16"/>
                <w:szCs w:val="16"/>
                <w:color w:val="auto"/>
              </w:rPr>
            </w:pPr>
          </w:p>
        </w:tc>
        <w:tc>
          <w:tcPr>
            <w:tcW w:w="70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Name:</w:t>
            </w:r>
          </w:p>
        </w:tc>
      </w:tr>
      <w:tr>
        <w:trPr>
          <w:trHeight w:val="175"/>
        </w:trPr>
        <w:tc>
          <w:tcPr>
            <w:tcW w:w="900" w:type="dxa"/>
            <w:vAlign w:val="bottom"/>
          </w:tcPr>
          <w:p>
            <w:pPr>
              <w:spacing w:after="0"/>
              <w:rPr>
                <w:sz w:val="15"/>
                <w:szCs w:val="15"/>
                <w:color w:val="auto"/>
              </w:rPr>
            </w:pPr>
          </w:p>
        </w:tc>
        <w:tc>
          <w:tcPr>
            <w:tcW w:w="3380" w:type="dxa"/>
            <w:vAlign w:val="bottom"/>
            <w:tcBorders>
              <w:top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5780" w:type="dxa"/>
            <w:vAlign w:val="bottom"/>
            <w:tcBorders>
              <w:top w:val="single" w:sz="8" w:color="auto"/>
            </w:tcBorders>
          </w:tcPr>
          <w:p>
            <w:pPr>
              <w:ind w:left="2620"/>
              <w:spacing w:after="0"/>
              <w:rPr>
                <w:sz w:val="20"/>
                <w:szCs w:val="20"/>
                <w:color w:val="auto"/>
              </w:rPr>
            </w:pPr>
            <w:r>
              <w:rPr>
                <w:rFonts w:ascii="Times New Roman" w:cs="Times New Roman" w:eastAsia="Times New Roman" w:hAnsi="Times New Roman"/>
                <w:sz w:val="14"/>
                <w:szCs w:val="14"/>
                <w:color w:val="auto"/>
              </w:rPr>
              <w:t>Signature</w:t>
            </w:r>
          </w:p>
        </w:tc>
      </w:tr>
    </w:tbl>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the Warrant)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351345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351345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574675</wp:posOffset>
            </wp:positionV>
            <wp:extent cx="716153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4"/>
          <w:szCs w:val="14"/>
          <w:b w:val="1"/>
          <w:bCs w:val="1"/>
          <w:color w:val="auto"/>
        </w:rPr>
        <w:t>Exhibit 4.6</w:t>
      </w:r>
    </w:p>
    <w:p>
      <w:pPr>
        <w:spacing w:after="0" w:line="17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e</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9"/>
          <w:szCs w:val="9"/>
          <w:b w:val="1"/>
          <w:bCs w:val="1"/>
          <w:color w:val="auto"/>
        </w:rPr>
        <w:t>ide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w:t>
      </w:r>
    </w:p>
    <w:p>
      <w:pPr>
        <w:spacing w:after="0" w:line="22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0"/>
          <w:szCs w:val="10"/>
          <w:b w:val="1"/>
          <w:bCs w:val="1"/>
          <w:color w:val="auto"/>
        </w:rPr>
        <w:t>and</w:t>
      </w:r>
    </w:p>
    <w:p>
      <w:pPr>
        <w:spacing w:after="0" w:line="17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 A</w:t>
      </w:r>
      <w:r>
        <w:rPr>
          <w:rFonts w:ascii="Times New Roman" w:cs="Times New Roman" w:eastAsia="Times New Roman" w:hAnsi="Times New Roman"/>
          <w:sz w:val="9"/>
          <w:szCs w:val="9"/>
          <w:b w:val="1"/>
          <w:bCs w:val="1"/>
          <w:color w:val="auto"/>
        </w:rPr>
        <w:t>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gent</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9"/>
          <w:szCs w:val="9"/>
          <w:b w:val="1"/>
          <w:bCs w:val="1"/>
          <w:color w:val="auto"/>
        </w:rPr>
        <w:t>orm of</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9"/>
          <w:szCs w:val="9"/>
          <w:b w:val="1"/>
          <w:bCs w:val="1"/>
          <w:color w:val="auto"/>
        </w:rPr>
        <w:t>referred</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9"/>
          <w:szCs w:val="9"/>
          <w:b w:val="1"/>
          <w:bCs w:val="1"/>
          <w:color w:val="auto"/>
        </w:rPr>
        <w:t>tock</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greement</w:t>
      </w:r>
    </w:p>
    <w:p>
      <w:pPr>
        <w:spacing w:after="0" w:line="16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9"/>
          <w:szCs w:val="9"/>
          <w:b w:val="1"/>
          <w:bCs w:val="1"/>
          <w:color w:val="auto"/>
        </w:rPr>
        <w:t>ated</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s</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f</w:t>
      </w:r>
      <w:r>
        <w:rPr>
          <w:rFonts w:ascii="Times New Roman" w:cs="Times New Roman" w:eastAsia="Times New Roman" w:hAnsi="Times New Roman"/>
          <w:sz w:val="14"/>
          <w:szCs w:val="14"/>
          <w:b w:val="1"/>
          <w:bCs w:val="1"/>
          <w:color w:val="auto"/>
        </w:rPr>
        <w:t xml:space="preserve">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231775</wp:posOffset>
            </wp:positionV>
            <wp:extent cx="716153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40"/>
          </w:cols>
          <w:pgMar w:left="1440" w:top="314" w:right="31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e</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9"/>
          <w:szCs w:val="9"/>
          <w:b w:val="1"/>
          <w:bCs w:val="1"/>
          <w:color w:val="auto"/>
        </w:rPr>
        <w:t>ide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 F</w:t>
      </w:r>
      <w:r>
        <w:rPr>
          <w:rFonts w:ascii="Times New Roman" w:cs="Times New Roman" w:eastAsia="Times New Roman" w:hAnsi="Times New Roman"/>
          <w:sz w:val="9"/>
          <w:szCs w:val="9"/>
          <w:b w:val="1"/>
          <w:bCs w:val="1"/>
          <w:color w:val="auto"/>
        </w:rPr>
        <w:t>orm of</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9"/>
          <w:szCs w:val="9"/>
          <w:b w:val="1"/>
          <w:bCs w:val="1"/>
          <w:color w:val="auto"/>
        </w:rPr>
        <w:t>referred</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9"/>
          <w:szCs w:val="9"/>
          <w:b w:val="1"/>
          <w:bCs w:val="1"/>
          <w:color w:val="auto"/>
        </w:rPr>
        <w:t>tock</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greement</w:t>
      </w:r>
    </w:p>
    <w:p>
      <w:pPr>
        <w:spacing w:after="0" w:line="179"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his</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9"/>
          <w:szCs w:val="9"/>
          <w:b w:val="1"/>
          <w:bCs w:val="1"/>
          <w:color w:val="auto"/>
        </w:rPr>
        <w:t>referred</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9"/>
          <w:szCs w:val="9"/>
          <w:b w:val="1"/>
          <w:bCs w:val="1"/>
          <w:color w:val="auto"/>
        </w:rPr>
        <w:t>tock</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dated as of [●], between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e</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9"/>
          <w:szCs w:val="9"/>
          <w:b w:val="1"/>
          <w:bCs w:val="1"/>
          <w:color w:val="auto"/>
        </w:rPr>
        <w:t>ide</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an exempted company with limited liability incorporated under the laws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Cayman Islands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w:t>
      </w:r>
    </w:p>
    <w:p>
      <w:pPr>
        <w:spacing w:after="0" w:line="301" w:lineRule="exact"/>
        <w:rPr>
          <w:sz w:val="20"/>
          <w:szCs w:val="20"/>
          <w:color w:val="auto"/>
        </w:rPr>
      </w:pPr>
    </w:p>
    <w:p>
      <w:pPr>
        <w:jc w:val="both"/>
        <w:ind w:firstLine="510"/>
        <w:spacing w:after="0" w:line="269"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proposes to sell [</w:t>
      </w:r>
      <w:r>
        <w:rPr>
          <w:rFonts w:ascii="Times New Roman" w:cs="Times New Roman" w:eastAsia="Times New Roman" w:hAnsi="Times New Roman"/>
          <w:sz w:val="14"/>
          <w:szCs w:val="14"/>
          <w:b w:val="1"/>
          <w:bCs w:val="1"/>
          <w:i w:val="1"/>
          <w:iCs w:val="1"/>
          <w:color w:val="auto"/>
        </w:rPr>
        <w:t>If Warrants are sold with other securities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[title of such other securities being offered] (the “</w:t>
      </w:r>
      <w:r>
        <w:rPr>
          <w:rFonts w:ascii="Times New Roman" w:cs="Times New Roman" w:eastAsia="Times New Roman" w:hAnsi="Times New Roman"/>
          <w:sz w:val="14"/>
          <w:szCs w:val="14"/>
          <w:b w:val="1"/>
          <w:bCs w:val="1"/>
          <w:i w:val="1"/>
          <w:iCs w:val="1"/>
          <w:color w:val="auto"/>
        </w:rPr>
        <w:t>Other Securities</w:t>
      </w:r>
      <w:r>
        <w:rPr>
          <w:rFonts w:ascii="Times New Roman" w:cs="Times New Roman" w:eastAsia="Times New Roman" w:hAnsi="Times New Roman"/>
          <w:sz w:val="14"/>
          <w:szCs w:val="14"/>
          <w:color w:val="auto"/>
        </w:rPr>
        <w:t>”) with] warrant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evidencing one or more warrants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or, individually, a “</w:t>
      </w:r>
      <w:r>
        <w:rPr>
          <w:rFonts w:ascii="Times New Roman" w:cs="Times New Roman" w:eastAsia="Times New Roman" w:hAnsi="Times New Roman"/>
          <w:sz w:val="14"/>
          <w:szCs w:val="14"/>
          <w:b w:val="1"/>
          <w:bCs w:val="1"/>
          <w:i w:val="1"/>
          <w:iCs w:val="1"/>
          <w:color w:val="auto"/>
        </w:rPr>
        <w:t>Warrant</w:t>
      </w:r>
      <w:r>
        <w:rPr>
          <w:rFonts w:ascii="Times New Roman" w:cs="Times New Roman" w:eastAsia="Times New Roman" w:hAnsi="Times New Roman"/>
          <w:sz w:val="14"/>
          <w:szCs w:val="14"/>
          <w:color w:val="auto"/>
        </w:rPr>
        <w:t>”) representing the right to purchase [title of Preferred Stock purchasable through exercise of Warrants] of the Company, par value US$0.00001 per share (the “</w:t>
      </w:r>
      <w:r>
        <w:rPr>
          <w:rFonts w:ascii="Times New Roman" w:cs="Times New Roman" w:eastAsia="Times New Roman" w:hAnsi="Times New Roman"/>
          <w:sz w:val="14"/>
          <w:szCs w:val="14"/>
          <w:b w:val="1"/>
          <w:bCs w:val="1"/>
          <w:i w:val="1"/>
          <w:iCs w:val="1"/>
          <w:color w:val="auto"/>
        </w:rPr>
        <w:t>Warrant Securities</w:t>
      </w:r>
      <w:r>
        <w:rPr>
          <w:rFonts w:ascii="Times New Roman" w:cs="Times New Roman" w:eastAsia="Times New Roman" w:hAnsi="Times New Roman"/>
          <w:sz w:val="14"/>
          <w:szCs w:val="14"/>
          <w:color w:val="auto"/>
        </w:rPr>
        <w:t>”), such warrant certificates and other warrant certificates issued pursuant to this Agreement being herein called the “</w:t>
      </w:r>
      <w:r>
        <w:rPr>
          <w:rFonts w:ascii="Times New Roman" w:cs="Times New Roman" w:eastAsia="Times New Roman" w:hAnsi="Times New Roman"/>
          <w:sz w:val="14"/>
          <w:szCs w:val="14"/>
          <w:b w:val="1"/>
          <w:bCs w:val="1"/>
          <w:i w:val="1"/>
          <w:iCs w:val="1"/>
          <w:color w:val="auto"/>
        </w:rPr>
        <w:t>Warrant Certificates</w:t>
      </w:r>
      <w:r>
        <w:rPr>
          <w:rFonts w:ascii="Times New Roman" w:cs="Times New Roman" w:eastAsia="Times New Roman" w:hAnsi="Times New Roman"/>
          <w:sz w:val="14"/>
          <w:szCs w:val="14"/>
          <w:color w:val="auto"/>
        </w:rPr>
        <w:t>”; and</w:t>
      </w:r>
    </w:p>
    <w:p>
      <w:pPr>
        <w:spacing w:after="0" w:line="308"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desires the Warrant Agent to act on behalf of the Company, and the Warrant Agent is willing so to act, in connection with the issuance, registration, transfer,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9"/>
          <w:szCs w:val="9"/>
          <w:b w:val="1"/>
          <w:bCs w:val="1"/>
          <w:color w:val="auto"/>
        </w:rPr>
        <w:t>ow</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9"/>
          <w:szCs w:val="9"/>
          <w:b w:val="1"/>
          <w:bCs w:val="1"/>
          <w:color w:val="auto"/>
        </w:rPr>
        <w:t>herefore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consideration of the premises and of the mutual agreements herein contained, the parties hereto agree as follows: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ISSUANCE OF WARRANTS AND EXECUTION AND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DELIVERY OF WARRANT CERTIFICATES</w:t>
      </w:r>
    </w:p>
    <w:p>
      <w:pPr>
        <w:spacing w:after="0" w:line="163"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1.1            Issuance of Warrants.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If Warrants alone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issuance, each Warrant Certificate shall evidence one or more Warrants.] [</w:t>
      </w:r>
      <w:r>
        <w:rPr>
          <w:rFonts w:ascii="Times New Roman" w:cs="Times New Roman" w:eastAsia="Times New Roman" w:hAnsi="Times New Roman"/>
          <w:sz w:val="14"/>
          <w:szCs w:val="14"/>
          <w:b w:val="1"/>
          <w:bCs w:val="1"/>
          <w:i w:val="1"/>
          <w:iCs w:val="1"/>
          <w:color w:val="auto"/>
        </w:rPr>
        <w:t>If Other Securities and Warrants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 w:cs="Times New Roman" w:eastAsia="Times New Roman" w:hAnsi="Times New Roman"/>
          <w:sz w:val="14"/>
          <w:szCs w:val="14"/>
          <w:b w:val="1"/>
          <w:bCs w:val="1"/>
          <w:i w:val="1"/>
          <w:iCs w:val="1"/>
          <w:color w:val="auto"/>
        </w:rPr>
        <w:t>If Other Securities and Warrants</w:t>
      </w:r>
      <w:r>
        <w:rPr>
          <w:rFonts w:ascii="Times New Roman" w:cs="Times New Roman" w:eastAsia="Times New Roman" w:hAnsi="Times New Roman"/>
          <w:sz w:val="14"/>
          <w:szCs w:val="14"/>
          <w:color w:val="auto"/>
        </w:rPr>
        <w:t xml:space="preserve"> —Warrant Certificates will be issued with the Other Securities and each Warrant Certificate will evidence [●] Warrants for each [$[●] principal amount] [[●] shares] of Other Securities issued.]</w:t>
      </w:r>
    </w:p>
    <w:p>
      <w:pPr>
        <w:spacing w:after="0" w:line="13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            Execution and Delivery of Warrant Certificates. </w:t>
      </w:r>
      <w:r>
        <w:rPr>
          <w:rFonts w:ascii="Times New Roman" w:cs="Times New Roman" w:eastAsia="Times New Roman" w:hAnsi="Times New Roman"/>
          <w:sz w:val="14"/>
          <w:szCs w:val="14"/>
          <w:color w:val="auto"/>
        </w:rPr>
        <w:t>Each Warrant Certificate, whenever issued, shall be in registered form substantially in the form set forth in</w:t>
      </w:r>
      <w:r>
        <w:rPr>
          <w:rFonts w:ascii="Times New Roman" w:cs="Times New Roman" w:eastAsia="Times New Roman" w:hAnsi="Times New Roman"/>
          <w:sz w:val="14"/>
          <w:szCs w:val="14"/>
          <w:b w:val="1"/>
          <w:bCs w:val="1"/>
          <w:color w:val="auto"/>
        </w:rPr>
        <w:t xml:space="preserve"> Exhibit A </w:t>
      </w:r>
      <w:r>
        <w:rPr>
          <w:rFonts w:ascii="Times New Roman" w:cs="Times New Roman" w:eastAsia="Times New Roman" w:hAnsi="Times New Roman"/>
          <w:sz w:val="14"/>
          <w:szCs w:val="14"/>
          <w:color w:val="auto"/>
        </w:rPr>
        <w:t>hereto,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3" w:name="page154"/>
    <w:bookmarkEnd w:id="153"/>
    <w:p>
      <w:pPr>
        <w:jc w:val="both"/>
        <w:ind w:firstLine="510"/>
        <w:spacing w:after="0" w:line="270" w:lineRule="auto"/>
        <w:rPr>
          <w:sz w:val="20"/>
          <w:szCs w:val="20"/>
          <w:color w:val="auto"/>
        </w:rPr>
      </w:pPr>
      <w:r>
        <w:rPr>
          <w:rFonts w:ascii="Times New Roman" w:cs="Times New Roman" w:eastAsia="Times New Roman" w:hAnsi="Times New Roman"/>
          <w:sz w:val="14"/>
          <w:szCs w:val="14"/>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36"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4"/>
          <w:szCs w:val="14"/>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39"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holder of a Warrant Certificate</w:t>
      </w:r>
      <w:r>
        <w:rPr>
          <w:rFonts w:ascii="Times New Roman" w:cs="Times New Roman" w:eastAsia="Times New Roman" w:hAnsi="Times New Roman"/>
          <w:sz w:val="14"/>
          <w:szCs w:val="14"/>
          <w:color w:val="auto"/>
        </w:rPr>
        <w:t>” as used herein shall mean any person in whose name at the time any Warrant Certificate shall be registered upon the books to be maintained by the Warrant Agent for that purpose.</w:t>
      </w:r>
    </w:p>
    <w:p>
      <w:pPr>
        <w:spacing w:after="0" w:line="121"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1.3            Issuance of Warrant Certificates. </w:t>
      </w:r>
      <w:r>
        <w:rPr>
          <w:rFonts w:ascii="Times New Roman" w:cs="Times New Roman" w:eastAsia="Times New Roman" w:hAnsi="Times New Roman"/>
          <w:sz w:val="14"/>
          <w:szCs w:val="14"/>
          <w:color w:val="auto"/>
        </w:rPr>
        <w:t>Warrant Certificates evidencing the right to purchase Warrant Securities may be executed by the Company and delivered to the Warrant Agent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 PRICE, DURATION AND EXERCISE OF WARRANTS</w:t>
      </w:r>
    </w:p>
    <w:p>
      <w:pPr>
        <w:spacing w:after="0" w:line="179"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2.1            Warrant Price. </w:t>
      </w:r>
      <w:r>
        <w:rPr>
          <w:rFonts w:ascii="Times New Roman" w:cs="Times New Roman" w:eastAsia="Times New Roman" w:hAnsi="Times New Roman"/>
          <w:sz w:val="14"/>
          <w:szCs w:val="14"/>
          <w:color w:val="auto"/>
        </w:rPr>
        <w:t>During the period specified in Section 2.2, each Warrant shall, subject to the terms of this Agreement and the applicable Warrant Certificate, entitle the holder 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cs="Times New Roman" w:eastAsia="Times New Roman" w:hAnsi="Times New Roman"/>
          <w:sz w:val="14"/>
          <w:szCs w:val="14"/>
          <w:b w:val="1"/>
          <w:bCs w:val="1"/>
          <w:i w:val="1"/>
          <w:iCs w:val="1"/>
          <w:color w:val="auto"/>
        </w:rPr>
        <w:t>Warrant Price.</w:t>
      </w:r>
      <w:r>
        <w:rPr>
          <w:rFonts w:ascii="Times New Roman" w:cs="Times New Roman" w:eastAsia="Times New Roman" w:hAnsi="Times New Roman"/>
          <w:sz w:val="14"/>
          <w:szCs w:val="14"/>
          <w:color w:val="auto"/>
        </w:rPr>
        <w:t>”</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2.2            Duration of Warrants. </w:t>
      </w:r>
      <w:r>
        <w:rPr>
          <w:rFonts w:ascii="Times New Roman" w:cs="Times New Roman" w:eastAsia="Times New Roman" w:hAnsi="Times New Roman"/>
          <w:sz w:val="14"/>
          <w:szCs w:val="14"/>
          <w:color w:val="auto"/>
        </w:rPr>
        <w:t>Each Warrant may be exercised in whole or in part at any time, as specified herein, on or after [the date thereof] [●] and at or before [●] p.m., [City] time, on</w:t>
      </w:r>
    </w:p>
    <w:p>
      <w:pPr>
        <w:spacing w:after="0" w:line="25" w:lineRule="exact"/>
        <w:rPr>
          <w:sz w:val="20"/>
          <w:szCs w:val="20"/>
          <w:color w:val="auto"/>
        </w:rPr>
      </w:pPr>
    </w:p>
    <w:p>
      <w:pPr>
        <w:jc w:val="both"/>
        <w:ind w:firstLine="5"/>
        <w:spacing w:after="0" w:line="259" w:lineRule="auto"/>
        <w:tabs>
          <w:tab w:leader="none" w:pos="23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4"/>
          <w:szCs w:val="14"/>
          <w:b w:val="1"/>
          <w:bCs w:val="1"/>
          <w:i w:val="1"/>
          <w:iCs w:val="1"/>
          <w:color w:val="auto"/>
        </w:rPr>
        <w:t>Expiration Date</w:t>
      </w:r>
      <w:r>
        <w:rPr>
          <w:rFonts w:ascii="Times New Roman" w:cs="Times New Roman" w:eastAsia="Times New Roman" w:hAnsi="Times New Roman"/>
          <w:sz w:val="14"/>
          <w:szCs w:val="14"/>
          <w:color w:val="auto"/>
        </w:rPr>
        <w:t>”). Each Warrant not exercised at or before [●] p.m., [City] time, on the Expiration Date shall become void, and all rights of the holder of the Warrant Certificate evidencing such Warrant under this Agreement shall cease.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154" w:name="page155"/>
    <w:bookmarkEnd w:id="154"/>
    <w:p>
      <w:pPr>
        <w:ind w:left="520"/>
        <w:spacing w:after="0"/>
        <w:rPr>
          <w:sz w:val="20"/>
          <w:szCs w:val="20"/>
          <w:color w:val="auto"/>
        </w:rPr>
      </w:pPr>
      <w:r>
        <w:rPr>
          <w:rFonts w:ascii="Times New Roman" w:cs="Times New Roman" w:eastAsia="Times New Roman" w:hAnsi="Times New Roman"/>
          <w:sz w:val="14"/>
          <w:szCs w:val="14"/>
          <w:b w:val="1"/>
          <w:bCs w:val="1"/>
          <w:color w:val="auto"/>
        </w:rPr>
        <w:t>2.3            Exercise of Warrants.</w:t>
      </w:r>
    </w:p>
    <w:p>
      <w:pPr>
        <w:spacing w:after="0" w:line="179" w:lineRule="exact"/>
        <w:rPr>
          <w:sz w:val="20"/>
          <w:szCs w:val="20"/>
          <w:color w:val="auto"/>
        </w:rPr>
      </w:pPr>
    </w:p>
    <w:p>
      <w:pPr>
        <w:jc w:val="both"/>
        <w:ind w:firstLine="1019"/>
        <w:spacing w:after="0" w:line="256"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During the period specified in Section 2.2, the Warrants may be exercised to purchase a whole number of Warrant Securities in registered form by providing certain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45"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Warrant Agent shall, from time to time, as promptly as practicable, advise the Company of (i) the number of Warrant Securities with respect to which Warrants were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39"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As soon as practicable after the exercise of any Warrant, the Company shall issue to or upon the order of the holder of the Warrant Certificate evidencing such Warrant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39" w:lineRule="exact"/>
        <w:rPr>
          <w:sz w:val="20"/>
          <w:szCs w:val="20"/>
          <w:color w:val="auto"/>
        </w:rPr>
      </w:pPr>
    </w:p>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The Company shall not be required to pay any stamp or other tax or other governmental charge required to be paid in connection with any transfer involved in the issue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32"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(e)            </w:t>
      </w:r>
      <w:r>
        <w:rPr>
          <w:rFonts w:ascii="Times New Roman" w:cs="Times New Roman" w:eastAsia="Times New Roman" w:hAnsi="Times New Roman"/>
          <w:sz w:val="14"/>
          <w:szCs w:val="14"/>
          <w:color w:val="auto"/>
        </w:rPr>
        <w:t>Prior to the issuance of any Warrants there shall have been reserved, and the Company shall at all times through the Expiration Date keep reserved, out of its authorized but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unissued Warrant Securities, a number of shares sufficient to provide for the exercise of the Warrants.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OTHER PROVISIONS RELATING TO RIGHTS OF HOLDERS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 CERTIFICATES</w:t>
      </w:r>
    </w:p>
    <w:p>
      <w:pPr>
        <w:spacing w:after="0" w:line="163"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3.1            No Rights as Warrant Securityholder Conferred by Warrants or Warrant Certificates. </w:t>
      </w:r>
      <w:r>
        <w:rPr>
          <w:rFonts w:ascii="Times New Roman" w:cs="Times New Roman" w:eastAsia="Times New Roman" w:hAnsi="Times New Roman"/>
          <w:sz w:val="14"/>
          <w:szCs w:val="14"/>
          <w:color w:val="auto"/>
        </w:rPr>
        <w:t>No Warrant Certificate or Warrant evidenced thereby shall entitle the holder thereof to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32"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3.2            Lost, Stolen, Mutilated or Destroyed Warrant Certificates. </w:t>
      </w:r>
      <w:r>
        <w:rPr>
          <w:rFonts w:ascii="Times New Roman" w:cs="Times New Roman" w:eastAsia="Times New Roman" w:hAnsi="Times New Roman"/>
          <w:sz w:val="14"/>
          <w:szCs w:val="14"/>
          <w:color w:val="auto"/>
        </w:rPr>
        <w:t>Upon receipt by the Warrant Agent of evidence reasonably satisfactory to it and the Company of the ownership of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45"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3.3            Holder of Warrant Certificate May Enforce Rights. </w:t>
      </w:r>
      <w:r>
        <w:rPr>
          <w:rFonts w:ascii="Times New Roman" w:cs="Times New Roman" w:eastAsia="Times New Roman" w:hAnsi="Times New Roman"/>
          <w:sz w:val="14"/>
          <w:szCs w:val="14"/>
          <w:color w:val="auto"/>
        </w:rPr>
        <w:t>Notwithstanding any of the provisions of this Agreement, any holder of a Warrant Certificate, without the consent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3.4            Adjustments.</w:t>
      </w:r>
    </w:p>
    <w:p>
      <w:pPr>
        <w:spacing w:after="0" w:line="179"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In case the Company shall at any time subdivide its outstanding shares of [title of Preferred Stock purchasable through exercise of Warrants] into a greater number of shares,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6" w:name="page157"/>
    <w:bookmarkEnd w:id="156"/>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If at any time or from time to time the holders of [title of Preferred Stock purchasable through exercise of Warrants] (or any shares of stock or other securities at the time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receivable upon the exercise of the Warrants) shall have received or become entitled to receive, without payment therefore,</w:t>
      </w:r>
    </w:p>
    <w:p>
      <w:pPr>
        <w:spacing w:after="0" w:line="121" w:lineRule="exact"/>
        <w:rPr>
          <w:sz w:val="20"/>
          <w:szCs w:val="20"/>
          <w:color w:val="auto"/>
        </w:rPr>
      </w:pPr>
    </w:p>
    <w:p>
      <w:pPr>
        <w:jc w:val="both"/>
        <w:ind w:firstLine="1529"/>
        <w:spacing w:after="0" w:line="272" w:lineRule="auto"/>
        <w:rPr>
          <w:sz w:val="20"/>
          <w:szCs w:val="20"/>
          <w:color w:val="auto"/>
        </w:rPr>
      </w:pPr>
      <w:r>
        <w:rPr>
          <w:rFonts w:ascii="Times New Roman" w:cs="Times New Roman" w:eastAsia="Times New Roman" w:hAnsi="Times New Roman"/>
          <w:sz w:val="14"/>
          <w:szCs w:val="14"/>
          <w:b w:val="1"/>
          <w:bCs w:val="1"/>
          <w:color w:val="auto"/>
        </w:rPr>
        <w:t>(i)            </w:t>
      </w:r>
      <w:r>
        <w:rPr>
          <w:rFonts w:ascii="Times New Roman" w:cs="Times New Roman" w:eastAsia="Times New Roman" w:hAnsi="Times New Roman"/>
          <w:sz w:val="14"/>
          <w:szCs w:val="14"/>
          <w:color w:val="auto"/>
        </w:rPr>
        <w:t>[title of Preferred Stock purchasable through exercise of Warrants] or any shares of stock or other securities which are at any time directly or indirectly convertible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into or exchangeable for [title of Preferred Stock purchasable through exercise of Warrants], or any rights or options to subscribe for, purchase or otherwise acquire any of the foregoing by way of dividend or other distribution;</w:t>
      </w:r>
    </w:p>
    <w:p>
      <w:pPr>
        <w:spacing w:after="0" w:line="132" w:lineRule="exact"/>
        <w:rPr>
          <w:sz w:val="20"/>
          <w:szCs w:val="20"/>
          <w:color w:val="auto"/>
        </w:rPr>
      </w:pPr>
    </w:p>
    <w:p>
      <w:pPr>
        <w:jc w:val="both"/>
        <w:ind w:firstLine="152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(ii)           </w:t>
      </w:r>
      <w:r>
        <w:rPr>
          <w:rFonts w:ascii="Times New Roman" w:cs="Times New Roman" w:eastAsia="Times New Roman" w:hAnsi="Times New Roman"/>
          <w:sz w:val="14"/>
          <w:szCs w:val="14"/>
          <w:color w:val="auto"/>
        </w:rPr>
        <w:t>any cash paid or payable otherwise than in accordance with the terms of [title of Preferred Stock purchasable through exercise of Warrants] or as a cash dividend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paid or payable out of the Company’s current or retained earnings;</w:t>
      </w:r>
    </w:p>
    <w:p>
      <w:pPr>
        <w:spacing w:after="0" w:line="1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(iii)         </w:t>
      </w:r>
      <w:r>
        <w:rPr>
          <w:rFonts w:ascii="Times New Roman" w:cs="Times New Roman" w:eastAsia="Times New Roman" w:hAnsi="Times New Roman"/>
          <w:sz w:val="14"/>
          <w:szCs w:val="14"/>
          <w:color w:val="auto"/>
        </w:rPr>
        <w:t>any evidence of the Company’s indebtedness or rights to subscribe for or purchase the Company’s indebtedness; or</w:t>
      </w:r>
    </w:p>
    <w:p>
      <w:pPr>
        <w:spacing w:after="0" w:line="179" w:lineRule="exact"/>
        <w:rPr>
          <w:sz w:val="20"/>
          <w:szCs w:val="20"/>
          <w:color w:val="auto"/>
        </w:rPr>
      </w:pPr>
    </w:p>
    <w:p>
      <w:pPr>
        <w:jc w:val="both"/>
        <w:ind w:firstLine="1529"/>
        <w:spacing w:after="0" w:line="259" w:lineRule="auto"/>
        <w:rPr>
          <w:sz w:val="20"/>
          <w:szCs w:val="20"/>
          <w:color w:val="auto"/>
        </w:rPr>
      </w:pPr>
      <w:r>
        <w:rPr>
          <w:rFonts w:ascii="Times New Roman" w:cs="Times New Roman" w:eastAsia="Times New Roman" w:hAnsi="Times New Roman"/>
          <w:sz w:val="14"/>
          <w:szCs w:val="14"/>
          <w:b w:val="1"/>
          <w:bCs w:val="1"/>
          <w:color w:val="auto"/>
        </w:rPr>
        <w:t>(iv)          </w:t>
      </w:r>
      <w:r>
        <w:rPr>
          <w:rFonts w:ascii="Times New Roman" w:cs="Times New Roman" w:eastAsia="Times New Roman" w:hAnsi="Times New Roman"/>
          <w:sz w:val="14"/>
          <w:szCs w:val="14"/>
          <w:color w:val="auto"/>
        </w:rPr>
        <w:t>[title of Preferred Stock purchasable through exercise of Warrants] or additional stock or other securities or property (including cash) by way of spinoff, split-up,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spacing w:after="0" w:line="143" w:lineRule="exact"/>
        <w:rPr>
          <w:sz w:val="20"/>
          <w:szCs w:val="20"/>
          <w:color w:val="auto"/>
        </w:rPr>
      </w:pPr>
    </w:p>
    <w:p>
      <w:pPr>
        <w:jc w:val="both"/>
        <w:ind w:firstLine="1019"/>
        <w:spacing w:after="0" w:line="255"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In case of (i) any reclassification, capital reorganization, or change in the [title of Preferred Stock purchasable through exercise of Warrants] of the Company (other than as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4"/>
          <w:szCs w:val="14"/>
          <w:b w:val="1"/>
          <w:bCs w:val="1"/>
          <w:i w:val="1"/>
          <w:iCs w:val="1"/>
          <w:color w:val="auto"/>
        </w:rPr>
        <w:t>Reorganization Event</w:t>
      </w:r>
      <w:r>
        <w:rPr>
          <w:rFonts w:ascii="Times New Roman" w:cs="Times New Roman" w:eastAsia="Times New Roman" w:hAnsi="Times New Roman"/>
          <w:sz w:val="14"/>
          <w:szCs w:val="14"/>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7" w:name="page158"/>
    <w:bookmarkEnd w:id="157"/>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The Company may, at its option, at any time until the Expiration Date, reduce the then current Warrant Price to any amount deemed appropriate by the Board of Directors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for any period not exceeding twenty consecutive days (as evidenced in a resolution adopted by such Board of Directors), but only upon giving the notices required by Section 3.5 at least ten days prior to taking such action.</w:t>
      </w:r>
    </w:p>
    <w:p>
      <w:pPr>
        <w:spacing w:after="0" w:line="132"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(e)            </w:t>
      </w:r>
      <w:r>
        <w:rPr>
          <w:rFonts w:ascii="Times New Roman" w:cs="Times New Roman" w:eastAsia="Times New Roman" w:hAnsi="Times New Roman"/>
          <w:sz w:val="14"/>
          <w:szCs w:val="14"/>
          <w:color w:val="auto"/>
        </w:rPr>
        <w:t>Except as herein otherwise expressly provided, no adjustment in the Warrant Price shall be made by reason of the issuance of any securities of the Company or for any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reason whatsoever.</w:t>
      </w:r>
    </w:p>
    <w:p>
      <w:pPr>
        <w:spacing w:after="0" w:line="121" w:lineRule="exact"/>
        <w:rPr>
          <w:sz w:val="20"/>
          <w:szCs w:val="20"/>
          <w:color w:val="auto"/>
        </w:rPr>
      </w:pPr>
    </w:p>
    <w:p>
      <w:pPr>
        <w:jc w:val="both"/>
        <w:ind w:firstLine="1019"/>
        <w:spacing w:after="0" w:line="257" w:lineRule="auto"/>
        <w:rPr>
          <w:sz w:val="20"/>
          <w:szCs w:val="20"/>
          <w:color w:val="auto"/>
        </w:rPr>
      </w:pPr>
      <w:r>
        <w:rPr>
          <w:rFonts w:ascii="Times New Roman" w:cs="Times New Roman" w:eastAsia="Times New Roman" w:hAnsi="Times New Roman"/>
          <w:sz w:val="14"/>
          <w:szCs w:val="14"/>
          <w:b w:val="1"/>
          <w:bCs w:val="1"/>
          <w:color w:val="auto"/>
        </w:rPr>
        <w:t>(f)            </w:t>
      </w:r>
      <w:r>
        <w:rPr>
          <w:rFonts w:ascii="Times New Roman" w:cs="Times New Roman" w:eastAsia="Times New Roman" w:hAnsi="Times New Roman"/>
          <w:sz w:val="14"/>
          <w:szCs w:val="14"/>
          <w:color w:val="auto"/>
        </w:rPr>
        <w:t>No fractional Warrant Securities shall be issued upon the exercise of Warrants. If more than one Warrant shall be exercised at one time by the same holder, the number of full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4"/>
          <w:szCs w:val="14"/>
          <w:b w:val="1"/>
          <w:bCs w:val="1"/>
          <w:i w:val="1"/>
          <w:iCs w:val="1"/>
          <w:color w:val="auto"/>
        </w:rPr>
        <w:t>OTC Bulletin Board</w:t>
      </w:r>
      <w:r>
        <w:rPr>
          <w:rFonts w:ascii="Times New Roman" w:cs="Times New Roman" w:eastAsia="Times New Roman" w:hAnsi="Times New Roman"/>
          <w:sz w:val="14"/>
          <w:szCs w:val="14"/>
          <w:color w:val="auto"/>
        </w:rPr>
        <w:t>”) operated by the Financial Industry Regulatory Authority, Inc. (“</w:t>
      </w:r>
      <w:r>
        <w:rPr>
          <w:rFonts w:ascii="Times New Roman" w:cs="Times New Roman" w:eastAsia="Times New Roman" w:hAnsi="Times New Roman"/>
          <w:sz w:val="14"/>
          <w:szCs w:val="14"/>
          <w:b w:val="1"/>
          <w:bCs w:val="1"/>
          <w:i w:val="1"/>
          <w:iCs w:val="1"/>
          <w:color w:val="auto"/>
        </w:rPr>
        <w:t>FINRA</w:t>
      </w:r>
      <w:r>
        <w:rPr>
          <w:rFonts w:ascii="Times New Roman" w:cs="Times New Roman" w:eastAsia="Times New Roman" w:hAnsi="Times New Roman"/>
          <w:sz w:val="14"/>
          <w:szCs w:val="14"/>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45" w:lineRule="exact"/>
        <w:rPr>
          <w:sz w:val="20"/>
          <w:szCs w:val="20"/>
          <w:color w:val="auto"/>
        </w:rPr>
      </w:pPr>
    </w:p>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(g)            </w:t>
      </w:r>
      <w:r>
        <w:rPr>
          <w:rFonts w:ascii="Times New Roman" w:cs="Times New Roman" w:eastAsia="Times New Roman" w:hAnsi="Times New Roman"/>
          <w:sz w:val="14"/>
          <w:szCs w:val="14"/>
          <w:color w:val="auto"/>
        </w:rPr>
        <w:t>Whenever the Warrant Price then in effect is adjusted as herein provided, the Company shall mail to each holder of the Warrants at such holder’s address as it shall appear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books of the Company a statement setting forth the adjusted Warrant Price then and thereafter effective under the provisions hereof, together with the facts, in reasonable detail, upon which such adjustment is based.</w:t>
      </w:r>
    </w:p>
    <w:p>
      <w:pPr>
        <w:spacing w:after="0" w:line="132"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(h)            </w:t>
      </w:r>
      <w:r>
        <w:rPr>
          <w:rFonts w:ascii="Times New Roman" w:cs="Times New Roman" w:eastAsia="Times New Roman" w:hAnsi="Times New Roman"/>
          <w:sz w:val="14"/>
          <w:szCs w:val="14"/>
          <w:color w:val="auto"/>
        </w:rPr>
        <w:t>Notwithstanding anything to the contrary herein, in no event shall the Warrant Price, as adjusted in accordance with the terms hereof, be less than the par value per share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[title of Preferred Stock purchasable through exercise of Warrants].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8" w:name="page159"/>
    <w:bookmarkEnd w:id="158"/>
    <w:p>
      <w:pPr>
        <w:jc w:val="both"/>
        <w:ind w:firstLine="510"/>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3.5            Notice to Warrantholders. </w:t>
      </w:r>
      <w:r>
        <w:rPr>
          <w:rFonts w:ascii="Times New Roman" w:cs="Times New Roman" w:eastAsia="Times New Roman" w:hAnsi="Times New Roman"/>
          <w:sz w:val="14"/>
          <w:szCs w:val="14"/>
          <w:color w:val="auto"/>
        </w:rPr>
        <w:t>In case the Company shall (a) effect any dividend or distribution described in Section 3.4(b), (b) effect any Reorganization Event, (c) make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3.6            </w:t>
      </w:r>
      <w:r>
        <w:rPr>
          <w:rFonts w:ascii="Times New Roman" w:cs="Times New Roman" w:eastAsia="Times New Roman" w:hAnsi="Times New Roman"/>
          <w:sz w:val="14"/>
          <w:szCs w:val="14"/>
          <w:color w:val="auto"/>
        </w:rPr>
        <w:t>[If the Warrants are Subject to Acceleration by the Company, Insert — Acceleration of Warrants by the Company.</w:t>
      </w:r>
    </w:p>
    <w:p>
      <w:pPr>
        <w:spacing w:after="0" w:line="179"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At any time on or after [●], the Company shall have the right to accelerate any or all Warrants at any time by causing them to expire at the close of business on the day next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preceding a specified date (the “</w:t>
      </w:r>
      <w:r>
        <w:rPr>
          <w:rFonts w:ascii="Times New Roman" w:cs="Times New Roman" w:eastAsia="Times New Roman" w:hAnsi="Times New Roman"/>
          <w:sz w:val="14"/>
          <w:szCs w:val="14"/>
          <w:b w:val="1"/>
          <w:bCs w:val="1"/>
          <w:i w:val="1"/>
          <w:iCs w:val="1"/>
          <w:color w:val="auto"/>
        </w:rPr>
        <w:t>Acceleration Date</w:t>
      </w:r>
      <w:r>
        <w:rPr>
          <w:rFonts w:ascii="Times New Roman" w:cs="Times New Roman" w:eastAsia="Times New Roman" w:hAnsi="Times New Roman"/>
          <w:sz w:val="14"/>
          <w:szCs w:val="14"/>
          <w:color w:val="auto"/>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39" w:lineRule="exact"/>
        <w:rPr>
          <w:sz w:val="20"/>
          <w:szCs w:val="20"/>
          <w:color w:val="auto"/>
        </w:rPr>
      </w:pPr>
    </w:p>
    <w:p>
      <w:pPr>
        <w:jc w:val="both"/>
        <w:ind w:firstLine="1019"/>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(b)            (b)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Market Price</w:t>
      </w:r>
      <w:r>
        <w:rPr>
          <w:rFonts w:ascii="Times New Roman" w:cs="Times New Roman" w:eastAsia="Times New Roman" w:hAnsi="Times New Roman"/>
          <w:sz w:val="14"/>
          <w:szCs w:val="14"/>
          <w:color w:val="auto"/>
        </w:rPr>
        <w:t>” for each Trading Day shall be, if the [title of Preferred Stock purchasable through exercise of Warrants] is listed or admitted to trading on any registered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43"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Notice of an acceleration specifying the Acceleration Date shall be sent by mail first class, postage prepaid, to each registered holder of a Warrant Certificate representing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9" w:name="page160"/>
    <w:bookmarkEnd w:id="159"/>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Any Warrant accelerated may be exercised until [●] p.m., [City] time, on the business day next preceding the Acceleration Date. The Warrant Price shall be payable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provided in Section 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AND TRANSFER OF WARRANT CERTIFICATES</w:t>
      </w:r>
    </w:p>
    <w:p>
      <w:pPr>
        <w:spacing w:after="0" w:line="179"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4"/>
          <w:szCs w:val="14"/>
          <w:b w:val="1"/>
          <w:bCs w:val="1"/>
          <w:color w:val="auto"/>
        </w:rPr>
        <w:t>4.1            </w:t>
      </w:r>
      <w:r>
        <w:rPr>
          <w:rFonts w:ascii="Times New Roman" w:cs="Times New Roman" w:eastAsia="Times New Roman" w:hAnsi="Times New Roman"/>
          <w:sz w:val="14"/>
          <w:szCs w:val="14"/>
          <w:color w:val="auto"/>
        </w:rPr>
        <w:t>Exchange and Transfer of Warrant Certificates. Upon surrender at the corporate trust office of the Warrant Agent, Warrant Certificates evidencing Warrants may be exchanged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48"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4.2            Treatment of Holders of Warrant Certificates. </w:t>
      </w:r>
      <w:r>
        <w:rPr>
          <w:rFonts w:ascii="Times New Roman" w:cs="Times New Roman" w:eastAsia="Times New Roman" w:hAnsi="Times New Roman"/>
          <w:sz w:val="14"/>
          <w:szCs w:val="14"/>
          <w:color w:val="auto"/>
        </w:rPr>
        <w:t>The Company, the Warrant Agent and all other persons may treat the registered holder of a Warrant Certificate as the absolute owner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thereof for any purpose and as the person entitled to exercise the rights represented by the Warrants evidenced thereby, any notice to the contrary notwithstanding.</w:t>
      </w:r>
    </w:p>
    <w:p>
      <w:pPr>
        <w:spacing w:after="0" w:line="121"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4.3            Cancellation of Warrant Certificates. </w:t>
      </w:r>
      <w:r>
        <w:rPr>
          <w:rFonts w:ascii="Times New Roman" w:cs="Times New Roman" w:eastAsia="Times New Roman" w:hAnsi="Times New Roman"/>
          <w:sz w:val="14"/>
          <w:szCs w:val="14"/>
          <w:color w:val="auto"/>
        </w:rPr>
        <w:t>Any Warrant Certificate surrendered for exchange, registration of transfer or exercise of the Warrants evidenced thereby shall, if surrendered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WARRANT AGENT</w:t>
      </w:r>
    </w:p>
    <w:p>
      <w:pPr>
        <w:spacing w:after="0" w:line="179"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5.1            Warrant Agent. </w:t>
      </w:r>
      <w:r>
        <w:rPr>
          <w:rFonts w:ascii="Times New Roman" w:cs="Times New Roman" w:eastAsia="Times New Roman" w:hAnsi="Times New Roman"/>
          <w:sz w:val="14"/>
          <w:szCs w:val="14"/>
          <w:color w:val="auto"/>
        </w:rPr>
        <w:t>The Company hereby appoints [●] as Warrant Agent of the Company in respect of the Warrants and the Warrant Certificates upon the terms and subject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39"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5.2            Conditions of Warrant Agent’s Obligations. </w:t>
      </w:r>
      <w:r>
        <w:rPr>
          <w:rFonts w:ascii="Times New Roman" w:cs="Times New Roman" w:eastAsia="Times New Roman" w:hAnsi="Times New Roman"/>
          <w:sz w:val="14"/>
          <w:szCs w:val="14"/>
          <w:color w:val="auto"/>
        </w:rPr>
        <w:t>The Warrant Agent accepts its obligations herein set forth upon the terms and conditions hereof, including the following to all of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agrees and to all of which the rights hereunder of the holders from time to time of the Warrant Certificates shall be subject:</w:t>
      </w:r>
    </w:p>
    <w:p>
      <w:pPr>
        <w:spacing w:after="0" w:line="121"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(a)            Compensation and Indemnification. </w:t>
      </w:r>
      <w:r>
        <w:rPr>
          <w:rFonts w:ascii="Times New Roman" w:cs="Times New Roman" w:eastAsia="Times New Roman" w:hAnsi="Times New Roman"/>
          <w:sz w:val="14"/>
          <w:szCs w:val="14"/>
          <w:color w:val="auto"/>
        </w:rPr>
        <w:t>The Company agrees promptly to pay the Warrant Agent the compensation to be agreed upon with the Company for all services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4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(b)            Agent for the Company. </w:t>
      </w:r>
      <w:r>
        <w:rPr>
          <w:rFonts w:ascii="Times New Roman" w:cs="Times New Roman" w:eastAsia="Times New Roman" w:hAnsi="Times New Roman"/>
          <w:sz w:val="14"/>
          <w:szCs w:val="14"/>
          <w:color w:val="auto"/>
        </w:rPr>
        <w:t>In acting under this Agreement and in connection with the Warrant Certificates, the Warrant Agent is acting solely as agent of the Company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does not assume any obligations or relationship of agency or trust for or with any of the holders of Warrant Certificates or beneficial owners of Warrants.</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            Counsel. </w:t>
      </w:r>
      <w:r>
        <w:rPr>
          <w:rFonts w:ascii="Times New Roman" w:cs="Times New Roman" w:eastAsia="Times New Roman" w:hAnsi="Times New Roman"/>
          <w:sz w:val="14"/>
          <w:szCs w:val="14"/>
          <w:color w:val="auto"/>
        </w:rPr>
        <w:t>The Warrant Agent may consult with counsel satisfactory to it, which may include counsel for the Company, and the written advice of such counsel shall be full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complete authorization and protection in respect of any action taken, suffered or omitted by it hereunder in good faith and in accordance with the advice of such counsel.</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(d)            Documents. </w:t>
      </w:r>
      <w:r>
        <w:rPr>
          <w:rFonts w:ascii="Times New Roman" w:cs="Times New Roman" w:eastAsia="Times New Roman" w:hAnsi="Times New Roman"/>
          <w:sz w:val="14"/>
          <w:szCs w:val="14"/>
          <w:color w:val="auto"/>
        </w:rPr>
        <w:t>The Warrant Agent shall be protected and shall incur no liability for or in respect of any action taken or omitted by it in reliance upon any Warrant Certificate,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notice, direction, consent, certificate, affidavit, statement or other paper or document reasonably believed by it to be genuine and to have been presented or signed by the proper parties.</w:t>
      </w:r>
    </w:p>
    <w:p>
      <w:pPr>
        <w:spacing w:after="0" w:line="121"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(e)            Certain Transactions. </w:t>
      </w:r>
      <w:r>
        <w:rPr>
          <w:rFonts w:ascii="Times New Roman" w:cs="Times New Roman" w:eastAsia="Times New Roman" w:hAnsi="Times New Roman"/>
          <w:sz w:val="14"/>
          <w:szCs w:val="14"/>
          <w:color w:val="auto"/>
        </w:rPr>
        <w:t>The Warrant Agent, and its officers, directors and employees, may become the owner of, or acquire any interest in, Warrants, with the same rights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61" w:name="page162"/>
    <w:bookmarkEnd w:id="161"/>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(f)             No Liability for Interest. </w:t>
      </w:r>
      <w:r>
        <w:rPr>
          <w:rFonts w:ascii="Times New Roman" w:cs="Times New Roman" w:eastAsia="Times New Roman" w:hAnsi="Times New Roman"/>
          <w:sz w:val="14"/>
          <w:szCs w:val="14"/>
          <w:color w:val="auto"/>
        </w:rPr>
        <w:t>Unless otherwise agreed with the Company, the Warrant Agent shall have no liability for interest on any monies at any time received by it pursuant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any of the provisions of this Agreement or of the Warrant Certificates.</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(g)            No Liability for Invalidity. </w:t>
      </w:r>
      <w:r>
        <w:rPr>
          <w:rFonts w:ascii="Times New Roman" w:cs="Times New Roman" w:eastAsia="Times New Roman" w:hAnsi="Times New Roman"/>
          <w:sz w:val="14"/>
          <w:szCs w:val="14"/>
          <w:color w:val="auto"/>
        </w:rPr>
        <w:t>The Warrant Agent shall have no liability with respect to any invalidity of this Agreement or any of the Warrant Certificates (except as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Agent’s countersignature thereon).</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(h)            No Responsibility for Representations. </w:t>
      </w:r>
      <w:r>
        <w:rPr>
          <w:rFonts w:ascii="Times New Roman" w:cs="Times New Roman" w:eastAsia="Times New Roman" w:hAnsi="Times New Roman"/>
          <w:sz w:val="14"/>
          <w:szCs w:val="14"/>
          <w:color w:val="auto"/>
        </w:rPr>
        <w:t>The Warrant Agent shall not be responsible for any of the recitals or representations herein or in the Warrant Certificates (except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Warrant Agent’s countersignature thereon), all of which are made solely by the Company.</w:t>
      </w:r>
    </w:p>
    <w:p>
      <w:pPr>
        <w:spacing w:after="0" w:line="121" w:lineRule="exact"/>
        <w:rPr>
          <w:sz w:val="20"/>
          <w:szCs w:val="20"/>
          <w:color w:val="auto"/>
        </w:rPr>
      </w:pPr>
    </w:p>
    <w:p>
      <w:pPr>
        <w:jc w:val="both"/>
        <w:ind w:firstLine="1019"/>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(i)             No Implied Obligations. </w:t>
      </w:r>
      <w:r>
        <w:rPr>
          <w:rFonts w:ascii="Times New Roman" w:cs="Times New Roman" w:eastAsia="Times New Roman" w:hAnsi="Times New Roman"/>
          <w:sz w:val="14"/>
          <w:szCs w:val="14"/>
          <w:color w:val="auto"/>
        </w:rPr>
        <w:t>The Warrant Agent shall be obligated to perform only such duties as are herein and in the Warrant Certificates specifically set forth and no implied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5.3            Resignation, Removal and Appointment of Successors.</w:t>
      </w:r>
    </w:p>
    <w:p>
      <w:pPr>
        <w:spacing w:after="0" w:line="179"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Company agrees, for the benefit of the holders from time to time of the Warrant Certificates, that there shall at all times be a Warrant Agent hereunder until all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Warrants have been exercised or are no longer exercisable.</w:t>
      </w:r>
    </w:p>
    <w:p>
      <w:pPr>
        <w:spacing w:after="0" w:line="121" w:lineRule="exact"/>
        <w:rPr>
          <w:sz w:val="20"/>
          <w:szCs w:val="20"/>
          <w:color w:val="auto"/>
        </w:rPr>
      </w:pPr>
    </w:p>
    <w:p>
      <w:pPr>
        <w:jc w:val="both"/>
        <w:ind w:firstLine="1019"/>
        <w:spacing w:after="0" w:line="260"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Warrant Agent may at any time resign as agent by giving written notice to the Company of such intention on its part, specifying the date on which its desired resignation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43" w:lineRule="exact"/>
        <w:rPr>
          <w:sz w:val="20"/>
          <w:szCs w:val="20"/>
          <w:color w:val="auto"/>
        </w:rPr>
      </w:pPr>
    </w:p>
    <w:p>
      <w:pPr>
        <w:jc w:val="both"/>
        <w:ind w:firstLine="1019"/>
        <w:spacing w:after="0" w:line="257"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In case at any time the Warrant Agent shall resign, or shall be removed, or shall become incapable of acting, or shall be adjudged a bankrupt or insolvent, or shall commence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62" w:name="page163"/>
    <w:bookmarkEnd w:id="162"/>
    <w:p>
      <w:pPr>
        <w:jc w:val="both"/>
        <w:ind w:firstLine="1019"/>
        <w:spacing w:after="0" w:line="262"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Any successor Warrant Agent appointed hereunder shall execute, acknowledge and deliver to its predecessor and to the Company an instrument accepting such appointment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41"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(e)            </w:t>
      </w:r>
      <w:r>
        <w:rPr>
          <w:rFonts w:ascii="Times New Roman" w:cs="Times New Roman" w:eastAsia="Times New Roman" w:hAnsi="Times New Roman"/>
          <w:sz w:val="14"/>
          <w:szCs w:val="14"/>
          <w:color w:val="auto"/>
        </w:rPr>
        <w:t>Any corporation into which the Warrant Agent hereunder may be merged or converted or any corporation with which the Warrant Agent may be consolidated,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79"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6.1            Amendment. </w:t>
      </w:r>
      <w:r>
        <w:rPr>
          <w:rFonts w:ascii="Times New Roman" w:cs="Times New Roman" w:eastAsia="Times New Roman" w:hAnsi="Times New Roman"/>
          <w:sz w:val="14"/>
          <w:szCs w:val="14"/>
          <w:color w:val="auto"/>
        </w:rPr>
        <w:t>This Agreement may be amended by the parties hereto, without the consent of the holder of any Warrant Certificate, for the purpose of curing any ambiguity, or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32"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6.2            Notices and Demands to the Company and Warrant Agent. </w:t>
      </w:r>
      <w:r>
        <w:rPr>
          <w:rFonts w:ascii="Times New Roman" w:cs="Times New Roman" w:eastAsia="Times New Roman" w:hAnsi="Times New Roman"/>
          <w:sz w:val="14"/>
          <w:szCs w:val="14"/>
          <w:color w:val="auto"/>
        </w:rPr>
        <w:t>If the Warrant Agent shall receive any notice or demand addressed to the Company by the holder of a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 pursuant to the provisions of the Warrant Certificates, the Warrant Agent shall promptly forward such notice or demand to the Company.</w:t>
      </w:r>
    </w:p>
    <w:p>
      <w:pPr>
        <w:spacing w:after="0" w:line="121"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6.3            Addresses. </w:t>
      </w:r>
      <w:r>
        <w:rPr>
          <w:rFonts w:ascii="Times New Roman" w:cs="Times New Roman" w:eastAsia="Times New Roman" w:hAnsi="Times New Roman"/>
          <w:sz w:val="14"/>
          <w:szCs w:val="14"/>
          <w:color w:val="auto"/>
        </w:rPr>
        <w:t>Any communication from the Company to the Warrant Agent with respect to this Agreement shall be addressed to [●], Attention: [●] and any communication from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Agent to the Company with respect to this Agreement shall be addressed to WeRide, Inc., 21st Floor, Tower A, Guanzhou Life Science Innovation Center No. 51, Luoxuan Road, Guangzhou International Biotech Island Guangzhou 510005 People’s Republic of China, Attention: [●] (or such other address as shall be specified in writing by the Warrant Agent or by the Company).</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63" w:name="page164"/>
    <w:bookmarkEnd w:id="163"/>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6.4            Governing Law. </w:t>
      </w:r>
      <w:r>
        <w:rPr>
          <w:rFonts w:ascii="Times New Roman" w:cs="Times New Roman" w:eastAsia="Times New Roman" w:hAnsi="Times New Roman"/>
          <w:sz w:val="14"/>
          <w:szCs w:val="14"/>
          <w:color w:val="auto"/>
        </w:rPr>
        <w:t>This Agreement and each Warrant Certificate issued hereunder shall be governed by and construed in accordance with the laws of the State of New York.</w:t>
      </w:r>
    </w:p>
    <w:p>
      <w:pPr>
        <w:spacing w:after="0" w:line="179"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6.5            Delivery of Prospectus. </w:t>
      </w:r>
      <w:r>
        <w:rPr>
          <w:rFonts w:ascii="Times New Roman" w:cs="Times New Roman" w:eastAsia="Times New Roman" w:hAnsi="Times New Roman"/>
          <w:sz w:val="14"/>
          <w:szCs w:val="14"/>
          <w:color w:val="auto"/>
        </w:rPr>
        <w:t>The Company shall furnish to the Warrant Agent sufficient copies of a prospectus meeting the requirements of the Securities Act of 1933, as amended,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relating to the Warrant Securities deliverable upon exercise of the Warrants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39"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6.6            Obtaining of Governmental Approvals. </w:t>
      </w:r>
      <w:r>
        <w:rPr>
          <w:rFonts w:ascii="Times New Roman" w:cs="Times New Roman" w:eastAsia="Times New Roman" w:hAnsi="Times New Roman"/>
          <w:sz w:val="14"/>
          <w:szCs w:val="14"/>
          <w:color w:val="auto"/>
        </w:rPr>
        <w:t>The Company will from time to time take all action which may be necessary to obtain and keep effective any and all permits, consents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39"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6.7            Persons Having Rights Under the Agreement. </w:t>
      </w:r>
      <w:r>
        <w:rPr>
          <w:rFonts w:ascii="Times New Roman" w:cs="Times New Roman" w:eastAsia="Times New Roman" w:hAnsi="Times New Roman"/>
          <w:sz w:val="14"/>
          <w:szCs w:val="14"/>
          <w:color w:val="auto"/>
        </w:rPr>
        <w:t>Nothing in this Agreement shall give to any person other than the Company, the Warrant Agent and the holders of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Certificates any right, remedy or claim under or by reason of this Agreement.</w:t>
      </w:r>
    </w:p>
    <w:p>
      <w:pPr>
        <w:spacing w:after="0" w:line="121"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6.8            Headings. </w:t>
      </w:r>
      <w:r>
        <w:rPr>
          <w:rFonts w:ascii="Times New Roman" w:cs="Times New Roman" w:eastAsia="Times New Roman" w:hAnsi="Times New Roman"/>
          <w:sz w:val="14"/>
          <w:szCs w:val="14"/>
          <w:color w:val="auto"/>
        </w:rPr>
        <w:t>The descriptive headings of the several Articles and Sections of this Agreement are inserted for convenience only and shall not control or affect the meaning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construction of any of the provisions hereof.</w:t>
      </w:r>
    </w:p>
    <w:p>
      <w:pPr>
        <w:spacing w:after="0" w:line="121"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6.9            Counterparts. </w:t>
      </w:r>
      <w:r>
        <w:rPr>
          <w:rFonts w:ascii="Times New Roman" w:cs="Times New Roman" w:eastAsia="Times New Roman" w:hAnsi="Times New Roman"/>
          <w:sz w:val="14"/>
          <w:szCs w:val="14"/>
          <w:color w:val="auto"/>
        </w:rPr>
        <w:t>This Agreement may be executed in any number of counterparts, each of which as so executed shall be deemed to be an original, but such counterparts shall together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constitute but one and the same instrument.</w:t>
      </w:r>
    </w:p>
    <w:p>
      <w:pPr>
        <w:spacing w:after="0" w:line="121"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6.10          Inspection of Agreement. </w:t>
      </w:r>
      <w:r>
        <w:rPr>
          <w:rFonts w:ascii="Times New Roman" w:cs="Times New Roman" w:eastAsia="Times New Roman" w:hAnsi="Times New Roman"/>
          <w:sz w:val="14"/>
          <w:szCs w:val="14"/>
          <w:color w:val="auto"/>
        </w:rPr>
        <w:t>A copy of this Agreement shall be available at all reasonable times at the principal corporate trust office of the Warrant Agent for inspection by the holder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any Warrant Certificate. The Warrant Agent may require such holder to submit such holder’s Warrant Certificate for inspection by it.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parties hereto have caused this Agreement to be duly executed as of the day and year first above written.</w:t>
      </w:r>
    </w:p>
    <w:p>
      <w:pPr>
        <w:spacing w:after="0" w:line="20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WeRide, Inc.</w:t>
      </w:r>
      <w:r>
        <w:rPr>
          <w:rFonts w:ascii="Times New Roman" w:cs="Times New Roman" w:eastAsia="Times New Roman" w:hAnsi="Times New Roman"/>
          <w:sz w:val="14"/>
          <w:szCs w:val="14"/>
          <w:color w:val="auto"/>
        </w:rPr>
        <w:t>, as Company</w:t>
      </w:r>
    </w:p>
    <w:p>
      <w:pPr>
        <w:spacing w:after="0" w:line="18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-101600</wp:posOffset>
            </wp:positionV>
            <wp:extent cx="286575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2865755" cy="698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12700</wp:posOffset>
            </wp:positionV>
            <wp:extent cx="286575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2865755" cy="6985"/>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-101600</wp:posOffset>
            </wp:positionV>
            <wp:extent cx="286575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2865755" cy="6985"/>
                    </a:xfrm>
                    <a:prstGeom prst="rect">
                      <a:avLst/>
                    </a:prstGeom>
                    <a:noFill/>
                  </pic:spPr>
                </pic:pic>
              </a:graphicData>
            </a:graphic>
          </wp:anchor>
        </w:drawing>
      </w:r>
    </w:p>
    <w:p>
      <w:pPr>
        <w:spacing w:after="0" w:line="16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9"/>
          <w:szCs w:val="9"/>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130810</wp:posOffset>
            </wp:positionV>
            <wp:extent cx="286575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2865755" cy="6985"/>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16510</wp:posOffset>
            </wp:positionV>
            <wp:extent cx="2865755"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2865755" cy="6985"/>
                    </a:xfrm>
                    <a:prstGeom prst="rect">
                      <a:avLst/>
                    </a:prstGeom>
                    <a:noFill/>
                  </pic:spPr>
                </pic:pic>
              </a:graphicData>
            </a:graphic>
          </wp:anchor>
        </w:drawing>
      </w:r>
    </w:p>
    <w:p>
      <w:pPr>
        <w:spacing w:after="0" w:line="3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9"/>
          <w:szCs w:val="9"/>
          <w:b w:val="1"/>
          <w:bCs w:val="1"/>
          <w:color w:val="auto"/>
        </w:rPr>
        <w:t>ountersigned</w:t>
      </w:r>
    </w:p>
    <w:p>
      <w:pPr>
        <w:spacing w:after="0" w:line="17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8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-101600</wp:posOffset>
            </wp:positionV>
            <wp:extent cx="2865755"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2865755" cy="698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12700</wp:posOffset>
            </wp:positionV>
            <wp:extent cx="2865755"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2865755" cy="6985"/>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-101600</wp:posOffset>
            </wp:positionV>
            <wp:extent cx="2865755"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2865755" cy="6985"/>
                    </a:xfrm>
                    <a:prstGeom prst="rect">
                      <a:avLst/>
                    </a:prstGeom>
                    <a:noFill/>
                  </pic:spPr>
                </pic:pic>
              </a:graphicData>
            </a:graphic>
          </wp:anchor>
        </w:drawing>
      </w:r>
    </w:p>
    <w:p>
      <w:pPr>
        <w:spacing w:after="0" w:line="16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9"/>
          <w:szCs w:val="9"/>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130810</wp:posOffset>
            </wp:positionV>
            <wp:extent cx="2865755"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2865755" cy="6985"/>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16510</wp:posOffset>
            </wp:positionV>
            <wp:extent cx="286575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2865755" cy="6985"/>
                    </a:xfrm>
                    <a:prstGeom prst="rect">
                      <a:avLst/>
                    </a:prstGeom>
                    <a:noFill/>
                  </pic:spPr>
                </pic:pic>
              </a:graphicData>
            </a:graphic>
          </wp:anchor>
        </w:drawing>
      </w:r>
    </w:p>
    <w:p>
      <w:pPr>
        <w:spacing w:after="0" w:line="3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9"/>
          <w:szCs w:val="9"/>
          <w:color w:val="auto"/>
        </w:rPr>
        <w:t>ignature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9"/>
          <w:szCs w:val="9"/>
          <w:color w:val="auto"/>
        </w:rPr>
        <w:t>age to</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9"/>
          <w:szCs w:val="9"/>
          <w:color w:val="auto"/>
        </w:rPr>
        <w:t>e</w:t>
      </w:r>
      <w:r>
        <w:rPr>
          <w:rFonts w:ascii="Times New Roman" w:cs="Times New Roman" w:eastAsia="Times New Roman" w:hAnsi="Times New Roman"/>
          <w:sz w:val="14"/>
          <w:szCs w:val="14"/>
          <w:color w:val="auto"/>
        </w:rPr>
        <w:t>R</w:t>
      </w:r>
      <w:r>
        <w:rPr>
          <w:rFonts w:ascii="Times New Roman" w:cs="Times New Roman" w:eastAsia="Times New Roman" w:hAnsi="Times New Roman"/>
          <w:sz w:val="9"/>
          <w:szCs w:val="9"/>
          <w:color w:val="auto"/>
        </w:rPr>
        <w:t>ide</w:t>
      </w:r>
      <w:r>
        <w:rPr>
          <w:rFonts w:ascii="Times New Roman" w:cs="Times New Roman" w:eastAsia="Times New Roman" w:hAnsi="Times New Roman"/>
          <w:sz w:val="14"/>
          <w:szCs w:val="14"/>
          <w:color w:val="auto"/>
        </w:rPr>
        <w:t>, I</w:t>
      </w:r>
      <w:r>
        <w:rPr>
          <w:rFonts w:ascii="Times New Roman" w:cs="Times New Roman" w:eastAsia="Times New Roman" w:hAnsi="Times New Roman"/>
          <w:sz w:val="9"/>
          <w:szCs w:val="9"/>
          <w:color w:val="auto"/>
        </w:rPr>
        <w:t>nc</w:t>
      </w:r>
      <w:r>
        <w:rPr>
          <w:rFonts w:ascii="Times New Roman" w:cs="Times New Roman" w:eastAsia="Times New Roman" w:hAnsi="Times New Roman"/>
          <w:sz w:val="14"/>
          <w:szCs w:val="14"/>
          <w:color w:val="auto"/>
        </w:rPr>
        <w:t>. P</w:t>
      </w:r>
      <w:r>
        <w:rPr>
          <w:rFonts w:ascii="Times New Roman" w:cs="Times New Roman" w:eastAsia="Times New Roman" w:hAnsi="Times New Roman"/>
          <w:sz w:val="9"/>
          <w:szCs w:val="9"/>
          <w:color w:val="auto"/>
        </w:rPr>
        <w:t>referred</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9"/>
          <w:szCs w:val="9"/>
          <w:color w:val="auto"/>
        </w:rPr>
        <w:t>tock</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9"/>
          <w:szCs w:val="9"/>
          <w:color w:val="auto"/>
        </w:rPr>
        <w:t>arrant</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9"/>
          <w:szCs w:val="9"/>
          <w:color w:val="auto"/>
        </w:rPr>
        <w:t>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230505</wp:posOffset>
            </wp:positionV>
            <wp:extent cx="716153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9639"/>
          </w:cols>
          <w:pgMar w:left="820" w:top="739" w:right="1440" w:bottom="1440" w:gutter="0" w:footer="0" w:header="0"/>
        </w:sectPr>
      </w:pPr>
    </w:p>
    <w:bookmarkStart w:id="165" w:name="page166"/>
    <w:bookmarkEnd w:id="165"/>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9"/>
          <w:szCs w:val="9"/>
          <w:b w:val="1"/>
          <w:bCs w:val="1"/>
          <w:color w:val="auto"/>
        </w:rPr>
        <w:t>xhibit</w:t>
      </w:r>
      <w:r>
        <w:rPr>
          <w:rFonts w:ascii="Times New Roman" w:cs="Times New Roman" w:eastAsia="Times New Roman" w:hAnsi="Times New Roman"/>
          <w:sz w:val="14"/>
          <w:szCs w:val="14"/>
          <w:b w:val="1"/>
          <w:bCs w:val="1"/>
          <w:color w:val="auto"/>
        </w:rPr>
        <w:t xml:space="preserve"> A</w:t>
      </w:r>
    </w:p>
    <w:p>
      <w:pPr>
        <w:spacing w:after="0" w:line="17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FORM OF WARRANT CERTIFICATE</w:t>
      </w:r>
    </w:p>
    <w:p>
      <w:pPr>
        <w:spacing w:after="0" w:line="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[FACE OF WARRANT CERTIFICATE]</w:t>
      </w:r>
    </w:p>
    <w:p>
      <w:pPr>
        <w:spacing w:after="0" w:line="16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Form of Legend if Warrants are not immediately exercisable.</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[Prior to [●], Warrants evidenced by this Warrant Certificate cannot be exercised.]</w:t>
      </w:r>
    </w:p>
    <w:p>
      <w:pPr>
        <w:spacing w:after="0" w:line="18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4"/>
          <w:szCs w:val="14"/>
          <w:color w:val="auto"/>
        </w:rPr>
        <w:t>EXERCISABLE ONLY IF COUNTERSIGNED BY THE WARRANT AGENT AS PROVIDED HEREIN</w:t>
      </w:r>
    </w:p>
    <w:p>
      <w:pPr>
        <w:spacing w:after="0" w:line="17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color w:val="auto"/>
        </w:rPr>
        <w:t>VOID AFTER [●] P.M., [City] time,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16153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300"/>
          </w:cols>
          <w:pgMar w:left="300" w:top="739" w:right="129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4"/>
          <w:szCs w:val="14"/>
          <w:b w:val="1"/>
          <w:bCs w:val="1"/>
          <w:color w:val="auto"/>
        </w:rPr>
        <w:t>WERIDE, INC., WARRANT CERTIFICATE REPRESENTING</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WARRANT SECURITIES]</w:t>
      </w:r>
    </w:p>
    <w:p>
      <w:pPr>
        <w:spacing w:after="0" w:line="165" w:lineRule="exact"/>
        <w:rPr>
          <w:sz w:val="20"/>
          <w:szCs w:val="20"/>
          <w:color w:val="auto"/>
        </w:rPr>
      </w:pPr>
    </w:p>
    <w:p>
      <w:pPr>
        <w:spacing w:after="0"/>
        <w:tabs>
          <w:tab w:leader="none" w:pos="10540" w:val="left"/>
        </w:tabs>
        <w:rPr>
          <w:sz w:val="20"/>
          <w:szCs w:val="20"/>
          <w:color w:val="auto"/>
        </w:rPr>
      </w:pPr>
      <w:r>
        <w:rPr>
          <w:rFonts w:ascii="Times New Roman" w:cs="Times New Roman" w:eastAsia="Times New Roman" w:hAnsi="Times New Roman"/>
          <w:sz w:val="14"/>
          <w:szCs w:val="14"/>
          <w:color w:val="auto"/>
        </w:rPr>
        <w:t>No. [●]</w:t>
      </w:r>
      <w:r>
        <w:rPr>
          <w:sz w:val="20"/>
          <w:szCs w:val="20"/>
          <w:color w:val="auto"/>
        </w:rPr>
        <w:tab/>
      </w:r>
      <w:r>
        <w:rPr>
          <w:rFonts w:ascii="Times New Roman" w:cs="Times New Roman" w:eastAsia="Times New Roman" w:hAnsi="Times New Roman"/>
          <w:sz w:val="13"/>
          <w:szCs w:val="13"/>
          <w:color w:val="auto"/>
        </w:rPr>
        <w:t>[●] Warrants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$0.00001 per share (the “</w:t>
      </w:r>
      <w:r>
        <w:rPr>
          <w:rFonts w:ascii="Times New Roman" w:cs="Times New Roman" w:eastAsia="Times New Roman" w:hAnsi="Times New Roman"/>
          <w:sz w:val="14"/>
          <w:szCs w:val="14"/>
          <w:b w:val="1"/>
          <w:bCs w:val="1"/>
          <w:i w:val="1"/>
          <w:iCs w:val="1"/>
          <w:color w:val="auto"/>
        </w:rPr>
        <w:t>Warrant Securities</w:t>
      </w:r>
      <w:r>
        <w:rPr>
          <w:rFonts w:ascii="Times New Roman" w:cs="Times New Roman" w:eastAsia="Times New Roman" w:hAnsi="Times New Roman"/>
          <w:sz w:val="14"/>
          <w:szCs w:val="14"/>
          <w:color w:val="auto"/>
        </w:rPr>
        <w:t>”), of WeRide,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on the following basis: during the period from [●], through and including [●], the exercise price per Warrant Security will be $[●], subject to adjustment as provided in the Warrant Agreement (as hereinafter defined) (the “</w:t>
      </w:r>
      <w:r>
        <w:rPr>
          <w:rFonts w:ascii="Times New Roman" w:cs="Times New Roman" w:eastAsia="Times New Roman" w:hAnsi="Times New Roman"/>
          <w:sz w:val="14"/>
          <w:szCs w:val="14"/>
          <w:b w:val="1"/>
          <w:bCs w:val="1"/>
          <w:i w:val="1"/>
          <w:iCs w:val="1"/>
          <w:color w:val="auto"/>
        </w:rPr>
        <w:t>Warrant Price</w:t>
      </w:r>
      <w:r>
        <w:rPr>
          <w:rFonts w:ascii="Times New Roman" w:cs="Times New Roman" w:eastAsia="Times New Roman" w:hAnsi="Times New Roman"/>
          <w:sz w:val="14"/>
          <w:szCs w:val="14"/>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which is, on the date hereof, at the address specified on the reverse hereof, and upon compliance with and subject to the conditions set forth herein and in the Warrant Agreement (as hereinafter defined).</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This Warrant Certificate is issued under and in accordance with the Warrant Agreement dated as of [●] (the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16153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67" w:name="page168"/>
    <w:bookmarkEnd w:id="167"/>
    <w:p>
      <w:pPr>
        <w:spacing w:after="0" w:line="287" w:lineRule="auto"/>
        <w:rPr>
          <w:sz w:val="20"/>
          <w:szCs w:val="20"/>
          <w:color w:val="auto"/>
        </w:rPr>
      </w:pPr>
      <w:r>
        <w:rPr>
          <w:rFonts w:ascii="Times New Roman" w:cs="Times New Roman" w:eastAsia="Times New Roman" w:hAnsi="Times New Roman"/>
          <w:sz w:val="14"/>
          <w:szCs w:val="14"/>
          <w:color w:val="auto"/>
        </w:rPr>
        <w:t>Reference is hereby made to the further provisions of this Warrant Certificate set forth on the reverse hereof, which further provisions shall for all purposes have the same effect as if set forth at this place.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Warrant Certificate shall not be valid or obligatory for any purpose until countersigned by the Warrant Agent.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4"/>
          <w:szCs w:val="14"/>
          <w:color w:val="auto"/>
        </w:rPr>
        <w:t>, the Company has caused this Warrant to be executed in its name and on its behalf by the facsimile signatures of its duly authorized officers.</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Dated:</w:t>
        <w:tab/>
        <w:t>________________</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WeRide, Inc.</w:t>
      </w:r>
      <w:r>
        <w:rPr>
          <w:rFonts w:ascii="Times New Roman" w:cs="Times New Roman" w:eastAsia="Times New Roman" w:hAnsi="Times New Roman"/>
          <w:sz w:val="14"/>
          <w:szCs w:val="14"/>
          <w:color w:val="auto"/>
        </w:rPr>
        <w:t>, as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-101600</wp:posOffset>
            </wp:positionV>
            <wp:extent cx="285940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285940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12700</wp:posOffset>
            </wp:positionV>
            <wp:extent cx="2859405"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2859405" cy="698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-101600</wp:posOffset>
            </wp:positionV>
            <wp:extent cx="285940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2859405"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130810</wp:posOffset>
            </wp:positionV>
            <wp:extent cx="2859405"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2859405" cy="698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16510</wp:posOffset>
            </wp:positionV>
            <wp:extent cx="285940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2859405" cy="698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COUNTERSIGNED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-101600</wp:posOffset>
            </wp:positionV>
            <wp:extent cx="2859405"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285940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12700</wp:posOffset>
            </wp:positionV>
            <wp:extent cx="2859405"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2859405" cy="698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-101600</wp:posOffset>
            </wp:positionV>
            <wp:extent cx="285940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2859405"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130810</wp:posOffset>
            </wp:positionV>
            <wp:extent cx="2859405"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2859405" cy="698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16510</wp:posOffset>
            </wp:positionV>
            <wp:extent cx="285940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285940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716153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4"/>
          <w:szCs w:val="14"/>
          <w:b w:val="1"/>
          <w:bCs w:val="1"/>
          <w:color w:val="auto"/>
        </w:rPr>
        <w:t>[REVERSE OF WARRANT CERTIFICATE]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(Instructions for Exercise of Warrant)</w:t>
      </w:r>
    </w:p>
    <w:p>
      <w:pPr>
        <w:spacing w:after="0" w:line="18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4"/>
          <w:szCs w:val="14"/>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(To be executed upon exercise of Warrants)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undersigned hereby irrevocably elects to exercise ______ Warrants, evidenced by this Warrant Certificate, to purchase _______ shares of the [TITLE OF WARRANT SECURITIES],</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par value $0.00001 per share (the “</w:t>
      </w:r>
      <w:r>
        <w:rPr>
          <w:rFonts w:ascii="Times New Roman" w:cs="Times New Roman" w:eastAsia="Times New Roman" w:hAnsi="Times New Roman"/>
          <w:sz w:val="14"/>
          <w:szCs w:val="14"/>
          <w:b w:val="1"/>
          <w:bCs w:val="1"/>
          <w:i w:val="1"/>
          <w:iCs w:val="1"/>
          <w:color w:val="auto"/>
        </w:rPr>
        <w:t>Warrant Securities</w:t>
      </w:r>
      <w:r>
        <w:rPr>
          <w:rFonts w:ascii="Times New Roman" w:cs="Times New Roman" w:eastAsia="Times New Roman" w:hAnsi="Times New Roman"/>
          <w:sz w:val="14"/>
          <w:szCs w:val="14"/>
          <w:color w:val="auto"/>
        </w:rPr>
        <w:t>”), of WeRide,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WeRide,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46" w:lineRule="exact"/>
        <w:rPr>
          <w:sz w:val="20"/>
          <w:szCs w:val="20"/>
          <w:color w:val="auto"/>
        </w:rPr>
      </w:pPr>
    </w:p>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35" w:lineRule="exact"/>
        <w:rPr>
          <w:sz w:val="20"/>
          <w:szCs w:val="20"/>
          <w:color w:val="auto"/>
        </w:rPr>
      </w:pPr>
    </w:p>
    <w:p>
      <w:pPr>
        <w:spacing w:after="0"/>
        <w:tabs>
          <w:tab w:leader="none" w:pos="482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Name:</w:t>
      </w:r>
    </w:p>
    <w:p>
      <w:pPr>
        <w:spacing w:after="0" w:line="2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-101600</wp:posOffset>
            </wp:positionV>
            <wp:extent cx="659511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6595110" cy="698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(Insert Social Security or Other Identifying Number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358076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3580765" cy="698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Guaranteed:</w:t>
      </w:r>
    </w:p>
    <w:p>
      <w:pPr>
        <w:spacing w:after="0" w:line="2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1432560</wp:posOffset>
            </wp:positionH>
            <wp:positionV relativeFrom="paragraph">
              <wp:posOffset>-101600</wp:posOffset>
            </wp:positionV>
            <wp:extent cx="214439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2144395" cy="698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this Warrant Certificate and must bear a signature guarantee by a FINRA member firm).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Warrant may be exercised at the following addresses: By hand at: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mail at:</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[Instructions as to form and delivery of Warrant Securities and, if applicable, Warrant Certificates evidencing Warrants for the number of Warrant Securities remaining unexercised—complete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161530"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8180" w:type="dxa"/>
            <w:vAlign w:val="bottom"/>
            <w:gridSpan w:val="3"/>
          </w:tcPr>
          <w:p>
            <w:pPr>
              <w:jc w:val="center"/>
              <w:ind w:right="3029"/>
              <w:spacing w:after="0"/>
              <w:rPr>
                <w:sz w:val="20"/>
                <w:szCs w:val="20"/>
                <w:color w:val="auto"/>
              </w:rPr>
            </w:pPr>
            <w:r>
              <w:rPr>
                <w:rFonts w:ascii="Times New Roman" w:cs="Times New Roman" w:eastAsia="Times New Roman" w:hAnsi="Times New Roman"/>
                <w:sz w:val="14"/>
                <w:szCs w:val="14"/>
                <w:b w:val="1"/>
                <w:bCs w:val="1"/>
                <w:color w:val="auto"/>
              </w:rPr>
              <w:t>ASSIGNMENT</w:t>
            </w:r>
          </w:p>
        </w:tc>
        <w:tc>
          <w:tcPr>
            <w:tcW w:w="0" w:type="dxa"/>
            <w:vAlign w:val="bottom"/>
          </w:tcPr>
          <w:p>
            <w:pPr>
              <w:spacing w:after="0"/>
              <w:rPr>
                <w:sz w:val="1"/>
                <w:szCs w:val="1"/>
                <w:color w:val="auto"/>
              </w:rPr>
            </w:pPr>
          </w:p>
        </w:tc>
      </w:tr>
      <w:tr>
        <w:trPr>
          <w:trHeight w:val="340"/>
        </w:trPr>
        <w:tc>
          <w:tcPr>
            <w:tcW w:w="3100" w:type="dxa"/>
            <w:vAlign w:val="bottom"/>
          </w:tcPr>
          <w:p>
            <w:pPr>
              <w:spacing w:after="0"/>
              <w:rPr>
                <w:sz w:val="24"/>
                <w:szCs w:val="24"/>
                <w:color w:val="auto"/>
              </w:rPr>
            </w:pPr>
          </w:p>
        </w:tc>
        <w:tc>
          <w:tcPr>
            <w:tcW w:w="8180" w:type="dxa"/>
            <w:vAlign w:val="bottom"/>
            <w:gridSpan w:val="3"/>
          </w:tcPr>
          <w:p>
            <w:pPr>
              <w:jc w:val="center"/>
              <w:ind w:right="3029"/>
              <w:spacing w:after="0"/>
              <w:rPr>
                <w:sz w:val="20"/>
                <w:szCs w:val="20"/>
                <w:color w:val="auto"/>
              </w:rPr>
            </w:pPr>
            <w:r>
              <w:rPr>
                <w:rFonts w:ascii="Times New Roman" w:cs="Times New Roman" w:eastAsia="Times New Roman" w:hAnsi="Times New Roman"/>
                <w:sz w:val="14"/>
                <w:szCs w:val="14"/>
                <w:color w:val="auto"/>
              </w:rPr>
              <w:t>[Form of assignment to be executed if Warrant Holder desires to transfer Warrant]</w:t>
            </w:r>
          </w:p>
        </w:tc>
        <w:tc>
          <w:tcPr>
            <w:tcW w:w="0" w:type="dxa"/>
            <w:vAlign w:val="bottom"/>
          </w:tcPr>
          <w:p>
            <w:pPr>
              <w:spacing w:after="0"/>
              <w:rPr>
                <w:sz w:val="1"/>
                <w:szCs w:val="1"/>
                <w:color w:val="auto"/>
              </w:rPr>
            </w:pPr>
          </w:p>
        </w:tc>
      </w:tr>
      <w:tr>
        <w:trPr>
          <w:trHeight w:val="340"/>
        </w:trPr>
        <w:tc>
          <w:tcPr>
            <w:tcW w:w="1128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9"/>
                <w:szCs w:val="9"/>
                <w:b w:val="1"/>
                <w:bCs w:val="1"/>
                <w:color w:val="auto"/>
              </w:rPr>
              <w:t>or</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9"/>
                <w:szCs w:val="9"/>
                <w:b w:val="1"/>
                <w:bCs w:val="1"/>
                <w:color w:val="auto"/>
              </w:rPr>
              <w:t>alue</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9"/>
                <w:szCs w:val="9"/>
                <w:b w:val="1"/>
                <w:bCs w:val="1"/>
                <w:color w:val="auto"/>
              </w:rPr>
              <w:t>eceived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______________ hereby sells, assigns and transfers unto:</w:t>
            </w:r>
          </w:p>
        </w:tc>
        <w:tc>
          <w:tcPr>
            <w:tcW w:w="0" w:type="dxa"/>
            <w:vAlign w:val="bottom"/>
          </w:tcPr>
          <w:p>
            <w:pPr>
              <w:spacing w:after="0"/>
              <w:rPr>
                <w:sz w:val="1"/>
                <w:szCs w:val="1"/>
                <w:color w:val="auto"/>
              </w:rPr>
            </w:pPr>
          </w:p>
        </w:tc>
      </w:tr>
      <w:tr>
        <w:trPr>
          <w:trHeight w:val="340"/>
        </w:trPr>
        <w:tc>
          <w:tcPr>
            <w:tcW w:w="3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(Please print name and address including zip code)</w:t>
            </w:r>
          </w:p>
        </w:tc>
        <w:tc>
          <w:tcPr>
            <w:tcW w:w="24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Please print Social Security or other identifying number</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right represented by the within Warrant to purchase __________ shares of [Title of Warrant Securities] of WeRide, Inc. to which the within Warrant relates and appoints 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attorney to transfer such right on the books of the Warrant Agent with full power of substitution in the premises.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3380" w:type="dxa"/>
            <w:vAlign w:val="bottom"/>
          </w:tcPr>
          <w:p>
            <w:pPr>
              <w:spacing w:after="0"/>
              <w:rPr>
                <w:sz w:val="16"/>
                <w:szCs w:val="16"/>
                <w:color w:val="auto"/>
              </w:rPr>
            </w:pPr>
          </w:p>
        </w:tc>
        <w:tc>
          <w:tcPr>
            <w:tcW w:w="70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Name:</w:t>
            </w:r>
          </w:p>
        </w:tc>
      </w:tr>
      <w:tr>
        <w:trPr>
          <w:trHeight w:val="175"/>
        </w:trPr>
        <w:tc>
          <w:tcPr>
            <w:tcW w:w="900" w:type="dxa"/>
            <w:vAlign w:val="bottom"/>
          </w:tcPr>
          <w:p>
            <w:pPr>
              <w:spacing w:after="0"/>
              <w:rPr>
                <w:sz w:val="15"/>
                <w:szCs w:val="15"/>
                <w:color w:val="auto"/>
              </w:rPr>
            </w:pPr>
          </w:p>
        </w:tc>
        <w:tc>
          <w:tcPr>
            <w:tcW w:w="3380" w:type="dxa"/>
            <w:vAlign w:val="bottom"/>
            <w:tcBorders>
              <w:top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5780" w:type="dxa"/>
            <w:vAlign w:val="bottom"/>
            <w:tcBorders>
              <w:top w:val="single" w:sz="8" w:color="auto"/>
            </w:tcBorders>
          </w:tcPr>
          <w:p>
            <w:pPr>
              <w:ind w:left="2620"/>
              <w:spacing w:after="0"/>
              <w:rPr>
                <w:sz w:val="20"/>
                <w:szCs w:val="20"/>
                <w:color w:val="auto"/>
              </w:rPr>
            </w:pPr>
            <w:r>
              <w:rPr>
                <w:rFonts w:ascii="Times New Roman" w:cs="Times New Roman" w:eastAsia="Times New Roman" w:hAnsi="Times New Roman"/>
                <w:sz w:val="14"/>
                <w:szCs w:val="14"/>
                <w:color w:val="auto"/>
              </w:rPr>
              <w:t>Signature</w:t>
            </w:r>
          </w:p>
        </w:tc>
      </w:tr>
    </w:tbl>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the Warrant)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358076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35807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453390</wp:posOffset>
            </wp:positionV>
            <wp:extent cx="716153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4"/>
          <w:szCs w:val="14"/>
          <w:b w:val="1"/>
          <w:bCs w:val="1"/>
          <w:color w:val="auto"/>
        </w:rPr>
        <w:t>Exhibit 4.7</w:t>
      </w:r>
    </w:p>
    <w:p>
      <w:pPr>
        <w:spacing w:after="0" w:line="17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e</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9"/>
          <w:szCs w:val="9"/>
          <w:b w:val="1"/>
          <w:bCs w:val="1"/>
          <w:color w:val="auto"/>
        </w:rPr>
        <w:t>ide</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w:t>
      </w:r>
    </w:p>
    <w:p>
      <w:pPr>
        <w:spacing w:after="0" w:line="22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0"/>
          <w:szCs w:val="10"/>
          <w:b w:val="1"/>
          <w:bCs w:val="1"/>
          <w:color w:val="auto"/>
        </w:rPr>
        <w:t>and</w:t>
      </w:r>
    </w:p>
    <w:p>
      <w:pPr>
        <w:spacing w:after="0" w:line="17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 A</w:t>
      </w:r>
      <w:r>
        <w:rPr>
          <w:rFonts w:ascii="Times New Roman" w:cs="Times New Roman" w:eastAsia="Times New Roman" w:hAnsi="Times New Roman"/>
          <w:sz w:val="9"/>
          <w:szCs w:val="9"/>
          <w:b w:val="1"/>
          <w:bCs w:val="1"/>
          <w:color w:val="auto"/>
        </w:rPr>
        <w:t>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gent</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9"/>
          <w:szCs w:val="9"/>
          <w:b w:val="1"/>
          <w:bCs w:val="1"/>
          <w:color w:val="auto"/>
        </w:rPr>
        <w:t>orm of</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9"/>
          <w:szCs w:val="9"/>
          <w:b w:val="1"/>
          <w:bCs w:val="1"/>
          <w:color w:val="auto"/>
        </w:rPr>
        <w:t>ebt</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9"/>
          <w:szCs w:val="9"/>
          <w:b w:val="1"/>
          <w:bCs w:val="1"/>
          <w:color w:val="auto"/>
        </w:rPr>
        <w:t>ecurities</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greement</w:t>
      </w:r>
    </w:p>
    <w:p>
      <w:pPr>
        <w:spacing w:after="0" w:line="16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9"/>
          <w:szCs w:val="9"/>
          <w:b w:val="1"/>
          <w:bCs w:val="1"/>
          <w:color w:val="auto"/>
        </w:rPr>
        <w:t>ated</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s</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f</w:t>
      </w:r>
      <w:r>
        <w:rPr>
          <w:rFonts w:ascii="Times New Roman" w:cs="Times New Roman" w:eastAsia="Times New Roman" w:hAnsi="Times New Roman"/>
          <w:sz w:val="14"/>
          <w:szCs w:val="14"/>
          <w:b w:val="1"/>
          <w:bCs w:val="1"/>
          <w:color w:val="auto"/>
        </w:rPr>
        <w:t xml:space="preserve">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231775</wp:posOffset>
            </wp:positionV>
            <wp:extent cx="7161530"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40"/>
          </w:cols>
          <w:pgMar w:left="1440" w:top="314" w:right="31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e</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9"/>
          <w:szCs w:val="9"/>
          <w:b w:val="1"/>
          <w:bCs w:val="1"/>
          <w:color w:val="auto"/>
        </w:rPr>
        <w:t>ide</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 F</w:t>
      </w:r>
      <w:r>
        <w:rPr>
          <w:rFonts w:ascii="Times New Roman" w:cs="Times New Roman" w:eastAsia="Times New Roman" w:hAnsi="Times New Roman"/>
          <w:sz w:val="9"/>
          <w:szCs w:val="9"/>
          <w:b w:val="1"/>
          <w:bCs w:val="1"/>
          <w:color w:val="auto"/>
        </w:rPr>
        <w:t>orm of</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9"/>
          <w:szCs w:val="9"/>
          <w:b w:val="1"/>
          <w:bCs w:val="1"/>
          <w:color w:val="auto"/>
        </w:rPr>
        <w:t>ebt</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9"/>
          <w:szCs w:val="9"/>
          <w:b w:val="1"/>
          <w:bCs w:val="1"/>
          <w:color w:val="auto"/>
        </w:rPr>
        <w:t>ecurities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greement</w:t>
      </w:r>
    </w:p>
    <w:p>
      <w:pPr>
        <w:spacing w:after="0" w:line="179"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his</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9"/>
          <w:szCs w:val="9"/>
          <w:b w:val="1"/>
          <w:bCs w:val="1"/>
          <w:color w:val="auto"/>
        </w:rPr>
        <w:t>ebt</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9"/>
          <w:szCs w:val="9"/>
          <w:b w:val="1"/>
          <w:bCs w:val="1"/>
          <w:color w:val="auto"/>
        </w:rPr>
        <w:t>ecurities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arrant</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dated as of [●], between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e</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9"/>
          <w:szCs w:val="9"/>
          <w:b w:val="1"/>
          <w:bCs w:val="1"/>
          <w:color w:val="auto"/>
        </w:rPr>
        <w:t>ide</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an exempted company with limited liability incorporated under the laws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Cayman Islands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w:t>
      </w:r>
    </w:p>
    <w:p>
      <w:pPr>
        <w:spacing w:after="0" w:line="301"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has entered into an indenture dated as of [●]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with [●], as trustee (such trustee, and any successors to such trustee, herein called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providing for the issuance from time to time of its debt securities, to be issued in one or more series as provided in the Indenture (the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proposes to sell [</w:t>
      </w:r>
      <w:r>
        <w:rPr>
          <w:rFonts w:ascii="Times New Roman" w:cs="Times New Roman" w:eastAsia="Times New Roman" w:hAnsi="Times New Roman"/>
          <w:sz w:val="14"/>
          <w:szCs w:val="14"/>
          <w:b w:val="1"/>
          <w:bCs w:val="1"/>
          <w:i w:val="1"/>
          <w:iCs w:val="1"/>
          <w:color w:val="auto"/>
        </w:rPr>
        <w:t>If Warrants are sold with other securities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[title of such other securities being offered] (the “</w:t>
      </w:r>
      <w:r>
        <w:rPr>
          <w:rFonts w:ascii="Times New Roman" w:cs="Times New Roman" w:eastAsia="Times New Roman" w:hAnsi="Times New Roman"/>
          <w:sz w:val="14"/>
          <w:szCs w:val="14"/>
          <w:b w:val="1"/>
          <w:bCs w:val="1"/>
          <w:i w:val="1"/>
          <w:iCs w:val="1"/>
          <w:color w:val="auto"/>
        </w:rPr>
        <w:t>Other Securities</w:t>
      </w:r>
      <w:r>
        <w:rPr>
          <w:rFonts w:ascii="Times New Roman" w:cs="Times New Roman" w:eastAsia="Times New Roman" w:hAnsi="Times New Roman"/>
          <w:sz w:val="14"/>
          <w:szCs w:val="14"/>
          <w:color w:val="auto"/>
        </w:rPr>
        <w:t>”) with] warrant certificates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evidencing one or more warrants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or, individually, a “</w:t>
      </w:r>
      <w:r>
        <w:rPr>
          <w:rFonts w:ascii="Times New Roman" w:cs="Times New Roman" w:eastAsia="Times New Roman" w:hAnsi="Times New Roman"/>
          <w:sz w:val="14"/>
          <w:szCs w:val="14"/>
          <w:b w:val="1"/>
          <w:bCs w:val="1"/>
          <w:i w:val="1"/>
          <w:iCs w:val="1"/>
          <w:color w:val="auto"/>
        </w:rPr>
        <w:t>Warrant</w:t>
      </w:r>
      <w:r>
        <w:rPr>
          <w:rFonts w:ascii="Times New Roman" w:cs="Times New Roman" w:eastAsia="Times New Roman" w:hAnsi="Times New Roman"/>
          <w:sz w:val="14"/>
          <w:szCs w:val="14"/>
          <w:color w:val="auto"/>
        </w:rPr>
        <w:t>”) representing the right to purchase [title of Debt Securities purchasable through exercise of Warrants] (the “</w:t>
      </w:r>
      <w:r>
        <w:rPr>
          <w:rFonts w:ascii="Times New Roman" w:cs="Times New Roman" w:eastAsia="Times New Roman" w:hAnsi="Times New Roman"/>
          <w:sz w:val="14"/>
          <w:szCs w:val="14"/>
          <w:b w:val="1"/>
          <w:bCs w:val="1"/>
          <w:i w:val="1"/>
          <w:iCs w:val="1"/>
          <w:color w:val="auto"/>
        </w:rPr>
        <w:t>Warrant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such warrant certificates and other warrant certificates issued pursuant to this Agreement being herein called the “</w:t>
      </w:r>
      <w:r>
        <w:rPr>
          <w:rFonts w:ascii="Times New Roman" w:cs="Times New Roman" w:eastAsia="Times New Roman" w:hAnsi="Times New Roman"/>
          <w:sz w:val="14"/>
          <w:szCs w:val="14"/>
          <w:b w:val="1"/>
          <w:bCs w:val="1"/>
          <w:i w:val="1"/>
          <w:iCs w:val="1"/>
          <w:color w:val="auto"/>
        </w:rPr>
        <w:t>Warrant Certificates</w:t>
      </w:r>
      <w:r>
        <w:rPr>
          <w:rFonts w:ascii="Times New Roman" w:cs="Times New Roman" w:eastAsia="Times New Roman" w:hAnsi="Times New Roman"/>
          <w:sz w:val="14"/>
          <w:szCs w:val="14"/>
          <w:color w:val="auto"/>
        </w:rPr>
        <w:t>”; and</w:t>
      </w:r>
    </w:p>
    <w:p>
      <w:pPr>
        <w:spacing w:after="0" w:line="132"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hereas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desires the Warrant Agent to act on behalf of the Company, and the Warrant Agent is willing so to act, in connection with the issuance, registration, transfer,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9"/>
          <w:szCs w:val="9"/>
          <w:b w:val="1"/>
          <w:bCs w:val="1"/>
          <w:color w:val="auto"/>
        </w:rPr>
        <w:t>ow</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9"/>
          <w:szCs w:val="9"/>
          <w:b w:val="1"/>
          <w:bCs w:val="1"/>
          <w:color w:val="auto"/>
        </w:rPr>
        <w:t>herefore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consideration of the premises and of the mutual agreements herein contained, the parties hereto agree as follows: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ISSUANCE OF WARRANTS AND EXECUTION AND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DELIVERY OF WARRANT CERTIFICATES</w:t>
      </w:r>
    </w:p>
    <w:p>
      <w:pPr>
        <w:spacing w:after="0" w:line="163"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1.1           Issuance of Warrants.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If Warrants alone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Upon issuance, each Warrant Certificate shall evidence one or more Warrants.] [</w:t>
      </w:r>
      <w:r>
        <w:rPr>
          <w:rFonts w:ascii="Times New Roman" w:cs="Times New Roman" w:eastAsia="Times New Roman" w:hAnsi="Times New Roman"/>
          <w:sz w:val="14"/>
          <w:szCs w:val="14"/>
          <w:b w:val="1"/>
          <w:bCs w:val="1"/>
          <w:i w:val="1"/>
          <w:iCs w:val="1"/>
          <w:color w:val="auto"/>
        </w:rPr>
        <w:t>If Other Securities and Warrants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Debt Security. [</w:t>
      </w:r>
      <w:r>
        <w:rPr>
          <w:rFonts w:ascii="Times New Roman" w:cs="Times New Roman" w:eastAsia="Times New Roman" w:hAnsi="Times New Roman"/>
          <w:sz w:val="14"/>
          <w:szCs w:val="14"/>
          <w:b w:val="1"/>
          <w:bCs w:val="1"/>
          <w:i w:val="1"/>
          <w:iCs w:val="1"/>
          <w:color w:val="auto"/>
        </w:rPr>
        <w:t>If Other Securities and Warrants</w:t>
      </w:r>
      <w:r>
        <w:rPr>
          <w:rFonts w:ascii="Times New Roman" w:cs="Times New Roman" w:eastAsia="Times New Roman" w:hAnsi="Times New Roman"/>
          <w:sz w:val="14"/>
          <w:szCs w:val="14"/>
          <w:color w:val="auto"/>
        </w:rPr>
        <w:t xml:space="preserve"> — Warrant Certificates will be issued with the Other Securities and each Warrant Certificate will evidence [●] Warrants for each [$[●] principal amount] [[●] shares] of Other Securities issued.]</w:t>
      </w:r>
    </w:p>
    <w:p>
      <w:pPr>
        <w:spacing w:after="0" w:line="13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            Execution and Delivery of Warrant Certificates. </w:t>
      </w:r>
      <w:r>
        <w:rPr>
          <w:rFonts w:ascii="Times New Roman" w:cs="Times New Roman" w:eastAsia="Times New Roman" w:hAnsi="Times New Roman"/>
          <w:sz w:val="14"/>
          <w:szCs w:val="14"/>
          <w:color w:val="auto"/>
        </w:rPr>
        <w:t>Each Warrant Certificate, whenever issued, shall be in registered form substantially in the form set forth in</w:t>
      </w:r>
      <w:r>
        <w:rPr>
          <w:rFonts w:ascii="Times New Roman" w:cs="Times New Roman" w:eastAsia="Times New Roman" w:hAnsi="Times New Roman"/>
          <w:sz w:val="14"/>
          <w:szCs w:val="14"/>
          <w:b w:val="1"/>
          <w:bCs w:val="1"/>
          <w:color w:val="auto"/>
        </w:rPr>
        <w:t xml:space="preserve"> Exhibit A </w:t>
      </w:r>
      <w:r>
        <w:rPr>
          <w:rFonts w:ascii="Times New Roman" w:cs="Times New Roman" w:eastAsia="Times New Roman" w:hAnsi="Times New Roman"/>
          <w:sz w:val="14"/>
          <w:szCs w:val="14"/>
          <w:color w:val="auto"/>
        </w:rPr>
        <w:t>hereto,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72" w:name="page173"/>
    <w:bookmarkEnd w:id="172"/>
    <w:p>
      <w:pPr>
        <w:jc w:val="both"/>
        <w:ind w:firstLine="510"/>
        <w:spacing w:after="0" w:line="270" w:lineRule="auto"/>
        <w:rPr>
          <w:sz w:val="20"/>
          <w:szCs w:val="20"/>
          <w:color w:val="auto"/>
        </w:rPr>
      </w:pPr>
      <w:r>
        <w:rPr>
          <w:rFonts w:ascii="Times New Roman" w:cs="Times New Roman" w:eastAsia="Times New Roman" w:hAnsi="Times New Roman"/>
          <w:sz w:val="14"/>
          <w:szCs w:val="14"/>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36"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4"/>
          <w:szCs w:val="14"/>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39"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holder of a Warrant Certificate</w:t>
      </w:r>
      <w:r>
        <w:rPr>
          <w:rFonts w:ascii="Times New Roman" w:cs="Times New Roman" w:eastAsia="Times New Roman" w:hAnsi="Times New Roman"/>
          <w:sz w:val="14"/>
          <w:szCs w:val="14"/>
          <w:color w:val="auto"/>
        </w:rPr>
        <w:t>” as used herein shall mean any person in whose name at the time any Warrant Certificate shall be registered upon the books to be maintained by the Warrant Agent for that purpose.</w:t>
      </w:r>
    </w:p>
    <w:p>
      <w:pPr>
        <w:spacing w:after="0" w:line="121"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1.3            Issuance of Warrant Certificates. </w:t>
      </w:r>
      <w:r>
        <w:rPr>
          <w:rFonts w:ascii="Times New Roman" w:cs="Times New Roman" w:eastAsia="Times New Roman" w:hAnsi="Times New Roman"/>
          <w:sz w:val="14"/>
          <w:szCs w:val="14"/>
          <w:color w:val="auto"/>
        </w:rPr>
        <w:t>Warrant Certificates evidencing the right to purchase Warrant Debt Securities may be executed by the Company and delivered to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 PRICE, DURATION AND EXERCISE OF WARRANTS</w:t>
      </w:r>
    </w:p>
    <w:p>
      <w:pPr>
        <w:spacing w:after="0" w:line="179"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2.1            Warrant Price. </w:t>
      </w:r>
      <w:r>
        <w:rPr>
          <w:rFonts w:ascii="Times New Roman" w:cs="Times New Roman" w:eastAsia="Times New Roman" w:hAnsi="Times New Roman"/>
          <w:sz w:val="14"/>
          <w:szCs w:val="14"/>
          <w:color w:val="auto"/>
        </w:rPr>
        <w:t>During the period specified in Section 2.2, each Warrant shall, subject to the terms of this Agreement and the applicable Warrant Certificate, entitle the holder 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 w:cs="Times New Roman" w:eastAsia="Times New Roman" w:hAnsi="Times New Roman"/>
          <w:sz w:val="14"/>
          <w:szCs w:val="14"/>
          <w:b w:val="1"/>
          <w:bCs w:val="1"/>
          <w:i w:val="1"/>
          <w:iCs w:val="1"/>
          <w:color w:val="auto"/>
        </w:rPr>
        <w:t>Warrant Price.</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2.2            Duration of Warrants. </w:t>
      </w:r>
      <w:r>
        <w:rPr>
          <w:rFonts w:ascii="Times New Roman" w:cs="Times New Roman" w:eastAsia="Times New Roman" w:hAnsi="Times New Roman"/>
          <w:sz w:val="14"/>
          <w:szCs w:val="14"/>
          <w:color w:val="auto"/>
        </w:rPr>
        <w:t>Each Warrant may be exercised in whole or in part at any time, as specified herein, on or after [the date thereof] [●] and at or before [●] p.m., [City] time, on</w:t>
      </w:r>
    </w:p>
    <w:p>
      <w:pPr>
        <w:spacing w:after="0" w:line="25" w:lineRule="exact"/>
        <w:rPr>
          <w:sz w:val="20"/>
          <w:szCs w:val="20"/>
          <w:color w:val="auto"/>
        </w:rPr>
      </w:pPr>
    </w:p>
    <w:p>
      <w:pPr>
        <w:jc w:val="both"/>
        <w:ind w:firstLine="5"/>
        <w:spacing w:after="0" w:line="259" w:lineRule="auto"/>
        <w:tabs>
          <w:tab w:leader="none" w:pos="23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4"/>
          <w:szCs w:val="14"/>
          <w:b w:val="1"/>
          <w:bCs w:val="1"/>
          <w:i w:val="1"/>
          <w:iCs w:val="1"/>
          <w:color w:val="auto"/>
        </w:rPr>
        <w:t>Expiration Date</w:t>
      </w:r>
      <w:r>
        <w:rPr>
          <w:rFonts w:ascii="Times New Roman" w:cs="Times New Roman" w:eastAsia="Times New Roman" w:hAnsi="Times New Roman"/>
          <w:sz w:val="14"/>
          <w:szCs w:val="14"/>
          <w:color w:val="auto"/>
        </w:rPr>
        <w:t>”). Each Warrant not exercised at or before [●] p.m., [City] time, on the Expiration Date shall become void, and all rights of the holder of the Warrant Certificate evidencing such Warrant under this Agreement shall cease.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173" w:name="page174"/>
    <w:bookmarkEnd w:id="173"/>
    <w:p>
      <w:pPr>
        <w:ind w:left="520"/>
        <w:spacing w:after="0"/>
        <w:rPr>
          <w:sz w:val="20"/>
          <w:szCs w:val="20"/>
          <w:color w:val="auto"/>
        </w:rPr>
      </w:pPr>
      <w:r>
        <w:rPr>
          <w:rFonts w:ascii="Times New Roman" w:cs="Times New Roman" w:eastAsia="Times New Roman" w:hAnsi="Times New Roman"/>
          <w:sz w:val="14"/>
          <w:szCs w:val="14"/>
          <w:b w:val="1"/>
          <w:bCs w:val="1"/>
          <w:color w:val="auto"/>
        </w:rPr>
        <w:t>2.3            Exercise of Warrants.</w:t>
      </w:r>
    </w:p>
    <w:p>
      <w:pPr>
        <w:spacing w:after="0" w:line="179" w:lineRule="exact"/>
        <w:rPr>
          <w:sz w:val="20"/>
          <w:szCs w:val="20"/>
          <w:color w:val="auto"/>
        </w:rPr>
      </w:pPr>
    </w:p>
    <w:p>
      <w:pPr>
        <w:jc w:val="both"/>
        <w:ind w:firstLine="1019"/>
        <w:spacing w:after="0" w:line="256"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During the period specified in Section 2.2, the Warrants may be exercised to purchase a whole number of Warrant Debt Securities in registered form by providing certain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45"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Warrant Agent shall, from time to time, as promptly as practicable, advise the Company of (i) the number of Warrant Debt Securities with respect to which Warrants were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spacing w:after="0" w:line="139"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As soon as practicable after the exercise of any Warrant, the Company shall issue pursuant to the Indenture, in authorized denominations, to or upon the order of the holder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spacing w:after="0" w:line="139" w:lineRule="exact"/>
        <w:rPr>
          <w:sz w:val="20"/>
          <w:szCs w:val="20"/>
          <w:color w:val="auto"/>
        </w:rPr>
      </w:pPr>
    </w:p>
    <w:p>
      <w:pPr>
        <w:jc w:val="both"/>
        <w:ind w:firstLine="1019"/>
        <w:spacing w:after="0" w:line="272"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The Company shall not be required to pay any stamp or other tax or other governmental charge required to be paid in connection with any transfer involved in the issue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74" w:name="page175"/>
    <w:bookmarkEnd w:id="174"/>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(e)            </w:t>
      </w:r>
      <w:r>
        <w:rPr>
          <w:rFonts w:ascii="Times New Roman" w:cs="Times New Roman" w:eastAsia="Times New Roman" w:hAnsi="Times New Roman"/>
          <w:sz w:val="14"/>
          <w:szCs w:val="14"/>
          <w:color w:val="auto"/>
        </w:rPr>
        <w:t>Prior to the issuance of any Warrants there shall have been reserved, and the Company shall at all times through the Expiration Date keep reserved, out of its authorized but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unissued Warrant Debt Securities, a number of shares sufficient to provide for the exercise of the Warrants.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OTHER PROVISIONS RELATING TO RIGHTS OF HOLDERS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 CERTIFICATES</w:t>
      </w:r>
    </w:p>
    <w:p>
      <w:pPr>
        <w:spacing w:after="0" w:line="163"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3.1            No Rights as Holder of Warrant Debt Securities Conferred by Warrants or Warrant Certificates. </w:t>
      </w:r>
      <w:r>
        <w:rPr>
          <w:rFonts w:ascii="Times New Roman" w:cs="Times New Roman" w:eastAsia="Times New Roman" w:hAnsi="Times New Roman"/>
          <w:sz w:val="14"/>
          <w:szCs w:val="14"/>
          <w:color w:val="auto"/>
        </w:rPr>
        <w:t>No Warrant Certificate or Warrant evidenced thereby shall entitle the holder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spacing w:after="0" w:line="132"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3.2            Lost, Stolen, Mutilated or Destroyed Warrant Certificates. </w:t>
      </w:r>
      <w:r>
        <w:rPr>
          <w:rFonts w:ascii="Times New Roman" w:cs="Times New Roman" w:eastAsia="Times New Roman" w:hAnsi="Times New Roman"/>
          <w:sz w:val="14"/>
          <w:szCs w:val="14"/>
          <w:color w:val="auto"/>
        </w:rPr>
        <w:t>Upon receipt by the Warrant Agent of evidence reasonably satisfactory to it and the Company of the ownership of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45"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3.3            Holder of Warrant Certificate May Enforce Rights. </w:t>
      </w:r>
      <w:r>
        <w:rPr>
          <w:rFonts w:ascii="Times New Roman" w:cs="Times New Roman" w:eastAsia="Times New Roman" w:hAnsi="Times New Roman"/>
          <w:sz w:val="14"/>
          <w:szCs w:val="14"/>
          <w:color w:val="auto"/>
        </w:rPr>
        <w:t>Notwithstanding any of the provisions of this Agreement, any holder of a Warrant Certificate, without the consent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75" w:name="page176"/>
    <w:bookmarkEnd w:id="175"/>
    <w:p>
      <w:pPr>
        <w:jc w:val="both"/>
        <w:ind w:firstLine="510"/>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3.4            Merger, Sale, Conveyance or Lease. </w:t>
      </w:r>
      <w:r>
        <w:rPr>
          <w:rFonts w:ascii="Times New Roman" w:cs="Times New Roman" w:eastAsia="Times New Roman" w:hAnsi="Times New Roman"/>
          <w:sz w:val="14"/>
          <w:szCs w:val="14"/>
          <w:color w:val="auto"/>
        </w:rPr>
        <w:t>In case of (a) any share exchange, merger or similar transaction of the Company with or into another person or entity (other than a share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4"/>
          <w:szCs w:val="14"/>
          <w:b w:val="1"/>
          <w:bCs w:val="1"/>
          <w:i w:val="1"/>
          <w:iCs w:val="1"/>
          <w:color w:val="auto"/>
        </w:rPr>
        <w:t>Reorganization Event</w:t>
      </w:r>
      <w:r>
        <w:rPr>
          <w:rFonts w:ascii="Times New Roman" w:cs="Times New Roman" w:eastAsia="Times New Roman" w:hAnsi="Times New Roman"/>
          <w:sz w:val="14"/>
          <w:szCs w:val="14"/>
          <w:color w:val="auto"/>
        </w:rPr>
        <w:t>”),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43"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3.5            Notice to Warrantholders. </w:t>
      </w:r>
      <w:r>
        <w:rPr>
          <w:rFonts w:ascii="Times New Roman" w:cs="Times New Roman" w:eastAsia="Times New Roman" w:hAnsi="Times New Roman"/>
          <w:sz w:val="14"/>
          <w:szCs w:val="14"/>
          <w:color w:val="auto"/>
        </w:rPr>
        <w:t>In case the Company shall (a) effect any Reorganization Event or (b) make any distribution on or in respect of the [title of Warrant Debt Securities]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AND TRANSFER OF WARRANT CERTIFICATES</w:t>
      </w:r>
    </w:p>
    <w:p>
      <w:pPr>
        <w:spacing w:after="0" w:line="179"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4"/>
          <w:szCs w:val="14"/>
          <w:b w:val="1"/>
          <w:bCs w:val="1"/>
          <w:color w:val="auto"/>
        </w:rPr>
        <w:t>4.1            </w:t>
      </w:r>
      <w:r>
        <w:rPr>
          <w:rFonts w:ascii="Times New Roman" w:cs="Times New Roman" w:eastAsia="Times New Roman" w:hAnsi="Times New Roman"/>
          <w:sz w:val="14"/>
          <w:szCs w:val="14"/>
          <w:color w:val="auto"/>
        </w:rPr>
        <w:t>Exchange and Transfer of Warrant Certificates. Upon surrender at the corporate trust office of the Warrant Agent, Warrant Certificates evidencing Warrants may be exchanged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76" w:name="page177"/>
    <w:bookmarkEnd w:id="176"/>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4.2            Treatment of Holders of Warrant Certificates. </w:t>
      </w:r>
      <w:r>
        <w:rPr>
          <w:rFonts w:ascii="Times New Roman" w:cs="Times New Roman" w:eastAsia="Times New Roman" w:hAnsi="Times New Roman"/>
          <w:sz w:val="14"/>
          <w:szCs w:val="14"/>
          <w:color w:val="auto"/>
        </w:rPr>
        <w:t>The Company, the Warrant Agent and all other persons may treat the registered holder of a Warrant Certificate as the absolute owner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thereof for any purpose and as the person entitled to exercise the rights represented by the Warrants evidenced thereby, any notice to the contrary notwithstanding.</w:t>
      </w:r>
    </w:p>
    <w:p>
      <w:pPr>
        <w:spacing w:after="0" w:line="121"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4.3            Cancellation of Warrant Certificates. </w:t>
      </w:r>
      <w:r>
        <w:rPr>
          <w:rFonts w:ascii="Times New Roman" w:cs="Times New Roman" w:eastAsia="Times New Roman" w:hAnsi="Times New Roman"/>
          <w:sz w:val="14"/>
          <w:szCs w:val="14"/>
          <w:color w:val="auto"/>
        </w:rPr>
        <w:t>Any Warrant Certificate surrendered for exchange, registration of transfer or exercise of the Warrants evidenced thereby shall, if surrendered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WARRANT AGENT</w:t>
      </w:r>
    </w:p>
    <w:p>
      <w:pPr>
        <w:spacing w:after="0" w:line="179"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5.1           Warrant Agent. </w:t>
      </w:r>
      <w:r>
        <w:rPr>
          <w:rFonts w:ascii="Times New Roman" w:cs="Times New Roman" w:eastAsia="Times New Roman" w:hAnsi="Times New Roman"/>
          <w:sz w:val="14"/>
          <w:szCs w:val="14"/>
          <w:color w:val="auto"/>
        </w:rPr>
        <w:t>The Company hereby appoints [●] as Warrant Agent of the Company in respect of the Warrants and the Warrant Certificates upon the terms and subject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39"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5.2           Conditions of Warrant Agent’s Obligations. </w:t>
      </w:r>
      <w:r>
        <w:rPr>
          <w:rFonts w:ascii="Times New Roman" w:cs="Times New Roman" w:eastAsia="Times New Roman" w:hAnsi="Times New Roman"/>
          <w:sz w:val="14"/>
          <w:szCs w:val="14"/>
          <w:color w:val="auto"/>
        </w:rPr>
        <w:t>The Warrant Agent accepts its obligations herein set forth upon the terms and conditions hereof, including the following to all of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agrees and to all of which the rights hereunder of the holders from time to time of the Warrant Certificates shall be subject:</w:t>
      </w:r>
    </w:p>
    <w:p>
      <w:pPr>
        <w:spacing w:after="0" w:line="121"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(a)            Compensation and Indemnification. </w:t>
      </w:r>
      <w:r>
        <w:rPr>
          <w:rFonts w:ascii="Times New Roman" w:cs="Times New Roman" w:eastAsia="Times New Roman" w:hAnsi="Times New Roman"/>
          <w:sz w:val="14"/>
          <w:szCs w:val="14"/>
          <w:color w:val="auto"/>
        </w:rPr>
        <w:t>The Company agrees promptly to pay the Warrant Agent the compensation to be agreed upon with the Company for all services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4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(b)            Agent for the Company. </w:t>
      </w:r>
      <w:r>
        <w:rPr>
          <w:rFonts w:ascii="Times New Roman" w:cs="Times New Roman" w:eastAsia="Times New Roman" w:hAnsi="Times New Roman"/>
          <w:sz w:val="14"/>
          <w:szCs w:val="14"/>
          <w:color w:val="auto"/>
        </w:rPr>
        <w:t>In acting under this Agreement and in connection with the Warrant Certificates, the Warrant Agent is acting solely as agent of the Company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does not assume any obligations or relationship of agency or trust for or with any of the holders of Warrant Certificates or beneficial owners of Warrants.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77" w:name="page178"/>
    <w:bookmarkEnd w:id="177"/>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           Counsel. </w:t>
      </w:r>
      <w:r>
        <w:rPr>
          <w:rFonts w:ascii="Times New Roman" w:cs="Times New Roman" w:eastAsia="Times New Roman" w:hAnsi="Times New Roman"/>
          <w:sz w:val="14"/>
          <w:szCs w:val="14"/>
          <w:color w:val="auto"/>
        </w:rPr>
        <w:t>The Warrant Agent may consult with counsel satisfactory to it, which may include counsel for the Company, and the written advice of such counsel shall be full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complete authorization and protection in respect of any action taken, suffered or omitted by it hereunder in good faith and in accordance with the advice of such counsel.</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(d)           Documents. </w:t>
      </w:r>
      <w:r>
        <w:rPr>
          <w:rFonts w:ascii="Times New Roman" w:cs="Times New Roman" w:eastAsia="Times New Roman" w:hAnsi="Times New Roman"/>
          <w:sz w:val="14"/>
          <w:szCs w:val="14"/>
          <w:color w:val="auto"/>
        </w:rPr>
        <w:t>The Warrant Agent shall be protected and shall incur no liability for or in respect of any action taken or omitted by it in reliance upon any Warrant Certificate,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notice, direction, consent, certificate, affidavit, statement or other paper or document reasonably believed by it to be genuine and to have been presented or signed by the proper parties.</w:t>
      </w:r>
    </w:p>
    <w:p>
      <w:pPr>
        <w:spacing w:after="0" w:line="121"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(e)            Certain Transactions. </w:t>
      </w:r>
      <w:r>
        <w:rPr>
          <w:rFonts w:ascii="Times New Roman" w:cs="Times New Roman" w:eastAsia="Times New Roman" w:hAnsi="Times New Roman"/>
          <w:sz w:val="14"/>
          <w:szCs w:val="14"/>
          <w:color w:val="auto"/>
        </w:rPr>
        <w:t>The Warrant Agent, and its officers, directors and employees, may become the owner of, or acquire any interest in, Warrants, with the same rights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spacing w:after="0" w:line="14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(f)            No Liability for Interest. </w:t>
      </w:r>
      <w:r>
        <w:rPr>
          <w:rFonts w:ascii="Times New Roman" w:cs="Times New Roman" w:eastAsia="Times New Roman" w:hAnsi="Times New Roman"/>
          <w:sz w:val="14"/>
          <w:szCs w:val="14"/>
          <w:color w:val="auto"/>
        </w:rPr>
        <w:t>Unless otherwise agreed with the Company, the Warrant Agent shall have no liability for interest on any monies at any time received by it pursuant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any of the provisions of this Agreement or of the Warrant Certificates.</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(g)           No Liability for Invalidity. </w:t>
      </w:r>
      <w:r>
        <w:rPr>
          <w:rFonts w:ascii="Times New Roman" w:cs="Times New Roman" w:eastAsia="Times New Roman" w:hAnsi="Times New Roman"/>
          <w:sz w:val="14"/>
          <w:szCs w:val="14"/>
          <w:color w:val="auto"/>
        </w:rPr>
        <w:t>The Warrant Agent shall have no liability with respect to any invalidity of this Agreement or any of the Warrant Certificates (except as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Agent’s countersignature thereon).</w:t>
      </w:r>
    </w:p>
    <w:p>
      <w:pPr>
        <w:spacing w:after="0" w:line="121"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(h)           No Responsibility for Representations. </w:t>
      </w:r>
      <w:r>
        <w:rPr>
          <w:rFonts w:ascii="Times New Roman" w:cs="Times New Roman" w:eastAsia="Times New Roman" w:hAnsi="Times New Roman"/>
          <w:sz w:val="14"/>
          <w:szCs w:val="14"/>
          <w:color w:val="auto"/>
        </w:rPr>
        <w:t>The Warrant Agent shall not be responsible for any of the recitals or representations herein or in the Warrant Certificates (except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Warrant Agent’s countersignature thereon), all of which are made solely by the Company.</w:t>
      </w:r>
    </w:p>
    <w:p>
      <w:pPr>
        <w:spacing w:after="0" w:line="121" w:lineRule="exact"/>
        <w:rPr>
          <w:sz w:val="20"/>
          <w:szCs w:val="20"/>
          <w:color w:val="auto"/>
        </w:rPr>
      </w:pPr>
    </w:p>
    <w:p>
      <w:pPr>
        <w:jc w:val="both"/>
        <w:ind w:firstLine="1019"/>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(i)            No Implied Obligations. </w:t>
      </w:r>
      <w:r>
        <w:rPr>
          <w:rFonts w:ascii="Times New Roman" w:cs="Times New Roman" w:eastAsia="Times New Roman" w:hAnsi="Times New Roman"/>
          <w:sz w:val="14"/>
          <w:szCs w:val="14"/>
          <w:color w:val="auto"/>
        </w:rPr>
        <w:t>The Warrant Agent shall be obligated to perform only such duties as are herein and in the Warrant Certificates specifically set forth and no implied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5.3            Resignation, Removal and Appointment of Successors.</w:t>
      </w:r>
    </w:p>
    <w:p>
      <w:pPr>
        <w:spacing w:after="0" w:line="179" w:lineRule="exact"/>
        <w:rPr>
          <w:sz w:val="20"/>
          <w:szCs w:val="20"/>
          <w:color w:val="auto"/>
        </w:rPr>
      </w:pPr>
    </w:p>
    <w:p>
      <w:pPr>
        <w:jc w:val="both"/>
        <w:ind w:firstLine="1019"/>
        <w:spacing w:after="0" w:line="290"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Company agrees, for the benefit of the holders from time to time of the Warrant Certificates, that there shall at all times be a Warrant Agent hereunder until all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Warrants have been exercised or are no longer exercisable.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78" w:name="page179"/>
    <w:bookmarkEnd w:id="178"/>
    <w:p>
      <w:pPr>
        <w:jc w:val="both"/>
        <w:ind w:firstLine="1019"/>
        <w:spacing w:after="0" w:line="260"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Warrant Agent may at any time resign as agent by giving written notice to the Company of such intention on its part, specifying the date on which its desired resignation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43" w:lineRule="exact"/>
        <w:rPr>
          <w:sz w:val="20"/>
          <w:szCs w:val="20"/>
          <w:color w:val="auto"/>
        </w:rPr>
      </w:pPr>
    </w:p>
    <w:p>
      <w:pPr>
        <w:jc w:val="both"/>
        <w:ind w:firstLine="1019"/>
        <w:spacing w:after="0" w:line="257"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In case at any time the Warrant Agent shall resign, or shall be removed, or shall become incapable of acting, or shall be adjudged a bankrupt or insolvent, or shall commence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45"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Any successor Warrant Agent appointed hereunder shall execute, acknowledge and deliver to its predecessor and to the Company an instrument accepting such appointment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41" w:lineRule="exact"/>
        <w:rPr>
          <w:sz w:val="20"/>
          <w:szCs w:val="20"/>
          <w:color w:val="auto"/>
        </w:rPr>
      </w:pPr>
    </w:p>
    <w:p>
      <w:pPr>
        <w:jc w:val="both"/>
        <w:ind w:firstLine="1019"/>
        <w:spacing w:after="0" w:line="265" w:lineRule="auto"/>
        <w:rPr>
          <w:sz w:val="20"/>
          <w:szCs w:val="20"/>
          <w:color w:val="auto"/>
        </w:rPr>
      </w:pPr>
      <w:r>
        <w:rPr>
          <w:rFonts w:ascii="Times New Roman" w:cs="Times New Roman" w:eastAsia="Times New Roman" w:hAnsi="Times New Roman"/>
          <w:sz w:val="14"/>
          <w:szCs w:val="14"/>
          <w:b w:val="1"/>
          <w:bCs w:val="1"/>
          <w:color w:val="auto"/>
        </w:rPr>
        <w:t>(e)           </w:t>
      </w:r>
      <w:r>
        <w:rPr>
          <w:rFonts w:ascii="Times New Roman" w:cs="Times New Roman" w:eastAsia="Times New Roman" w:hAnsi="Times New Roman"/>
          <w:sz w:val="14"/>
          <w:szCs w:val="14"/>
          <w:color w:val="auto"/>
        </w:rPr>
        <w:t>Any corporation into which the Warrant Agent hereunder may be merged or converted or any corporation with which the Warrant Agent may be consolidated,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79"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6.1            Amendment. </w:t>
      </w:r>
      <w:r>
        <w:rPr>
          <w:rFonts w:ascii="Times New Roman" w:cs="Times New Roman" w:eastAsia="Times New Roman" w:hAnsi="Times New Roman"/>
          <w:sz w:val="14"/>
          <w:szCs w:val="14"/>
          <w:color w:val="auto"/>
        </w:rPr>
        <w:t>This Agreement may be amended by the parties hereto, without the consent of the holder of any Warrant Certificate, for the purpose of curing any ambiguity, or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32"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6.2            Notices and Demands to the Company and Warrant Agent. </w:t>
      </w:r>
      <w:r>
        <w:rPr>
          <w:rFonts w:ascii="Times New Roman" w:cs="Times New Roman" w:eastAsia="Times New Roman" w:hAnsi="Times New Roman"/>
          <w:sz w:val="14"/>
          <w:szCs w:val="14"/>
          <w:color w:val="auto"/>
        </w:rPr>
        <w:t>If the Warrant Agent shall receive any notice or demand addressed to the Company by the holder of a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 pursuant to the provisions of the Warrant Certificates, the Warrant Agent shall promptly forward such notice or demand to the Company.</w:t>
      </w:r>
    </w:p>
    <w:p>
      <w:pPr>
        <w:spacing w:after="0" w:line="121"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6.3           Addresses. </w:t>
      </w:r>
      <w:r>
        <w:rPr>
          <w:rFonts w:ascii="Times New Roman" w:cs="Times New Roman" w:eastAsia="Times New Roman" w:hAnsi="Times New Roman"/>
          <w:sz w:val="14"/>
          <w:szCs w:val="14"/>
          <w:color w:val="auto"/>
        </w:rPr>
        <w:t>Any communication from the Company to the Warrant Agent with respect to this Agreement shall be addressed to [●], Attention: [●] and any communication from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Warrant Agent to the Company with respect to this Agreement shall be addressed to WeRide Inc., 21st Floor, Tower A, Guanzhou Life Science Innovation Center, No. 51, Luoxuan Road, Guangzhou International Biotech Island, Guangzhou 510005 People’s Republic of China, Attention: [●] (or such other address as shall be specified in writing by the Warrant Agent or by the Company).</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6.4            Governing Law. </w:t>
      </w:r>
      <w:r>
        <w:rPr>
          <w:rFonts w:ascii="Times New Roman" w:cs="Times New Roman" w:eastAsia="Times New Roman" w:hAnsi="Times New Roman"/>
          <w:sz w:val="14"/>
          <w:szCs w:val="14"/>
          <w:color w:val="auto"/>
        </w:rPr>
        <w:t>This Agreement and each Warrant Certificate issued hereunder shall be governed by and construed in accordance with the laws of the State of New York.</w:t>
      </w:r>
    </w:p>
    <w:p>
      <w:pPr>
        <w:spacing w:after="0" w:line="179"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6.5            Delivery of Prospectus. </w:t>
      </w:r>
      <w:r>
        <w:rPr>
          <w:rFonts w:ascii="Times New Roman" w:cs="Times New Roman" w:eastAsia="Times New Roman" w:hAnsi="Times New Roman"/>
          <w:sz w:val="14"/>
          <w:szCs w:val="14"/>
          <w:color w:val="auto"/>
        </w:rPr>
        <w:t>The Company shall furnish to the Warrant Agent sufficient copies of a prospectus meeting the requirements of the Securities Act of 1933, as amended,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relating to the Warrant Debt Securities deliverable upon exercise of the Warrants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spacing w:after="0" w:line="139"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6.6           Obtaining of Governmental Approvals. </w:t>
      </w:r>
      <w:r>
        <w:rPr>
          <w:rFonts w:ascii="Times New Roman" w:cs="Times New Roman" w:eastAsia="Times New Roman" w:hAnsi="Times New Roman"/>
          <w:sz w:val="14"/>
          <w:szCs w:val="14"/>
          <w:color w:val="auto"/>
        </w:rPr>
        <w:t>The Company will from time to time take all action which may be necessary to obtain and keep effective any and all permits, consents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spacing w:after="0" w:line="139"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6.7            Persons Having Rights Under the Agreement. </w:t>
      </w:r>
      <w:r>
        <w:rPr>
          <w:rFonts w:ascii="Times New Roman" w:cs="Times New Roman" w:eastAsia="Times New Roman" w:hAnsi="Times New Roman"/>
          <w:sz w:val="14"/>
          <w:szCs w:val="14"/>
          <w:color w:val="auto"/>
        </w:rPr>
        <w:t>Nothing in this Agreement shall give to any person other than the Company, the Warrant Agent and the holders of the Warrant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Certificates any right, remedy or claim under or by reason of this Agreement.</w:t>
      </w:r>
    </w:p>
    <w:p>
      <w:pPr>
        <w:spacing w:after="0" w:line="121" w:lineRule="exact"/>
        <w:rPr>
          <w:sz w:val="20"/>
          <w:szCs w:val="20"/>
          <w:color w:val="auto"/>
        </w:rPr>
      </w:pPr>
    </w:p>
    <w:p>
      <w:pPr>
        <w:jc w:val="both"/>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6.8            Headings. </w:t>
      </w:r>
      <w:r>
        <w:rPr>
          <w:rFonts w:ascii="Times New Roman" w:cs="Times New Roman" w:eastAsia="Times New Roman" w:hAnsi="Times New Roman"/>
          <w:sz w:val="14"/>
          <w:szCs w:val="14"/>
          <w:color w:val="auto"/>
        </w:rPr>
        <w:t>The descriptive headings of the several Articles and Sections of this Agreement are inserted for convenience only and shall not control or affect the meaning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construction of any of the provisions hereof.</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80" w:name="page181"/>
    <w:bookmarkEnd w:id="180"/>
    <w:p>
      <w:pPr>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6.9            Counterparts. </w:t>
      </w:r>
      <w:r>
        <w:rPr>
          <w:rFonts w:ascii="Times New Roman" w:cs="Times New Roman" w:eastAsia="Times New Roman" w:hAnsi="Times New Roman"/>
          <w:sz w:val="14"/>
          <w:szCs w:val="14"/>
          <w:color w:val="auto"/>
        </w:rPr>
        <w:t>This Agreement may be executed in any number of counterparts, each of which as so executed shall be deemed to be an original, but such counterparts shall together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constitute but one and the same instrument.</w:t>
      </w:r>
    </w:p>
    <w:p>
      <w:pPr>
        <w:spacing w:after="0" w:line="121" w:lineRule="exact"/>
        <w:rPr>
          <w:sz w:val="20"/>
          <w:szCs w:val="20"/>
          <w:color w:val="auto"/>
        </w:rPr>
      </w:pPr>
    </w:p>
    <w:p>
      <w:pPr>
        <w:ind w:firstLine="5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6.10          Inspection of Agreement. </w:t>
      </w:r>
      <w:r>
        <w:rPr>
          <w:rFonts w:ascii="Times New Roman" w:cs="Times New Roman" w:eastAsia="Times New Roman" w:hAnsi="Times New Roman"/>
          <w:sz w:val="14"/>
          <w:szCs w:val="14"/>
          <w:color w:val="auto"/>
        </w:rPr>
        <w:t>A copy of this Agreement shall be available at all reasonable times at the principal corporate trust office of the Warrant Agent for inspection by the holder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any Warrant Certificate. The Warrant Agent may require such holder to submit such holder’s Warrant Certificate for inspection by it.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parties hereto have caused this Agreement to be duly executed as of the day and year first above written.</w:t>
      </w:r>
    </w:p>
    <w:p>
      <w:pPr>
        <w:spacing w:after="0" w:line="1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WeRide Inc., as Company</w:t>
      </w:r>
    </w:p>
    <w:p>
      <w:pPr>
        <w:spacing w:after="0" w:line="1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-101600</wp:posOffset>
            </wp:positionV>
            <wp:extent cx="321691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3216910" cy="6985"/>
                    </a:xfrm>
                    <a:prstGeom prst="rect">
                      <a:avLst/>
                    </a:prstGeom>
                    <a:noFill/>
                  </pic:spPr>
                </pic:pic>
              </a:graphicData>
            </a:graphic>
          </wp:anchor>
        </w:drawing>
      </w:r>
    </w:p>
    <w:p>
      <w:pPr>
        <w:ind w:left="51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12700</wp:posOffset>
            </wp:positionV>
            <wp:extent cx="3216910"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3216910" cy="698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-101600</wp:posOffset>
            </wp:positionV>
            <wp:extent cx="321691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3216910" cy="6985"/>
                    </a:xfrm>
                    <a:prstGeom prst="rect">
                      <a:avLst/>
                    </a:prstGeom>
                    <a:noFill/>
                  </pic:spPr>
                </pic:pic>
              </a:graphicData>
            </a:graphic>
          </wp:anchor>
        </w:drawing>
      </w:r>
    </w:p>
    <w:p>
      <w:pPr>
        <w:spacing w:after="0" w:line="1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9"/>
          <w:szCs w:val="9"/>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130810</wp:posOffset>
            </wp:positionV>
            <wp:extent cx="3216910"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3216910" cy="698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16510</wp:posOffset>
            </wp:positionV>
            <wp:extent cx="3216910"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3216910" cy="6985"/>
                    </a:xfrm>
                    <a:prstGeom prst="rect">
                      <a:avLst/>
                    </a:prstGeom>
                    <a:noFill/>
                  </pic:spPr>
                </pic:pic>
              </a:graphicData>
            </a:graphic>
          </wp:anchor>
        </w:drawing>
      </w:r>
    </w:p>
    <w:p>
      <w:pPr>
        <w:spacing w:after="0" w:line="33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9"/>
          <w:szCs w:val="9"/>
          <w:b w:val="1"/>
          <w:bCs w:val="1"/>
          <w:color w:val="auto"/>
        </w:rPr>
        <w:t>ountersigned</w:t>
      </w:r>
    </w:p>
    <w:p>
      <w:pPr>
        <w:spacing w:after="0" w:line="1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 as Warrant Agent</w:t>
      </w:r>
    </w:p>
    <w:p>
      <w:pPr>
        <w:spacing w:after="0" w:line="1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-101600</wp:posOffset>
            </wp:positionV>
            <wp:extent cx="321691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3216910" cy="6985"/>
                    </a:xfrm>
                    <a:prstGeom prst="rect">
                      <a:avLst/>
                    </a:prstGeom>
                    <a:noFill/>
                  </pic:spPr>
                </pic:pic>
              </a:graphicData>
            </a:graphic>
          </wp:anchor>
        </w:drawing>
      </w:r>
    </w:p>
    <w:p>
      <w:pPr>
        <w:ind w:left="51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12700</wp:posOffset>
            </wp:positionV>
            <wp:extent cx="321691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3216910" cy="698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-101600</wp:posOffset>
            </wp:positionV>
            <wp:extent cx="321691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3216910" cy="6985"/>
                    </a:xfrm>
                    <a:prstGeom prst="rect">
                      <a:avLst/>
                    </a:prstGeom>
                    <a:noFill/>
                  </pic:spPr>
                </pic:pic>
              </a:graphicData>
            </a:graphic>
          </wp:anchor>
        </w:drawing>
      </w:r>
    </w:p>
    <w:p>
      <w:pPr>
        <w:spacing w:after="0" w:line="1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9"/>
          <w:szCs w:val="9"/>
          <w:b w:val="1"/>
          <w:bCs w:val="1"/>
          <w:color w:val="auto"/>
        </w:rPr>
        <w:t>ttest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130810</wp:posOffset>
            </wp:positionV>
            <wp:extent cx="321691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3216910" cy="698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16510</wp:posOffset>
            </wp:positionV>
            <wp:extent cx="321691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3216910" cy="6985"/>
                    </a:xfrm>
                    <a:prstGeom prst="rect">
                      <a:avLst/>
                    </a:prstGeom>
                    <a:noFill/>
                  </pic:spPr>
                </pic:pic>
              </a:graphicData>
            </a:graphic>
          </wp:anchor>
        </w:drawing>
      </w:r>
    </w:p>
    <w:p>
      <w:pPr>
        <w:spacing w:after="0" w:line="3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9"/>
          <w:szCs w:val="9"/>
          <w:color w:val="auto"/>
        </w:rPr>
        <w:t>ignature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9"/>
          <w:szCs w:val="9"/>
          <w:color w:val="auto"/>
        </w:rPr>
        <w:t>age to</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9"/>
          <w:szCs w:val="9"/>
          <w:color w:val="auto"/>
        </w:rPr>
        <w:t>e</w:t>
      </w:r>
      <w:r>
        <w:rPr>
          <w:rFonts w:ascii="Times New Roman" w:cs="Times New Roman" w:eastAsia="Times New Roman" w:hAnsi="Times New Roman"/>
          <w:sz w:val="14"/>
          <w:szCs w:val="14"/>
          <w:color w:val="auto"/>
        </w:rPr>
        <w:t>R</w:t>
      </w:r>
      <w:r>
        <w:rPr>
          <w:rFonts w:ascii="Times New Roman" w:cs="Times New Roman" w:eastAsia="Times New Roman" w:hAnsi="Times New Roman"/>
          <w:sz w:val="9"/>
          <w:szCs w:val="9"/>
          <w:color w:val="auto"/>
        </w:rPr>
        <w:t>ide</w:t>
      </w:r>
      <w:r>
        <w:rPr>
          <w:rFonts w:ascii="Times New Roman" w:cs="Times New Roman" w:eastAsia="Times New Roman" w:hAnsi="Times New Roman"/>
          <w:sz w:val="14"/>
          <w:szCs w:val="14"/>
          <w:color w:val="auto"/>
        </w:rPr>
        <w:t xml:space="preserve"> I</w:t>
      </w:r>
      <w:r>
        <w:rPr>
          <w:rFonts w:ascii="Times New Roman" w:cs="Times New Roman" w:eastAsia="Times New Roman" w:hAnsi="Times New Roman"/>
          <w:sz w:val="9"/>
          <w:szCs w:val="9"/>
          <w:color w:val="auto"/>
        </w:rPr>
        <w:t>nc</w:t>
      </w:r>
      <w:r>
        <w:rPr>
          <w:rFonts w:ascii="Times New Roman" w:cs="Times New Roman" w:eastAsia="Times New Roman" w:hAnsi="Times New Roman"/>
          <w:sz w:val="14"/>
          <w:szCs w:val="14"/>
          <w:color w:val="auto"/>
        </w:rPr>
        <w:t>. D</w:t>
      </w:r>
      <w:r>
        <w:rPr>
          <w:rFonts w:ascii="Times New Roman" w:cs="Times New Roman" w:eastAsia="Times New Roman" w:hAnsi="Times New Roman"/>
          <w:sz w:val="9"/>
          <w:szCs w:val="9"/>
          <w:color w:val="auto"/>
        </w:rPr>
        <w:t>ebt</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9"/>
          <w:szCs w:val="9"/>
          <w:color w:val="auto"/>
        </w:rPr>
        <w:t>ecurities</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9"/>
          <w:szCs w:val="9"/>
          <w:color w:val="auto"/>
        </w:rPr>
        <w:t>arrant</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9"/>
          <w:szCs w:val="9"/>
          <w:color w:val="auto"/>
        </w:rPr>
        <w:t>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230505</wp:posOffset>
            </wp:positionV>
            <wp:extent cx="716153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9639"/>
          </w:cols>
          <w:pgMar w:left="820" w:top="739" w:right="1440" w:bottom="1440" w:gutter="0" w:footer="0" w:header="0"/>
        </w:sectPr>
      </w:pPr>
    </w:p>
    <w:bookmarkStart w:id="182" w:name="page183"/>
    <w:bookmarkEnd w:id="182"/>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9"/>
          <w:szCs w:val="9"/>
          <w:b w:val="1"/>
          <w:bCs w:val="1"/>
          <w:color w:val="auto"/>
        </w:rPr>
        <w:t>xhibit</w:t>
      </w:r>
      <w:r>
        <w:rPr>
          <w:rFonts w:ascii="Times New Roman" w:cs="Times New Roman" w:eastAsia="Times New Roman" w:hAnsi="Times New Roman"/>
          <w:sz w:val="14"/>
          <w:szCs w:val="14"/>
          <w:b w:val="1"/>
          <w:bCs w:val="1"/>
          <w:color w:val="auto"/>
        </w:rPr>
        <w:t xml:space="preserve"> A</w:t>
      </w:r>
    </w:p>
    <w:p>
      <w:pPr>
        <w:spacing w:after="0" w:line="1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FORM OF WARRANT CERTIFICATE</w:t>
      </w:r>
    </w:p>
    <w:p>
      <w:pPr>
        <w:spacing w:after="0" w:line="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[FACE OF WARRANT CERTIFICATE]</w:t>
      </w:r>
    </w:p>
    <w:p>
      <w:pPr>
        <w:spacing w:after="0" w:line="163" w:lineRule="exact"/>
        <w:rPr>
          <w:sz w:val="20"/>
          <w:szCs w:val="20"/>
          <w:color w:val="auto"/>
        </w:rPr>
      </w:pPr>
    </w:p>
    <w:p>
      <w:pPr>
        <w:spacing w:after="0"/>
        <w:tabs>
          <w:tab w:leader="none" w:pos="596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Form of Legend if Warrants are not immediately exercisable.</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[Prior to [●], Warrants evidenced by this Warrant Certificate cannot be exercised.]</w:t>
      </w:r>
    </w:p>
    <w:p>
      <w:pPr>
        <w:spacing w:after="0" w:line="18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4"/>
          <w:szCs w:val="14"/>
          <w:color w:val="auto"/>
        </w:rPr>
        <w:t>EXERCISABLE ONLY IF COUNTERSIGNED BY THE WARRANT AGENT AS PROVIDED HEREIN</w:t>
      </w:r>
    </w:p>
    <w:p>
      <w:pPr>
        <w:spacing w:after="0" w:line="17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color w:val="auto"/>
        </w:rPr>
        <w:t>VOID AFTER [●] P.M., [City] time,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16153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640"/>
          </w:cols>
          <w:pgMar w:left="300" w:top="739" w:right="95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4"/>
          <w:szCs w:val="14"/>
          <w:b w:val="1"/>
          <w:bCs w:val="1"/>
          <w:color w:val="auto"/>
        </w:rPr>
        <w:t>WERIDE INC</w:t>
      </w:r>
      <w:r>
        <w:rPr>
          <w:rFonts w:ascii="Times New Roman" w:cs="Times New Roman" w:eastAsia="Times New Roman" w:hAnsi="Times New Roman"/>
          <w:sz w:val="14"/>
          <w:szCs w:val="14"/>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WARRANT DEBT SECURITIES]</w:t>
      </w:r>
    </w:p>
    <w:p>
      <w:pPr>
        <w:spacing w:after="0" w:line="165" w:lineRule="exact"/>
        <w:rPr>
          <w:sz w:val="20"/>
          <w:szCs w:val="20"/>
          <w:color w:val="auto"/>
        </w:rPr>
      </w:pPr>
    </w:p>
    <w:p>
      <w:pPr>
        <w:spacing w:after="0"/>
        <w:tabs>
          <w:tab w:leader="none" w:pos="10540" w:val="left"/>
        </w:tabs>
        <w:rPr>
          <w:sz w:val="20"/>
          <w:szCs w:val="20"/>
          <w:color w:val="auto"/>
        </w:rPr>
      </w:pPr>
      <w:r>
        <w:rPr>
          <w:rFonts w:ascii="Times New Roman" w:cs="Times New Roman" w:eastAsia="Times New Roman" w:hAnsi="Times New Roman"/>
          <w:sz w:val="14"/>
          <w:szCs w:val="14"/>
          <w:color w:val="auto"/>
        </w:rPr>
        <w:t>No. [●]</w:t>
      </w:r>
      <w:r>
        <w:rPr>
          <w:sz w:val="20"/>
          <w:szCs w:val="20"/>
          <w:color w:val="auto"/>
        </w:rPr>
        <w:tab/>
      </w:r>
      <w:r>
        <w:rPr>
          <w:rFonts w:ascii="Times New Roman" w:cs="Times New Roman" w:eastAsia="Times New Roman" w:hAnsi="Times New Roman"/>
          <w:sz w:val="13"/>
          <w:szCs w:val="13"/>
          <w:color w:val="auto"/>
        </w:rPr>
        <w:t>[●] Warrants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 w:cs="Times New Roman" w:eastAsia="Times New Roman" w:hAnsi="Times New Roman"/>
          <w:sz w:val="14"/>
          <w:szCs w:val="14"/>
          <w:b w:val="1"/>
          <w:bCs w:val="1"/>
          <w:i w:val="1"/>
          <w:iCs w:val="1"/>
          <w:color w:val="auto"/>
        </w:rPr>
        <w:t>Warrant Debt Securities</w:t>
      </w:r>
      <w:r>
        <w:rPr>
          <w:rFonts w:ascii="Times New Roman" w:cs="Times New Roman" w:eastAsia="Times New Roman" w:hAnsi="Times New Roman"/>
          <w:sz w:val="14"/>
          <w:szCs w:val="14"/>
          <w:color w:val="auto"/>
        </w:rPr>
        <w:t>”), of WeRide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 w:cs="Times New Roman" w:eastAsia="Times New Roman" w:hAnsi="Times New Roman"/>
          <w:sz w:val="14"/>
          <w:szCs w:val="14"/>
          <w:b w:val="1"/>
          <w:bCs w:val="1"/>
          <w:i w:val="1"/>
          <w:iCs w:val="1"/>
          <w:color w:val="auto"/>
        </w:rPr>
        <w:t>Warrant Price</w:t>
      </w:r>
      <w:r>
        <w:rPr>
          <w:rFonts w:ascii="Times New Roman" w:cs="Times New Roman" w:eastAsia="Times New Roman" w:hAnsi="Times New Roman"/>
          <w:sz w:val="14"/>
          <w:szCs w:val="14"/>
          <w:color w:val="auto"/>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which is, on the date hereof, at the address specified on the reverse hereof, and upon compliance with and subject to the conditions set forth herein and in the Warrant Agreement (as hereinafter defined).</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Holder</w:t>
      </w:r>
      <w:r>
        <w:rPr>
          <w:rFonts w:ascii="Times New Roman" w:cs="Times New Roman" w:eastAsia="Times New Roman" w:hAnsi="Times New Roman"/>
          <w:sz w:val="14"/>
          <w:szCs w:val="14"/>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spacing w:after="0" w:line="1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This Warrant Certificate is issued under and in accordance with the Warrant Agreement dated as of [●] (the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7161530"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84" w:name="page185"/>
    <w:bookmarkEnd w:id="184"/>
    <w:p>
      <w:pPr>
        <w:jc w:val="both"/>
        <w:spacing w:after="0" w:line="270" w:lineRule="auto"/>
        <w:rPr>
          <w:sz w:val="20"/>
          <w:szCs w:val="20"/>
          <w:color w:val="auto"/>
        </w:rPr>
      </w:pPr>
      <w:r>
        <w:rPr>
          <w:rFonts w:ascii="Times New Roman" w:cs="Times New Roman" w:eastAsia="Times New Roman" w:hAnsi="Times New Roman"/>
          <w:sz w:val="14"/>
          <w:szCs w:val="14"/>
          <w:color w:val="auto"/>
        </w:rPr>
        <w:t>The Warrant Debt Securities to be issued and delivered upon the exercise of Warrants evidenced by this Warrant Certificate will be issued under and in accordance with an Indenture, dated as of [●]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between the Company and [●], as trustee (such trustee, and any successors to such trustee,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and will be subject to the terms and provisions contained in the Warrant Debt Securities and in the Indenture. Copies of the Indenture, including the form of the Warrant Debt Securities, are on file at the corporate trust office of the Trustee.</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Reference is hereby made to the further provisions of this Warrant Certificate set forth on the reverse hereof, which further provisions shall for all purposes have the same effect as if set forth at this place.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Warrant Certificate shall not be valid or obligatory for any purpose until countersigned by the Warrant Agent.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4"/>
          <w:szCs w:val="14"/>
          <w:color w:val="auto"/>
        </w:rPr>
        <w:t>, the Company has caused this Warrant to be executed in its name and on its behalf by the facsimile signatures of its duly authorized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15240</wp:posOffset>
            </wp:positionV>
            <wp:extent cx="3209925"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3209925" cy="698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WeRide Inc.</w:t>
      </w:r>
      <w:r>
        <w:rPr>
          <w:rFonts w:ascii="Times New Roman" w:cs="Times New Roman" w:eastAsia="Times New Roman" w:hAnsi="Times New Roman"/>
          <w:sz w:val="14"/>
          <w:szCs w:val="14"/>
          <w:color w:val="auto"/>
        </w:rPr>
        <w:t>, as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-101600</wp:posOffset>
            </wp:positionV>
            <wp:extent cx="3209925"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320992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19685</wp:posOffset>
            </wp:positionV>
            <wp:extent cx="320992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3209925" cy="6985"/>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-94615</wp:posOffset>
            </wp:positionV>
            <wp:extent cx="320992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3209925"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130810</wp:posOffset>
            </wp:positionV>
            <wp:extent cx="3209925"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3209925" cy="6985"/>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16510</wp:posOffset>
            </wp:positionV>
            <wp:extent cx="3209925"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3209925" cy="698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COUNTERSIGNED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Warrant Agent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-101600</wp:posOffset>
            </wp:positionV>
            <wp:extent cx="3209925"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320992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19685</wp:posOffset>
            </wp:positionV>
            <wp:extent cx="3209925"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3209925" cy="6985"/>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-94615</wp:posOffset>
            </wp:positionV>
            <wp:extent cx="3209925"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3209925"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130810</wp:posOffset>
            </wp:positionV>
            <wp:extent cx="3209925"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3209925" cy="6985"/>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16510</wp:posOffset>
            </wp:positionV>
            <wp:extent cx="3209925"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320992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7161530"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4"/>
          <w:szCs w:val="14"/>
          <w:b w:val="1"/>
          <w:bCs w:val="1"/>
          <w:color w:val="auto"/>
        </w:rPr>
        <w:t>[REVERSE OF WARRANT CERTIFICATE]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(Instructions for Exercise of Warrant)</w:t>
      </w:r>
    </w:p>
    <w:p>
      <w:pPr>
        <w:spacing w:after="0" w:line="18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4"/>
          <w:szCs w:val="14"/>
          <w:color w:val="auto"/>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(To be executed upon exercise of Warrants)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undersigned hereby irrevocably elects to exercise ______ Warrants, evidenced by this Warrant Certificate, to purchase _______ $[●] principal amount of the [TITLE OF WARRANT</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DEBT SECURITIES] (the “</w:t>
      </w:r>
      <w:r>
        <w:rPr>
          <w:rFonts w:ascii="Times New Roman" w:cs="Times New Roman" w:eastAsia="Times New Roman" w:hAnsi="Times New Roman"/>
          <w:sz w:val="14"/>
          <w:szCs w:val="14"/>
          <w:b w:val="1"/>
          <w:bCs w:val="1"/>
          <w:i w:val="1"/>
          <w:iCs w:val="1"/>
          <w:color w:val="auto"/>
        </w:rPr>
        <w:t>Warrant Debt Securities</w:t>
      </w:r>
      <w:r>
        <w:rPr>
          <w:rFonts w:ascii="Times New Roman" w:cs="Times New Roman" w:eastAsia="Times New Roman" w:hAnsi="Times New Roman"/>
          <w:sz w:val="14"/>
          <w:szCs w:val="14"/>
          <w:color w:val="auto"/>
        </w:rPr>
        <w:t>”), of WeRide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WeRide Inc., c/o [insert name and address of Warrant Agent], in the amount of $_________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w:t>
      </w:r>
    </w:p>
    <w:p>
      <w:pPr>
        <w:spacing w:after="0" w:line="146" w:lineRule="exact"/>
        <w:rPr>
          <w:sz w:val="20"/>
          <w:szCs w:val="20"/>
          <w:color w:val="auto"/>
        </w:rPr>
      </w:pPr>
    </w:p>
    <w:p>
      <w:pPr>
        <w:jc w:val="both"/>
        <w:ind w:firstLine="510"/>
        <w:spacing w:after="0" w:line="287" w:lineRule="auto"/>
        <w:rPr>
          <w:sz w:val="20"/>
          <w:szCs w:val="20"/>
          <w:color w:val="auto"/>
        </w:rPr>
      </w:pPr>
      <w:r>
        <w:rPr>
          <w:rFonts w:ascii="Times New Roman" w:cs="Times New Roman" w:eastAsia="Times New Roman" w:hAnsi="Times New Roman"/>
          <w:sz w:val="14"/>
          <w:szCs w:val="14"/>
          <w:color w:val="auto"/>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spacing w:after="0" w:line="125"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Name:</w:t>
      </w:r>
    </w:p>
    <w:p>
      <w:pPr>
        <w:spacing w:after="0" w:line="2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-101600</wp:posOffset>
            </wp:positionV>
            <wp:extent cx="6797675"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6797675" cy="698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(Insert Social Security or Other Identifying Number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3580765"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3580765" cy="698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Guaranteed:</w:t>
      </w:r>
    </w:p>
    <w:p>
      <w:pPr>
        <w:spacing w:after="0" w:line="2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-101600</wp:posOffset>
            </wp:positionV>
            <wp:extent cx="2434590"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2434590" cy="698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this Warrant Certificate and must bear a signature guarantee by a FINRA member firm).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Warrant may be exercised at the following addresses: By hand at: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161530"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color w:val="auto"/>
        </w:rPr>
        <w:t>By mail at:</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[Instructions as to form and delivery of Warrant Debt Securities and, if applicable, Warrant Certificates evidencing Warrants for the number of Warrant Debt Securities remaining unexercised— complete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161530"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8180" w:type="dxa"/>
            <w:vAlign w:val="bottom"/>
            <w:gridSpan w:val="3"/>
          </w:tcPr>
          <w:p>
            <w:pPr>
              <w:jc w:val="center"/>
              <w:ind w:right="3029"/>
              <w:spacing w:after="0"/>
              <w:rPr>
                <w:sz w:val="20"/>
                <w:szCs w:val="20"/>
                <w:color w:val="auto"/>
              </w:rPr>
            </w:pPr>
            <w:r>
              <w:rPr>
                <w:rFonts w:ascii="Times New Roman" w:cs="Times New Roman" w:eastAsia="Times New Roman" w:hAnsi="Times New Roman"/>
                <w:sz w:val="14"/>
                <w:szCs w:val="14"/>
                <w:b w:val="1"/>
                <w:bCs w:val="1"/>
                <w:color w:val="auto"/>
              </w:rPr>
              <w:t>ASSIGNMENT</w:t>
            </w:r>
          </w:p>
        </w:tc>
        <w:tc>
          <w:tcPr>
            <w:tcW w:w="0" w:type="dxa"/>
            <w:vAlign w:val="bottom"/>
          </w:tcPr>
          <w:p>
            <w:pPr>
              <w:spacing w:after="0"/>
              <w:rPr>
                <w:sz w:val="1"/>
                <w:szCs w:val="1"/>
                <w:color w:val="auto"/>
              </w:rPr>
            </w:pPr>
          </w:p>
        </w:tc>
      </w:tr>
      <w:tr>
        <w:trPr>
          <w:trHeight w:val="340"/>
        </w:trPr>
        <w:tc>
          <w:tcPr>
            <w:tcW w:w="3100" w:type="dxa"/>
            <w:vAlign w:val="bottom"/>
          </w:tcPr>
          <w:p>
            <w:pPr>
              <w:spacing w:after="0"/>
              <w:rPr>
                <w:sz w:val="24"/>
                <w:szCs w:val="24"/>
                <w:color w:val="auto"/>
              </w:rPr>
            </w:pPr>
          </w:p>
        </w:tc>
        <w:tc>
          <w:tcPr>
            <w:tcW w:w="8180" w:type="dxa"/>
            <w:vAlign w:val="bottom"/>
            <w:gridSpan w:val="3"/>
          </w:tcPr>
          <w:p>
            <w:pPr>
              <w:jc w:val="center"/>
              <w:ind w:right="3029"/>
              <w:spacing w:after="0"/>
              <w:rPr>
                <w:sz w:val="20"/>
                <w:szCs w:val="20"/>
                <w:color w:val="auto"/>
              </w:rPr>
            </w:pPr>
            <w:r>
              <w:rPr>
                <w:rFonts w:ascii="Times New Roman" w:cs="Times New Roman" w:eastAsia="Times New Roman" w:hAnsi="Times New Roman"/>
                <w:sz w:val="14"/>
                <w:szCs w:val="14"/>
                <w:color w:val="auto"/>
              </w:rPr>
              <w:t>[Form of assignment to be executed if Warrant Holder desires to transfer Warrant]</w:t>
            </w:r>
          </w:p>
        </w:tc>
        <w:tc>
          <w:tcPr>
            <w:tcW w:w="0" w:type="dxa"/>
            <w:vAlign w:val="bottom"/>
          </w:tcPr>
          <w:p>
            <w:pPr>
              <w:spacing w:after="0"/>
              <w:rPr>
                <w:sz w:val="1"/>
                <w:szCs w:val="1"/>
                <w:color w:val="auto"/>
              </w:rPr>
            </w:pPr>
          </w:p>
        </w:tc>
      </w:tr>
      <w:tr>
        <w:trPr>
          <w:trHeight w:val="340"/>
        </w:trPr>
        <w:tc>
          <w:tcPr>
            <w:tcW w:w="1128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9"/>
                <w:szCs w:val="9"/>
                <w:b w:val="1"/>
                <w:bCs w:val="1"/>
                <w:color w:val="auto"/>
              </w:rPr>
              <w:t>or</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9"/>
                <w:szCs w:val="9"/>
                <w:b w:val="1"/>
                <w:bCs w:val="1"/>
                <w:color w:val="auto"/>
              </w:rPr>
              <w:t>alue</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9"/>
                <w:szCs w:val="9"/>
                <w:b w:val="1"/>
                <w:bCs w:val="1"/>
                <w:color w:val="auto"/>
              </w:rPr>
              <w:t>eceived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______________ hereby sells, assigns and transfers unto:</w:t>
            </w:r>
          </w:p>
        </w:tc>
        <w:tc>
          <w:tcPr>
            <w:tcW w:w="0" w:type="dxa"/>
            <w:vAlign w:val="bottom"/>
          </w:tcPr>
          <w:p>
            <w:pPr>
              <w:spacing w:after="0"/>
              <w:rPr>
                <w:sz w:val="1"/>
                <w:szCs w:val="1"/>
                <w:color w:val="auto"/>
              </w:rPr>
            </w:pPr>
          </w:p>
        </w:tc>
      </w:tr>
      <w:tr>
        <w:trPr>
          <w:trHeight w:val="340"/>
        </w:trPr>
        <w:tc>
          <w:tcPr>
            <w:tcW w:w="3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(Please print name and address including zip code)</w:t>
            </w:r>
          </w:p>
        </w:tc>
        <w:tc>
          <w:tcPr>
            <w:tcW w:w="24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Please print Social Security or other identifying number</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right represented by the within Warrant to purchase ________ aggregate principal amount of [Title of Warrant Debt Securities] of WeRide Inc. to which the within Warrant relates and appoints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 attorney to transfer such right on the books of the Warrant Agent with full power of substitution in the premises.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1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59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Name:</w:t>
            </w:r>
          </w:p>
        </w:tc>
      </w:tr>
      <w:tr>
        <w:trPr>
          <w:trHeight w:val="175"/>
        </w:trPr>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40" w:type="dxa"/>
            <w:vAlign w:val="bottom"/>
            <w:tcBorders>
              <w:top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484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Signature</w:t>
            </w:r>
          </w:p>
        </w:tc>
      </w:tr>
      <w:tr>
        <w:trPr>
          <w:trHeight w:val="325"/>
        </w:trPr>
        <w:tc>
          <w:tcPr>
            <w:tcW w:w="440" w:type="dxa"/>
            <w:vAlign w:val="bottom"/>
          </w:tcPr>
          <w:p>
            <w:pPr>
              <w:spacing w:after="0"/>
              <w:rPr>
                <w:sz w:val="24"/>
                <w:szCs w:val="24"/>
                <w:color w:val="auto"/>
              </w:rPr>
            </w:pPr>
          </w:p>
        </w:tc>
        <w:tc>
          <w:tcPr>
            <w:tcW w:w="1084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the Warrant)</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3580765"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35807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453390</wp:posOffset>
            </wp:positionV>
            <wp:extent cx="716153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134620</wp:posOffset>
            </wp:positionV>
            <wp:extent cx="1294765" cy="8089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1294765" cy="80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Office:</w:t>
        <w:tab/>
        <w:t>+852 2801 6066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Mobile: +852 9718 8740</w:t>
      </w:r>
    </w:p>
    <w:p>
      <w:pPr>
        <w:spacing w:after="0" w:line="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u w:val="single" w:color="auto"/>
          <w:color w:val="auto"/>
        </w:rPr>
        <w:t>rthorp@tta.lawyer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WeRide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21st Floor, Tower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Guanzhou Life Science Innovation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51, Luoxuan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Guangzhou International Biotech Island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Guangzhou 510005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People’s Republic of China</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 November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WeRide Inc.</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have acted as Cayman Islands legal advisers to WeRide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in connection with the Company’s Form F-3 registration statement, including all amendments or supplements thereto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filed with the United States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under the United States Securities Act of 1933 (the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as amended. The Registration Statement contains aa base prospectus (the “</w:t>
      </w:r>
      <w:r>
        <w:rPr>
          <w:rFonts w:ascii="Times New Roman" w:cs="Times New Roman" w:eastAsia="Times New Roman" w:hAnsi="Times New Roman"/>
          <w:sz w:val="14"/>
          <w:szCs w:val="14"/>
          <w:b w:val="1"/>
          <w:bCs w:val="1"/>
          <w:color w:val="auto"/>
        </w:rPr>
        <w:t>Base Prospectus</w:t>
      </w:r>
      <w:r>
        <w:rPr>
          <w:rFonts w:ascii="Times New Roman" w:cs="Times New Roman" w:eastAsia="Times New Roman" w:hAnsi="Times New Roman"/>
          <w:sz w:val="14"/>
          <w:szCs w:val="14"/>
          <w:color w:val="auto"/>
        </w:rPr>
        <w:t>”)that provides that it will be supplemented in the future by one or more prospectus supplements (each, a “</w:t>
      </w:r>
      <w:r>
        <w:rPr>
          <w:rFonts w:ascii="Times New Roman" w:cs="Times New Roman" w:eastAsia="Times New Roman" w:hAnsi="Times New Roman"/>
          <w:sz w:val="14"/>
          <w:szCs w:val="14"/>
          <w:b w:val="1"/>
          <w:bCs w:val="1"/>
          <w:color w:val="auto"/>
        </w:rPr>
        <w:t>Prospectus Supplement</w:t>
      </w:r>
      <w:r>
        <w:rPr>
          <w:rFonts w:ascii="Times New Roman" w:cs="Times New Roman" w:eastAsia="Times New Roman" w:hAnsi="Times New Roman"/>
          <w:sz w:val="14"/>
          <w:szCs w:val="14"/>
          <w:color w:val="auto"/>
        </w:rPr>
        <w:t>”). The Registration Statement, including the Base Prospectus (as supplemented from time to time by one or more Prospectus Supplements), will provide for the registration by the Company of the sale of the following securities:</w:t>
      </w:r>
    </w:p>
    <w:p>
      <w:pPr>
        <w:spacing w:after="0" w:line="141" w:lineRule="exact"/>
        <w:rPr>
          <w:sz w:val="20"/>
          <w:szCs w:val="20"/>
          <w:color w:val="auto"/>
        </w:rPr>
      </w:pPr>
    </w:p>
    <w:p>
      <w:pPr>
        <w:ind w:left="520" w:hanging="260"/>
        <w:spacing w:after="0"/>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Ordinary Shares, par value $0.00001 per share, of the Company (“</w:t>
      </w:r>
      <w:r>
        <w:rPr>
          <w:rFonts w:ascii="Times New Roman" w:cs="Times New Roman" w:eastAsia="Times New Roman" w:hAnsi="Times New Roman"/>
          <w:sz w:val="14"/>
          <w:szCs w:val="14"/>
          <w:b w:val="1"/>
          <w:bCs w:val="1"/>
          <w:color w:val="auto"/>
        </w:rPr>
        <w:t>Class A Ordinary Shares</w:t>
      </w:r>
      <w:r>
        <w:rPr>
          <w:rFonts w:ascii="Times New Roman" w:cs="Times New Roman" w:eastAsia="Times New Roman" w:hAnsi="Times New Roman"/>
          <w:sz w:val="14"/>
          <w:szCs w:val="14"/>
          <w:color w:val="auto"/>
        </w:rPr>
        <w:t>”), which may be represented by American Depositary Shares (“</w:t>
      </w:r>
      <w:r>
        <w:rPr>
          <w:rFonts w:ascii="Times New Roman" w:cs="Times New Roman" w:eastAsia="Times New Roman" w:hAnsi="Times New Roman"/>
          <w:sz w:val="14"/>
          <w:szCs w:val="14"/>
          <w:b w:val="1"/>
          <w:bCs w:val="1"/>
          <w:color w:val="auto"/>
        </w:rPr>
        <w:t>ADSs</w:t>
      </w:r>
      <w:r>
        <w:rPr>
          <w:rFonts w:ascii="Times New Roman" w:cs="Times New Roman" w:eastAsia="Times New Roman" w:hAnsi="Times New Roman"/>
          <w:sz w:val="14"/>
          <w:szCs w:val="14"/>
          <w:color w:val="auto"/>
        </w:rPr>
        <w:t>”);</w:t>
      </w:r>
    </w:p>
    <w:p>
      <w:pPr>
        <w:spacing w:after="0" w:line="178" w:lineRule="exact"/>
        <w:rPr>
          <w:rFonts w:ascii="Times New Roman" w:cs="Times New Roman" w:eastAsia="Times New Roman" w:hAnsi="Times New Roman"/>
          <w:sz w:val="14"/>
          <w:szCs w:val="14"/>
          <w:color w:val="auto"/>
        </w:rPr>
      </w:pPr>
    </w:p>
    <w:p>
      <w:pPr>
        <w:ind w:left="520" w:hanging="260"/>
        <w:spacing w:after="0" w:line="290" w:lineRule="auto"/>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Ordinary Shares, par value $0.00001 per share, of the Company (“</w:t>
      </w:r>
      <w:r>
        <w:rPr>
          <w:rFonts w:ascii="Times New Roman" w:cs="Times New Roman" w:eastAsia="Times New Roman" w:hAnsi="Times New Roman"/>
          <w:sz w:val="14"/>
          <w:szCs w:val="14"/>
          <w:b w:val="1"/>
          <w:bCs w:val="1"/>
          <w:color w:val="auto"/>
        </w:rPr>
        <w:t>Class B Ordinary Shares</w:t>
      </w:r>
      <w:r>
        <w:rPr>
          <w:rFonts w:ascii="Times New Roman" w:cs="Times New Roman" w:eastAsia="Times New Roman" w:hAnsi="Times New Roman"/>
          <w:sz w:val="14"/>
          <w:szCs w:val="14"/>
          <w:color w:val="auto"/>
        </w:rPr>
        <w:t>”)preferred shares of the Company in one or more classes (“</w:t>
      </w:r>
      <w:r>
        <w:rPr>
          <w:rFonts w:ascii="Times New Roman" w:cs="Times New Roman" w:eastAsia="Times New Roman" w:hAnsi="Times New Roman"/>
          <w:sz w:val="14"/>
          <w:szCs w:val="14"/>
          <w:b w:val="1"/>
          <w:bCs w:val="1"/>
          <w:color w:val="auto"/>
        </w:rPr>
        <w:t>Preferred Shares</w:t>
      </w:r>
      <w:r>
        <w:rPr>
          <w:rFonts w:ascii="Times New Roman" w:cs="Times New Roman" w:eastAsia="Times New Roman" w:hAnsi="Times New Roman"/>
          <w:sz w:val="14"/>
          <w:szCs w:val="14"/>
          <w:color w:val="auto"/>
        </w:rPr>
        <w:t>” and together with Class A Ordinary Shares, ADSs and Class B Ordinary Shares,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w:t>
      </w:r>
    </w:p>
    <w:p>
      <w:pPr>
        <w:spacing w:after="0" w:line="120" w:lineRule="exact"/>
        <w:rPr>
          <w:rFonts w:ascii="Times New Roman" w:cs="Times New Roman" w:eastAsia="Times New Roman" w:hAnsi="Times New Roman"/>
          <w:sz w:val="14"/>
          <w:szCs w:val="14"/>
          <w:color w:val="auto"/>
        </w:rPr>
      </w:pPr>
    </w:p>
    <w:p>
      <w:pPr>
        <w:jc w:val="both"/>
        <w:ind w:left="520" w:hanging="260"/>
        <w:spacing w:after="0" w:line="272" w:lineRule="auto"/>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in one or more series (“</w:t>
      </w:r>
      <w:r>
        <w:rPr>
          <w:rFonts w:ascii="Times New Roman" w:cs="Times New Roman" w:eastAsia="Times New Roman" w:hAnsi="Times New Roman"/>
          <w:sz w:val="14"/>
          <w:szCs w:val="14"/>
          <w:b w:val="1"/>
          <w:bCs w:val="1"/>
          <w:color w:val="auto"/>
        </w:rPr>
        <w:t>Debt Securities</w:t>
      </w:r>
      <w:r>
        <w:rPr>
          <w:rFonts w:ascii="Times New Roman" w:cs="Times New Roman" w:eastAsia="Times New Roman" w:hAnsi="Times New Roman"/>
          <w:sz w:val="14"/>
          <w:szCs w:val="14"/>
          <w:color w:val="auto"/>
        </w:rPr>
        <w:t>”), which may be issued pursuant to an indenture to be dated on or about the date of the first issuance of Debt Securities thereunder, by and between a trustee to be selected by the Company and the Company, in the form filed as Exhibit 4.3 to the Registration Statement and one or more indentures supplemental thereto with respect to any particular series of Debt Securities;</w:t>
      </w:r>
    </w:p>
    <w:p>
      <w:pPr>
        <w:spacing w:after="0" w:line="132" w:lineRule="exact"/>
        <w:rPr>
          <w:rFonts w:ascii="Times New Roman" w:cs="Times New Roman" w:eastAsia="Times New Roman" w:hAnsi="Times New Roman"/>
          <w:sz w:val="14"/>
          <w:szCs w:val="14"/>
          <w:color w:val="auto"/>
        </w:rPr>
      </w:pPr>
    </w:p>
    <w:p>
      <w:pPr>
        <w:jc w:val="both"/>
        <w:ind w:left="520" w:hanging="260"/>
        <w:spacing w:after="0" w:line="282" w:lineRule="auto"/>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Shares or Debt Securities (“</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 which may be issued under one or more warrant agreements, to be dated on or about the date of the first issuance of the Warrants thereunder, by and between a warrant agent to be selected by the Company and the Company, in the forms filed as Exhibit 4.5, Exhibit 4.6, and Exhibit 4.7 to the Registration Statement; and</w:t>
      </w:r>
    </w:p>
    <w:p>
      <w:pPr>
        <w:spacing w:after="0" w:line="301" w:lineRule="exact"/>
        <w:rPr>
          <w:rFonts w:ascii="Times New Roman" w:cs="Times New Roman" w:eastAsia="Times New Roman" w:hAnsi="Times New Roman"/>
          <w:sz w:val="14"/>
          <w:szCs w:val="14"/>
          <w:color w:val="auto"/>
        </w:rPr>
      </w:pPr>
    </w:p>
    <w:p>
      <w:pPr>
        <w:jc w:val="both"/>
        <w:ind w:left="520" w:hanging="260"/>
        <w:spacing w:after="0" w:line="272" w:lineRule="auto"/>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consisting of any combination of Shares, Debt Securities, and/or Warrants, in one or more series (“</w:t>
      </w: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4"/>
          <w:szCs w:val="14"/>
          <w:color w:val="auto"/>
        </w:rPr>
        <w:t>”), which may be issued under unit agreements, to be dated on or about the date of the first issuance of the applicable Units thereunder, by and between the Company and a unit agent to be selected by the Company, in the form to be incorporated by reference as an exhibit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755650</wp:posOffset>
            </wp:positionV>
            <wp:extent cx="7161530"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94615</wp:posOffset>
            </wp:positionV>
            <wp:extent cx="2077085" cy="3238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2077085" cy="32385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color w:val="auto"/>
        </w:rPr>
        <w:t>We are furnishing this opinion letter as Exhibit 5.1 to the Registration Statement.</w:t>
      </w:r>
    </w:p>
    <w:p>
      <w:pPr>
        <w:spacing w:after="0" w:line="177" w:lineRule="exact"/>
        <w:rPr>
          <w:sz w:val="20"/>
          <w:szCs w:val="20"/>
          <w:color w:val="auto"/>
        </w:rPr>
      </w:pPr>
    </w:p>
    <w:p>
      <w:pPr>
        <w:ind w:left="520" w:hanging="515"/>
        <w:spacing w:after="0"/>
        <w:tabs>
          <w:tab w:leader="none" w:pos="520" w:val="left"/>
        </w:tabs>
        <w:numPr>
          <w:ilvl w:val="0"/>
          <w:numId w:val="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Documents Reviewed</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the purposes of this opinion, we have reviewed originals, copies, drafts or conformed copies of the documents listed in Schedule 1 to this opinion, being all of the documents necessary to form our opinion. Defined terms shall have the meanings set out in Schedule 1 or in the Registration Statement.</w:t>
      </w:r>
    </w:p>
    <w:p>
      <w:pPr>
        <w:spacing w:after="0" w:line="123" w:lineRule="exact"/>
        <w:rPr>
          <w:sz w:val="20"/>
          <w:szCs w:val="20"/>
          <w:color w:val="auto"/>
        </w:rPr>
      </w:pPr>
    </w:p>
    <w:p>
      <w:pPr>
        <w:ind w:left="520" w:hanging="515"/>
        <w:spacing w:after="0"/>
        <w:tabs>
          <w:tab w:leader="none" w:pos="520"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Assumptions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following opinions are given only as to and based on circumstances and matters of fact existing at the date hereof and as to the laws of the Cayman Islands as the same are in force at the date hereof. In giving this opinion, we have relied upon the completeness and accuracy (and assumed the continuing completeness and accuracy as at the date hereof) of the Director’s Certificate, as to matters of fact, without further verification and have assumed that copy documents or drafts of documents provided to us are true and complete copies of, or in the final forms of, the originals.</w:t>
      </w:r>
    </w:p>
    <w:p>
      <w:pPr>
        <w:spacing w:after="0" w:line="134" w:lineRule="exact"/>
        <w:rPr>
          <w:sz w:val="20"/>
          <w:szCs w:val="20"/>
          <w:color w:val="auto"/>
        </w:rPr>
      </w:pPr>
    </w:p>
    <w:p>
      <w:pPr>
        <w:ind w:left="520" w:hanging="515"/>
        <w:spacing w:after="0"/>
        <w:tabs>
          <w:tab w:leader="none" w:pos="520" w:val="left"/>
        </w:tabs>
        <w:numPr>
          <w:ilvl w:val="0"/>
          <w:numId w:val="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Opinions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upon, and subject to, the foregoing assumptions, and having regard to such legal considerations as we deem relevant, we are of the opinion that:</w:t>
      </w:r>
    </w:p>
    <w:p>
      <w:pPr>
        <w:spacing w:after="0" w:line="179" w:lineRule="exact"/>
        <w:rPr>
          <w:sz w:val="20"/>
          <w:szCs w:val="20"/>
          <w:color w:val="auto"/>
        </w:rPr>
      </w:pPr>
    </w:p>
    <w:p>
      <w:pPr>
        <w:ind w:left="260"/>
        <w:spacing w:after="0"/>
        <w:tabs>
          <w:tab w:leader="none" w:pos="74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color w:val="auto"/>
        </w:rPr>
        <w:t>the Company has been duly incorporated and is validly existing and in good standing under the laws of the Cayman Islands;</w:t>
      </w:r>
    </w:p>
    <w:p>
      <w:pPr>
        <w:spacing w:after="0" w:line="179" w:lineRule="exact"/>
        <w:rPr>
          <w:sz w:val="20"/>
          <w:szCs w:val="20"/>
          <w:color w:val="auto"/>
        </w:rPr>
      </w:pPr>
    </w:p>
    <w:p>
      <w:pPr>
        <w:ind w:left="260"/>
        <w:spacing w:after="0"/>
        <w:tabs>
          <w:tab w:leader="none" w:pos="74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color w:val="auto"/>
        </w:rPr>
        <w:t>based solely on our review of the M&amp;A, the authorised share capital of the Company, is US$50,000 divided into 5,000,000,000 shares of a par value of US$0.00001 each, comprising</w:t>
      </w:r>
    </w:p>
    <w:p>
      <w:pPr>
        <w:spacing w:after="0" w:line="23" w:lineRule="exact"/>
        <w:rPr>
          <w:sz w:val="20"/>
          <w:szCs w:val="20"/>
          <w:color w:val="auto"/>
        </w:rPr>
      </w:pPr>
    </w:p>
    <w:p>
      <w:pPr>
        <w:ind w:left="760" w:firstLine="10"/>
        <w:spacing w:after="0" w:line="266" w:lineRule="auto"/>
        <w:tabs>
          <w:tab w:leader="none" w:pos="9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3,500,000,000 Class A Ordinary Shares, (ii) 500,000,000 Class B Ordinary Shares, and (iii) 1,000,000,000 shares of such class or classes (however designated) as the Board may determine in accordance with the M&amp;A; and</w:t>
      </w:r>
    </w:p>
    <w:p>
      <w:pPr>
        <w:spacing w:after="0" w:line="139" w:lineRule="exact"/>
        <w:rPr>
          <w:sz w:val="20"/>
          <w:szCs w:val="20"/>
          <w:color w:val="auto"/>
        </w:rPr>
      </w:pPr>
    </w:p>
    <w:p>
      <w:pPr>
        <w:jc w:val="both"/>
        <w:ind w:left="760" w:hanging="509"/>
        <w:spacing w:after="0" w:line="261" w:lineRule="auto"/>
        <w:tabs>
          <w:tab w:leader="none" w:pos="74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4"/>
          <w:szCs w:val="14"/>
          <w:color w:val="auto"/>
        </w:rPr>
        <w:t>the issue and allotment of the Shares have been duly authorized and when allotted, issued and paid for as contemplated in the Registration Statement, the Shares will be legally issued and allotted, fully paid and non-assessable. In this opinion the phrase “non-assessable” means, with respect to Shares, that a shareholder shall not, solely by virtue of its status as a shareholder, in the absence of a contractual arrangement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 As a matter of Cayman Islands law, a share is only issued when it has been entered in the register of members (shareholders)</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hereby consent to the prospectus discussion of this opinion, to the filing of this opinion as an exhibit to the Registration Statement and to the reference to our firm under the headings “Enforcement of Civil Liabilities” and “Legal Matters” and elsewhere in the prospectus included by reference in the Registration Statement. In providing our consent, we do not thereby admit that we are in the category of persons whose consent is required under Section 7 of the Act or the Rules and Regulations of the Commission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716153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color w:val="auto"/>
        </w:rPr>
        <w:t>This opinion is limited to the matters detailed herein and is not to be read as an opinion with respect to any other matter.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Yours faithfully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 TRAVERS THORP ALBERGA</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16153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59"/>
          </w:cols>
          <w:pgMar w:left="300" w:top="741" w:right="1440" w:bottom="1440" w:gutter="0" w:footer="0" w:header="0"/>
        </w:sectPr>
      </w:pPr>
    </w:p>
    <w:bookmarkStart w:id="191" w:name="page192"/>
    <w:bookmarkEnd w:id="191"/>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SCHEDULE 1</w:t>
      </w:r>
    </w:p>
    <w:p>
      <w:pPr>
        <w:spacing w:after="0" w:line="1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List of Documents Reviewed</w:t>
      </w:r>
    </w:p>
    <w:p>
      <w:pPr>
        <w:spacing w:after="0" w:line="181" w:lineRule="exact"/>
        <w:rPr>
          <w:sz w:val="20"/>
          <w:szCs w:val="20"/>
          <w:color w:val="auto"/>
        </w:rPr>
      </w:pPr>
    </w:p>
    <w:p>
      <w:pPr>
        <w:ind w:left="520" w:hanging="515"/>
        <w:spacing w:after="0"/>
        <w:tabs>
          <w:tab w:leader="none" w:pos="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of Incorporation dated 13 March 2017 and the Certificate of Incorporation on Change of Name dated 14 November 2018;</w:t>
      </w:r>
    </w:p>
    <w:p>
      <w:pPr>
        <w:spacing w:after="0" w:line="17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2the register of members of the Company;</w:t>
      </w:r>
    </w:p>
    <w:p>
      <w:pPr>
        <w:spacing w:after="0" w:line="17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3the register of directors of the Company;</w:t>
      </w:r>
    </w:p>
    <w:p>
      <w:pPr>
        <w:spacing w:after="0" w:line="17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4the Eighth Amended and Restated Memorandum and Articles of Association of the Company as adopted by a special resolution dated 26 July 2024;</w:t>
      </w:r>
    </w:p>
    <w:p>
      <w:pPr>
        <w:spacing w:after="0" w:line="17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5the resolutions of the Board of Directors of the Company dated 21 October 2025 (the “</w:t>
      </w:r>
      <w:r>
        <w:rPr>
          <w:rFonts w:ascii="Times New Roman" w:cs="Times New Roman" w:eastAsia="Times New Roman" w:hAnsi="Times New Roman"/>
          <w:sz w:val="14"/>
          <w:szCs w:val="14"/>
          <w:b w:val="1"/>
          <w:bCs w:val="1"/>
          <w:color w:val="auto"/>
        </w:rPr>
        <w:t>Board Resolutions</w:t>
      </w:r>
      <w:r>
        <w:rPr>
          <w:rFonts w:ascii="Times New Roman" w:cs="Times New Roman" w:eastAsia="Times New Roman" w:hAnsi="Times New Roman"/>
          <w:sz w:val="14"/>
          <w:szCs w:val="14"/>
          <w:color w:val="auto"/>
        </w:rPr>
        <w:t>”);</w:t>
      </w:r>
    </w:p>
    <w:p>
      <w:pPr>
        <w:spacing w:after="0" w:line="17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6the certificate of good standing of the Company issued by the Registrar of Companies, Cayman Islands on 11 August 2025 (the “</w:t>
      </w:r>
      <w:r>
        <w:rPr>
          <w:rFonts w:ascii="Times New Roman" w:cs="Times New Roman" w:eastAsia="Times New Roman" w:hAnsi="Times New Roman"/>
          <w:sz w:val="14"/>
          <w:szCs w:val="14"/>
          <w:b w:val="1"/>
          <w:bCs w:val="1"/>
          <w:color w:val="auto"/>
        </w:rPr>
        <w:t>Certificate of Good Standing</w:t>
      </w:r>
      <w:r>
        <w:rPr>
          <w:rFonts w:ascii="Times New Roman" w:cs="Times New Roman" w:eastAsia="Times New Roman" w:hAnsi="Times New Roman"/>
          <w:sz w:val="14"/>
          <w:szCs w:val="14"/>
          <w:color w:val="auto"/>
        </w:rPr>
        <w:t>”);</w:t>
      </w:r>
    </w:p>
    <w:p>
      <w:pPr>
        <w:spacing w:after="0" w:line="17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7a certificate from a Director of the Company addressed to this firm, a copy of which is attached hereto (the “</w:t>
      </w:r>
      <w:r>
        <w:rPr>
          <w:rFonts w:ascii="Times New Roman" w:cs="Times New Roman" w:eastAsia="Times New Roman" w:hAnsi="Times New Roman"/>
          <w:sz w:val="14"/>
          <w:szCs w:val="14"/>
          <w:b w:val="1"/>
          <w:bCs w:val="1"/>
          <w:color w:val="auto"/>
        </w:rPr>
        <w:t>Director’s Certificate</w:t>
      </w:r>
      <w:r>
        <w:rPr>
          <w:rFonts w:ascii="Times New Roman" w:cs="Times New Roman" w:eastAsia="Times New Roman" w:hAnsi="Times New Roman"/>
          <w:sz w:val="14"/>
          <w:szCs w:val="14"/>
          <w:color w:val="auto"/>
        </w:rPr>
        <w:t>”); and</w:t>
      </w:r>
    </w:p>
    <w:p>
      <w:pPr>
        <w:spacing w:after="0" w:line="18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16153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59"/>
          </w:cols>
          <w:pgMar w:left="300" w:top="739" w:right="1440"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7"/>
          <w:szCs w:val="17"/>
          <w:b w:val="1"/>
          <w:bCs w:val="1"/>
          <w:color w:val="auto"/>
        </w:rPr>
        <w:t>Exhibit 5.2</w:t>
      </w:r>
    </w:p>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1564640" cy="39116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1564640" cy="391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Yilin Xu</w:t>
      </w:r>
    </w:p>
    <w:p>
      <w:pPr>
        <w:spacing w:after="0" w:line="9" w:lineRule="exact"/>
        <w:rPr>
          <w:sz w:val="20"/>
          <w:szCs w:val="20"/>
          <w:color w:val="auto"/>
        </w:rPr>
      </w:pPr>
    </w:p>
    <w:p>
      <w:pPr>
        <w:jc w:val="both"/>
        <w:ind w:right="10060" w:firstLine="5"/>
        <w:spacing w:after="0" w:line="266" w:lineRule="auto"/>
        <w:tabs>
          <w:tab w:leader="none" w:pos="154"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+86 10 8540 0695 yilin.xu@cooley.com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3,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WeRide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21st Floor, Tower A, Guanzhou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Science Innovation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51, Luoxuan Road, Guangzhou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International Biotech Island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Guangzhou 510005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People’s Republic of China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have acted as special U.S. counsel to WeRide Inc., an exempted company incorporated in the Cayman Islands with limited liability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filing by the Company of a Registration Statement on Form F-3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The Registration Statement includes a prospectus (the “</w:t>
      </w:r>
      <w:r>
        <w:rPr>
          <w:rFonts w:ascii="Times New Roman" w:cs="Times New Roman" w:eastAsia="Times New Roman" w:hAnsi="Times New Roman"/>
          <w:sz w:val="14"/>
          <w:szCs w:val="14"/>
          <w:b w:val="1"/>
          <w:bCs w:val="1"/>
          <w:i w:val="1"/>
          <w:iCs w:val="1"/>
          <w:color w:val="auto"/>
        </w:rPr>
        <w:t>Base Prospectus</w:t>
      </w:r>
      <w:r>
        <w:rPr>
          <w:rFonts w:ascii="Times New Roman" w:cs="Times New Roman" w:eastAsia="Times New Roman" w:hAnsi="Times New Roman"/>
          <w:sz w:val="14"/>
          <w:szCs w:val="14"/>
          <w:color w:val="auto"/>
        </w:rPr>
        <w:t>”), that provides it will be supplemented in the future by one or more prospectus supplements (each, a “</w:t>
      </w:r>
      <w:r>
        <w:rPr>
          <w:rFonts w:ascii="Times New Roman" w:cs="Times New Roman" w:eastAsia="Times New Roman" w:hAnsi="Times New Roman"/>
          <w:sz w:val="14"/>
          <w:szCs w:val="14"/>
          <w:b w:val="1"/>
          <w:bCs w:val="1"/>
          <w:i w:val="1"/>
          <w:iCs w:val="1"/>
          <w:color w:val="auto"/>
        </w:rPr>
        <w:t>Prospectus Supplement</w:t>
      </w:r>
      <w:r>
        <w:rPr>
          <w:rFonts w:ascii="Times New Roman" w:cs="Times New Roman" w:eastAsia="Times New Roman" w:hAnsi="Times New Roman"/>
          <w:sz w:val="14"/>
          <w:szCs w:val="14"/>
          <w:color w:val="auto"/>
        </w:rPr>
        <w:t>”). The Registration Statement including the Base Prospectus (as supplemented from time to time by one or more Prospectus Supplements), will provide for the registration by the Company of the sale of the following securities:</w:t>
      </w:r>
    </w:p>
    <w:p>
      <w:pPr>
        <w:spacing w:after="0" w:line="141" w:lineRule="exact"/>
        <w:rPr>
          <w:sz w:val="20"/>
          <w:szCs w:val="20"/>
          <w:color w:val="auto"/>
        </w:rPr>
      </w:pPr>
    </w:p>
    <w:p>
      <w:pPr>
        <w:ind w:left="520" w:hanging="260"/>
        <w:spacing w:after="0"/>
        <w:tabs>
          <w:tab w:leader="none" w:pos="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ordinary shares, par value US$0.00001 per share, carrying one vote per share, of the Company (the “</w:t>
      </w:r>
      <w:r>
        <w:rPr>
          <w:rFonts w:ascii="Times New Roman" w:cs="Times New Roman" w:eastAsia="Times New Roman" w:hAnsi="Times New Roman"/>
          <w:sz w:val="14"/>
          <w:szCs w:val="14"/>
          <w:b w:val="1"/>
          <w:bCs w:val="1"/>
          <w:i w:val="1"/>
          <w:iCs w:val="1"/>
          <w:color w:val="auto"/>
        </w:rPr>
        <w:t>Class A Shares</w:t>
      </w:r>
      <w:r>
        <w:rPr>
          <w:rFonts w:ascii="Times New Roman" w:cs="Times New Roman" w:eastAsia="Times New Roman" w:hAnsi="Times New Roman"/>
          <w:sz w:val="14"/>
          <w:szCs w:val="14"/>
          <w:color w:val="auto"/>
        </w:rPr>
        <w: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American Depositary Shares, each of which represents three Class A ordinary shares (the “</w:t>
      </w:r>
      <w:r>
        <w:rPr>
          <w:rFonts w:ascii="Times New Roman" w:cs="Times New Roman" w:eastAsia="Times New Roman" w:hAnsi="Times New Roman"/>
          <w:sz w:val="14"/>
          <w:szCs w:val="14"/>
          <w:b w:val="1"/>
          <w:bCs w:val="1"/>
          <w:i w:val="1"/>
          <w:iCs w:val="1"/>
          <w:color w:val="auto"/>
        </w:rPr>
        <w:t>ADSs</w:t>
      </w:r>
      <w:r>
        <w:rPr>
          <w:rFonts w:ascii="Times New Roman" w:cs="Times New Roman" w:eastAsia="Times New Roman" w:hAnsi="Times New Roman"/>
          <w:sz w:val="14"/>
          <w:szCs w:val="14"/>
          <w:color w:val="auto"/>
        </w:rPr>
        <w:t>”)</w:t>
      </w:r>
    </w:p>
    <w:p>
      <w:pPr>
        <w:spacing w:after="0" w:line="178" w:lineRule="exact"/>
        <w:rPr>
          <w:rFonts w:ascii="Times New Roman" w:cs="Times New Roman" w:eastAsia="Times New Roman" w:hAnsi="Times New Roman"/>
          <w:sz w:val="14"/>
          <w:szCs w:val="14"/>
          <w:color w:val="auto"/>
        </w:rPr>
      </w:pPr>
    </w:p>
    <w:p>
      <w:pPr>
        <w:ind w:left="520" w:hanging="260"/>
        <w:spacing w:after="0" w:line="290" w:lineRule="auto"/>
        <w:tabs>
          <w:tab w:leader="none" w:pos="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ordinary shares, par value US$0.00001 per share, carrying 40 votes per share, of the Company (the “</w:t>
      </w:r>
      <w:r>
        <w:rPr>
          <w:rFonts w:ascii="Times New Roman" w:cs="Times New Roman" w:eastAsia="Times New Roman" w:hAnsi="Times New Roman"/>
          <w:sz w:val="14"/>
          <w:szCs w:val="14"/>
          <w:b w:val="1"/>
          <w:bCs w:val="1"/>
          <w:i w:val="1"/>
          <w:iCs w:val="1"/>
          <w:color w:val="auto"/>
        </w:rPr>
        <w:t>Class B Shares</w:t>
      </w:r>
      <w:r>
        <w:rPr>
          <w:rFonts w:ascii="Times New Roman" w:cs="Times New Roman" w:eastAsia="Times New Roman" w:hAnsi="Times New Roman"/>
          <w:sz w:val="14"/>
          <w:szCs w:val="14"/>
          <w:color w:val="auto"/>
        </w:rPr>
        <w:t>” and, together with the Class A Shares and the ADSs, the “</w:t>
      </w:r>
      <w:r>
        <w:rPr>
          <w:rFonts w:ascii="Times New Roman" w:cs="Times New Roman" w:eastAsia="Times New Roman" w:hAnsi="Times New Roman"/>
          <w:sz w:val="14"/>
          <w:szCs w:val="14"/>
          <w:b w:val="1"/>
          <w:bCs w:val="1"/>
          <w:i w:val="1"/>
          <w:iCs w:val="1"/>
          <w:color w:val="auto"/>
        </w:rPr>
        <w:t>Ordinary Shares</w:t>
      </w:r>
      <w:r>
        <w:rPr>
          <w:rFonts w:ascii="Times New Roman" w:cs="Times New Roman" w:eastAsia="Times New Roman" w:hAnsi="Times New Roman"/>
          <w:sz w:val="14"/>
          <w:szCs w:val="14"/>
          <w:color w:val="auto"/>
        </w:rPr>
        <w:t>”)</w:t>
      </w:r>
    </w:p>
    <w:p>
      <w:pPr>
        <w:spacing w:after="0" w:line="12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shares, par value US$0.00001, of the Company (the “</w:t>
      </w:r>
      <w:r>
        <w:rPr>
          <w:rFonts w:ascii="Times New Roman" w:cs="Times New Roman" w:eastAsia="Times New Roman" w:hAnsi="Times New Roman"/>
          <w:sz w:val="14"/>
          <w:szCs w:val="14"/>
          <w:b w:val="1"/>
          <w:bCs w:val="1"/>
          <w:i w:val="1"/>
          <w:iCs w:val="1"/>
          <w:color w:val="auto"/>
        </w:rPr>
        <w:t>Preferred Shares</w:t>
      </w:r>
      <w:r>
        <w:rPr>
          <w:rFonts w:ascii="Times New Roman" w:cs="Times New Roman" w:eastAsia="Times New Roman" w:hAnsi="Times New Roman"/>
          <w:sz w:val="14"/>
          <w:szCs w:val="14"/>
          <w:color w:val="auto"/>
        </w:rPr>
        <w:t>”);</w:t>
      </w:r>
    </w:p>
    <w:p>
      <w:pPr>
        <w:spacing w:after="0" w:line="178" w:lineRule="exact"/>
        <w:rPr>
          <w:rFonts w:ascii="Times New Roman" w:cs="Times New Roman" w:eastAsia="Times New Roman" w:hAnsi="Times New Roman"/>
          <w:sz w:val="14"/>
          <w:szCs w:val="14"/>
          <w:color w:val="auto"/>
        </w:rPr>
      </w:pPr>
    </w:p>
    <w:p>
      <w:pPr>
        <w:jc w:val="both"/>
        <w:ind w:left="520" w:hanging="260"/>
        <w:spacing w:after="0" w:line="272" w:lineRule="auto"/>
        <w:tabs>
          <w:tab w:leader="none" w:pos="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in one or more series (the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which may be issued pursuant to an indenture to be dated on or about the date of the first issuance of Debt Securities thereunder, by and between a trustee to be selected by the Company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and the Company, in the form filed as Exhibit 4.2 to the Registration Statement and one or more indentures supplemental thereto with respect to any particular series of Debt Securities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w:t>
      </w:r>
    </w:p>
    <w:p>
      <w:pPr>
        <w:spacing w:after="0" w:line="132" w:lineRule="exact"/>
        <w:rPr>
          <w:rFonts w:ascii="Times New Roman" w:cs="Times New Roman" w:eastAsia="Times New Roman" w:hAnsi="Times New Roman"/>
          <w:sz w:val="14"/>
          <w:szCs w:val="14"/>
          <w:color w:val="auto"/>
        </w:rPr>
      </w:pPr>
    </w:p>
    <w:p>
      <w:pPr>
        <w:jc w:val="both"/>
        <w:ind w:left="520" w:hanging="260"/>
        <w:spacing w:after="0" w:line="272" w:lineRule="auto"/>
        <w:tabs>
          <w:tab w:leader="none" w:pos="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Ordinary Shares, Preferred Shares or Debt Securities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which may be issued under one or more warrant agreements, to be dated on or about the date of the issuance of the applicable Warrants thereunder, by and between a warrant agent to be selected by the Company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and the Company, in the forms to be incorporated by reference as exhibits to the Registration Statement (the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 and</w:t>
      </w:r>
    </w:p>
    <w:p>
      <w:pPr>
        <w:spacing w:after="0" w:line="132" w:lineRule="exact"/>
        <w:rPr>
          <w:rFonts w:ascii="Times New Roman" w:cs="Times New Roman" w:eastAsia="Times New Roman" w:hAnsi="Times New Roman"/>
          <w:sz w:val="14"/>
          <w:szCs w:val="14"/>
          <w:color w:val="auto"/>
        </w:rPr>
      </w:pPr>
    </w:p>
    <w:p>
      <w:pPr>
        <w:jc w:val="both"/>
        <w:ind w:left="520" w:hanging="260"/>
        <w:spacing w:after="0" w:line="272" w:lineRule="auto"/>
        <w:tabs>
          <w:tab w:leader="none" w:pos="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consisting of any combination of one or more of the Ordinary Shares, Preferred Shares, Debt Securities and Warrants in one or more series (the “</w:t>
      </w:r>
      <w:r>
        <w:rPr>
          <w:rFonts w:ascii="Times New Roman" w:cs="Times New Roman" w:eastAsia="Times New Roman" w:hAnsi="Times New Roman"/>
          <w:sz w:val="14"/>
          <w:szCs w:val="14"/>
          <w:b w:val="1"/>
          <w:bCs w:val="1"/>
          <w:i w:val="1"/>
          <w:iCs w:val="1"/>
          <w:color w:val="auto"/>
        </w:rPr>
        <w:t>Units</w:t>
      </w:r>
      <w:r>
        <w:rPr>
          <w:rFonts w:ascii="Times New Roman" w:cs="Times New Roman" w:eastAsia="Times New Roman" w:hAnsi="Times New Roman"/>
          <w:sz w:val="14"/>
          <w:szCs w:val="14"/>
          <w:color w:val="auto"/>
        </w:rPr>
        <w:t>”), which may be issued under one or more unit agreements, to be dated on or about the date of the issuance of the applicable Units thereunder, by and between a unit agent to be selected by the Company (the “</w:t>
      </w:r>
      <w:r>
        <w:rPr>
          <w:rFonts w:ascii="Times New Roman" w:cs="Times New Roman" w:eastAsia="Times New Roman" w:hAnsi="Times New Roman"/>
          <w:sz w:val="14"/>
          <w:szCs w:val="14"/>
          <w:b w:val="1"/>
          <w:bCs w:val="1"/>
          <w:i w:val="1"/>
          <w:iCs w:val="1"/>
          <w:color w:val="auto"/>
        </w:rPr>
        <w:t>Unit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Agent</w:t>
      </w:r>
      <w:r>
        <w:rPr>
          <w:rFonts w:ascii="Times New Roman" w:cs="Times New Roman" w:eastAsia="Times New Roman" w:hAnsi="Times New Roman"/>
          <w:sz w:val="14"/>
          <w:szCs w:val="14"/>
          <w:color w:val="auto"/>
        </w:rPr>
        <w:t>”) and the Company, in the forms to be incorporated by reference as exhibits to the Registration Statement (the “</w:t>
      </w:r>
      <w:r>
        <w:rPr>
          <w:rFonts w:ascii="Times New Roman" w:cs="Times New Roman" w:eastAsia="Times New Roman" w:hAnsi="Times New Roman"/>
          <w:sz w:val="14"/>
          <w:szCs w:val="14"/>
          <w:b w:val="1"/>
          <w:bCs w:val="1"/>
          <w:i w:val="1"/>
          <w:iCs w:val="1"/>
          <w:color w:val="auto"/>
        </w:rPr>
        <w:t>Unit Agreement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China World Office Tower A Suite 5201 No. 1 Jianguomenwai Avenue, Beijing 100004, China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+86 10 8540 0600 f: +86 10 8540 0700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16153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93" w:name="page194"/>
    <w:bookmarkEnd w:id="193"/>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480060</wp:posOffset>
            </wp:positionV>
            <wp:extent cx="1564640" cy="391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clrChange>
                        <a:clrFrom>
                          <a:srgbClr val="FFFFFF"/>
                        </a:clrFrom>
                        <a:clrTo>
                          <a:srgbClr val="FFFFFF">
                            <a:alpha val="0"/>
                          </a:srgbClr>
                        </a:clrTo>
                      </a:clrChange>
                      <a:extLst>
                        <a:ext uri="{28A0092B-C50C-407E-A947-70E740481C1C}"/>
                      </a:extLst>
                    </a:blip>
                    <a:srcRect/>
                    <a:stretch>
                      <a:fillRect/>
                    </a:stretch>
                  </pic:blipFill>
                  <pic:spPr bwMode="auto">
                    <a:xfrm>
                      <a:off x="0" y="0"/>
                      <a:ext cx="1564640" cy="391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WeRide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Two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Ordinary Shares (including as represented by ADSs), Preferred Shares, the Debt Securities, the Warrants and the Units are collectively referred to herein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The Securities are being registered for offer and sale from time to time pursuant to Rule 415 under the Securities Act.</w:t>
      </w:r>
    </w:p>
    <w:p>
      <w:pPr>
        <w:spacing w:after="0" w:line="1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this opinion, we have examined and relied upon (a) the Registration Statement and the Base Prospectus, and (b) such other records, documents, certificates, opinions, memoranda and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rendering this opinion, we have assumed the legal capacity of all natural persons,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not rendering any opinion with respect to any Ordinary Shares (including as represented by ADSs) or Preferred Shares issuable upon the conversion, exercise or settlement, as applicable, of any Debt Securities, any Warrants or any Units. We have assumed that any Debt Securities, any Warrants or any Units offered under the Registration Statement and the related Indenture, Warrant Agreement or Unit Agreement, as applicable, will be executed in the forms filed, or to be incorporated by reference, as exhibits to the Registration Statement. We have also assumed that with respect to (i) any Debt Securities issuable upon the exercise of any Warrants or settlement of any Units, (ii) any Warrants issuable upon conversion of any Debt Securities or settlement of any Units or</w:t>
      </w:r>
    </w:p>
    <w:p>
      <w:pPr>
        <w:spacing w:after="0" w:line="2" w:lineRule="exact"/>
        <w:rPr>
          <w:sz w:val="20"/>
          <w:szCs w:val="20"/>
          <w:color w:val="auto"/>
        </w:rPr>
      </w:pPr>
    </w:p>
    <w:p>
      <w:pPr>
        <w:jc w:val="both"/>
        <w:ind w:firstLine="5"/>
        <w:spacing w:after="0" w:line="254" w:lineRule="auto"/>
        <w:tabs>
          <w:tab w:leader="none" w:pos="254"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Units issuable upon conversion of any Debt Securities or exercise of any Warrants, the applicable Debt Securities, Warrants or Units will be binding obligations of the Company, except as may be limited by applicable bankruptcy, insolvency, reorganization, arrangement, moratorium or other similar laws affecting creditors’ rights, and subject to general equity principles and to limitations on availability of equitable relief including, without limitation, specific performance. We have also assumed that (i) the Company is validly existing under the laws of the Cayman Islands, has the corporate power to enter into and perform its obligations under any Debt Securities, any Indenture, any Warrants and any Units in accordance with their terms, (ii) upon issuance, the Company will have duly authorized, executed and delivered any Debt Securities, any Indenture, any Warrants and any Units in accordance with its organizational documents and the laws of the Cayman Islands, (iii) any Ordinary Shares (including as represented by ADSs) or Preferred Shares issued upon conversion of the Debt Securities or upon exercise of Warrants or as a component of the Units will be duly authorized, validly issued, fully paid and non-assessable and (iv) the execution, delivery and performance by the Company of its obligations under any Debt Securities, any Indenture, any Warrants and any Units will not violate the laws of the Cayman Islands or any other applicable laws (excepting from such assumption the laws of the State of New York with respect to the Debt Securities, the Warrants and the Units). We have also assumed that any Debt Securities offered under the Registration Statement and the related Indenture will be executed in the forms filed or will be incorporated by reference as exhibits to the Registration Statement.</w:t>
      </w:r>
    </w:p>
    <w:p>
      <w:pPr>
        <w:spacing w:after="0" w:line="1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opinion herein is expressed solely with respect to the laws of the State of New York. Our opinion is based on these laws as in effect on the date hereof. We express no opinion to the extent that any other laws are applicable to the subject matter hereof and express no opinion and provide no assurance as to compliance with any foreign, U.S. federal or state securities law, rule or regulation.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China World Office Tower A Suite 5201 No. 1 Jianguomenwai Avenue, Beijing 100004, China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+86 10 8540 0600 f: +86 10 8540 0700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161530"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94" w:name="page195"/>
    <w:bookmarkEnd w:id="194"/>
    <w:p>
      <w:pPr>
        <w:spacing w:after="0" w:line="1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480060</wp:posOffset>
            </wp:positionV>
            <wp:extent cx="1564640" cy="391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clrChange>
                        <a:clrFrom>
                          <a:srgbClr val="FFFFFF"/>
                        </a:clrFrom>
                        <a:clrTo>
                          <a:srgbClr val="FFFFFF">
                            <a:alpha val="0"/>
                          </a:srgbClr>
                        </a:clrTo>
                      </a:clrChange>
                      <a:extLst>
                        <a:ext uri="{28A0092B-C50C-407E-A947-70E740481C1C}"/>
                      </a:extLst>
                    </a:blip>
                    <a:srcRect/>
                    <a:stretch>
                      <a:fillRect/>
                    </a:stretch>
                  </pic:blipFill>
                  <pic:spPr bwMode="auto">
                    <a:xfrm>
                      <a:off x="0" y="0"/>
                      <a:ext cx="1564640" cy="391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WeRide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the basis of the foregoing, in reliance thereon and subject to the assumptions, qualifications, limitations and exceptions set forth herein, we are of the opinion that:</w:t>
      </w:r>
    </w:p>
    <w:p>
      <w:pPr>
        <w:spacing w:after="0" w:line="163"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With respect to any series of Debt Securities issued under the Indenture and offered under the Registration Statement, provided that: (i) the Registration Statement and any required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has been duly executed and delivered by the Company and the Trustee; (iv) the terms of the Debt Securities and their issuance and sale, including as to any Ordinary Shares (including as represented by ADSs) or Preferred Shares to be issued on the conversion thereof, have been duly authorized by the Company by all necessary corporate action and the Indenture has been qualified under the Trust Indenture Act of 1939, as amended;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Company’s then operative articles of association (the “</w:t>
      </w:r>
      <w:r>
        <w:rPr>
          <w:rFonts w:ascii="Times New Roman" w:cs="Times New Roman" w:eastAsia="Times New Roman" w:hAnsi="Times New Roman"/>
          <w:sz w:val="14"/>
          <w:szCs w:val="14"/>
          <w:b w:val="1"/>
          <w:bCs w:val="1"/>
          <w:i w:val="1"/>
          <w:iCs w:val="1"/>
          <w:color w:val="auto"/>
        </w:rPr>
        <w:t>Articles of Association</w:t>
      </w:r>
      <w:r>
        <w:rPr>
          <w:rFonts w:ascii="Times New Roman" w:cs="Times New Roman" w:eastAsia="Times New Roman" w:hAnsi="Times New Roman"/>
          <w:sz w:val="14"/>
          <w:szCs w:val="14"/>
          <w:color w:val="auto"/>
        </w:rPr>
        <w:t>”),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or settlement of any Units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48"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4"/>
          <w:szCs w:val="14"/>
          <w:b w:val="1"/>
          <w:bCs w:val="1"/>
          <w:color w:val="auto"/>
        </w:rPr>
        <w:t>2.            </w:t>
      </w:r>
      <w:r>
        <w:rPr>
          <w:rFonts w:ascii="Times New Roman" w:cs="Times New Roman" w:eastAsia="Times New Roman" w:hAnsi="Times New Roman"/>
          <w:sz w:val="14"/>
          <w:szCs w:val="14"/>
          <w:color w:val="auto"/>
        </w:rPr>
        <w:t>With respect to the Warrants issued under a Warrant Agreement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Warrants and the applicable Warrant Agreement has been duly authorized by the Company and the Warrant Agent by all necessary corporate action; (iii) the applicable Warrant Agreement has been duly executed and delivered by the Company and the Warrant Agent; (iv) the issuance and terms of the Warrants have been duly authorized by the Company by all necessary corporate action; (v) the terms of the Warrants and of their issuance and sale have been duly established in conformity with the applicable Warrant Agreement and as described in the Registration Statement, the Base Prospectus and the related Prospectus Supplement(s), so as to be in compliance with and not violate any applicable law or result in a default under or breach of any agreement or instrument binding upon the Company, so as to be in conformity with the Articles of Association,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or the settlement of any Units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China World Office Tower A Suite 5201 No. 1 Jianguomenwai Avenue, Beijing 100004, China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+86 10 8540 0600 f: +86 10 8540 0700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16153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95" w:name="page196"/>
    <w:bookmarkEnd w:id="195"/>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480060</wp:posOffset>
            </wp:positionV>
            <wp:extent cx="1564640" cy="391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1564640" cy="391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WeRide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Four</w:t>
      </w:r>
    </w:p>
    <w:p>
      <w:pPr>
        <w:spacing w:after="0" w:line="163"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14"/>
          <w:szCs w:val="14"/>
          <w:b w:val="1"/>
          <w:bCs w:val="1"/>
          <w:color w:val="auto"/>
        </w:rPr>
        <w:t>3.</w:t>
      </w:r>
      <w:r>
        <w:rPr>
          <w:rFonts w:ascii="Times New Roman" w:cs="Times New Roman" w:eastAsia="Times New Roman" w:hAnsi="Times New Roman"/>
          <w:sz w:val="14"/>
          <w:szCs w:val="14"/>
          <w:color w:val="auto"/>
        </w:rPr>
        <w:t>            With respect to the Units issued under a Unit Agreement and offered under the Registration Statement, provided that (i) the Registration Statement and any required post-effective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amendment thereto have become effective under the Securities Act and the Base Prospectus and any and all Prospectus Supplement(s) required by applicable laws have been delivered and filed as required by such laws; (ii) the applicable Unit Agreement has been duly authorized by the Company and the Unit Agent by all necessary corporate action; (iii) the applicable Unit Agreement has been duly executed and delivered by the Company and the Unit Agent; (iv) the issuance and terms of the Units have been duly authorized by the Company by all necessary corporate action; (v) the terms of the Units and of their issuance and sale have been duly established in conformity with the applicable Unit Agreement and as described in the Registration Statement, the Base Prospectus and the related Prospectus Supplement(s), so as to be in compliance with and not violate any applicable law or result in a default under or breach of any agreement or instrument binding upon the Company, so as to be in conformity with the Articles of Association, and so as to comply with any requirement or restriction imposed by any court or governmental body having jurisdiction over the Company; and (vi) the Units, including as to any Shares, Debt Securities, Warrants or Rights that are components of such Units, have been duly executed and delivered by the Company and authenticated by the Unit Agent pursuant to the applicable Unit Agreement and delivered against payment therefor, then the Units, when issued and sold in accordance with the applicable Unit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reference to our firm under the caption “Legal Matters” in the Base Prospectus. In giving such consent, we do not thereby admit that we are in the category of persons whose consent is required under Section 7 of the Securities Act, or the rules and regulations of the Commission thereunder.</w:t>
      </w:r>
    </w:p>
    <w:p>
      <w:pPr>
        <w:spacing w:after="0" w:line="1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Cooley LLP China World Office Tower A Suite 5201 No. 1 Jianguomenwai Avenue, Beijing 100004, China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+86 10 8540 0600 f: +86 10 8540 0700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16153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96" w:name="page197"/>
    <w:bookmarkEnd w:id="196"/>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480060</wp:posOffset>
            </wp:positionV>
            <wp:extent cx="1078865" cy="4044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clrChange>
                        <a:clrFrom>
                          <a:srgbClr val="FFFFFF"/>
                        </a:clrFrom>
                        <a:clrTo>
                          <a:srgbClr val="FFFFFF">
                            <a:alpha val="0"/>
                          </a:srgbClr>
                        </a:clrTo>
                      </a:clrChange>
                      <a:extLst>
                        <a:ext uri="{28A0092B-C50C-407E-A947-70E740481C1C}"/>
                      </a:extLst>
                    </a:blip>
                    <a:srcRect/>
                    <a:stretch>
                      <a:fillRect/>
                    </a:stretch>
                  </pic:blipFill>
                  <pic:spPr bwMode="auto">
                    <a:xfrm>
                      <a:off x="0" y="0"/>
                      <a:ext cx="1078865" cy="4044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WeRide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Five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Sincerely,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r>
        <w:rPr>
          <w:rFonts w:ascii="Times New Roman" w:cs="Times New Roman" w:eastAsia="Times New Roman" w:hAnsi="Times New Roman"/>
          <w:sz w:val="9"/>
          <w:szCs w:val="9"/>
          <w:color w:val="auto"/>
        </w:rPr>
        <w:t>ooley</w:t>
      </w:r>
      <w:r>
        <w:rPr>
          <w:rFonts w:ascii="Times New Roman" w:cs="Times New Roman" w:eastAsia="Times New Roman" w:hAnsi="Times New Roman"/>
          <w:sz w:val="14"/>
          <w:szCs w:val="14"/>
          <w:color w:val="auto"/>
        </w:rPr>
        <w:t xml:space="preserve"> LLP</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Yilin Xu</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Yilin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-101600</wp:posOffset>
            </wp:positionV>
            <wp:extent cx="3364865"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3364865" cy="6985"/>
                    </a:xfrm>
                    <a:prstGeom prst="rect">
                      <a:avLst/>
                    </a:prstGeom>
                    <a:noFill/>
                  </pic:spPr>
                </pic:pic>
              </a:graphicData>
            </a:graphic>
          </wp:anchor>
        </w:drawing>
      </w:r>
    </w:p>
    <w:p>
      <w:pPr>
        <w:spacing w:after="0" w:line="15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color w:val="auto"/>
        </w:rPr>
        <w:t>Cooley LLP China World Office Tower A Suite 5201 No. 1 Jianguomenwai Avenue, Beijing 100004, China</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 +86 10 8540 0600 f: +86 10 8540 0700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16153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We consent to the use of our report dated March 25, 2025, with respect to the consolidated financial statements of WeRide Inc., incorporated herein by reference and to the reference to our firm under the heading “Experts” in the prospectus.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Huazhen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Beijing, 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16153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98" w:name="page199"/>
    <w:bookmarkEnd w:id="198"/>
    <w:p>
      <w:pPr>
        <w:ind w:left="104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134620</wp:posOffset>
            </wp:positionV>
            <wp:extent cx="2070100" cy="3638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2070100" cy="36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171" w:lineRule="exact"/>
        <w:rPr>
          <w:sz w:val="20"/>
          <w:szCs w:val="20"/>
          <w:color w:val="auto"/>
        </w:rPr>
      </w:pPr>
      <w:r>
        <w:rPr>
          <w:rFonts w:ascii="SimSun" w:cs="SimSun" w:eastAsia="SimSun" w:hAnsi="SimSun"/>
          <w:sz w:val="14"/>
          <w:szCs w:val="14"/>
          <w:color w:val="000000"/>
          <w:shd w:val="clear" w:color="auto" w:fill="404040"/>
        </w:rPr>
        <w:t>中国上海市南京西路</w:t>
      </w:r>
      <w:r>
        <w:rPr>
          <w:rFonts w:ascii="Times New Roman" w:cs="Times New Roman" w:eastAsia="Times New Roman" w:hAnsi="Times New Roman"/>
          <w:sz w:val="14"/>
          <w:szCs w:val="14"/>
          <w:color w:val="404040"/>
        </w:rPr>
        <w:t>1515</w:t>
      </w:r>
      <w:r>
        <w:rPr>
          <w:rFonts w:ascii="SimSun" w:cs="SimSun" w:eastAsia="SimSun" w:hAnsi="SimSun"/>
          <w:sz w:val="14"/>
          <w:szCs w:val="14"/>
          <w:color w:val="000000"/>
        </w:rPr>
        <w:t>号静安嘉里中心一座</w:t>
      </w:r>
      <w:r>
        <w:rPr>
          <w:rFonts w:ascii="Times New Roman" w:cs="Times New Roman" w:eastAsia="Times New Roman" w:hAnsi="Times New Roman"/>
          <w:sz w:val="14"/>
          <w:szCs w:val="14"/>
          <w:color w:val="404040"/>
        </w:rPr>
        <w:t>10</w:t>
      </w:r>
      <w:r>
        <w:rPr>
          <w:rFonts w:ascii="SimSun" w:cs="SimSun" w:eastAsia="SimSun" w:hAnsi="SimSun"/>
          <w:sz w:val="14"/>
          <w:szCs w:val="14"/>
          <w:color w:val="000000"/>
          <w:shd w:val="clear" w:color="auto" w:fill="404040"/>
        </w:rPr>
        <w:t>层</w:t>
      </w:r>
      <w:r>
        <w:rPr>
          <w:rFonts w:ascii="Times New Roman" w:cs="Times New Roman" w:eastAsia="Times New Roman" w:hAnsi="Times New Roman"/>
          <w:sz w:val="14"/>
          <w:szCs w:val="14"/>
          <w:color w:val="404040"/>
        </w:rPr>
        <w:t xml:space="preserve"> 200040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404040"/>
        </w:rPr>
        <w:t>10/F, Tower 1, Jing An Kerry Centre, 1515 West Nanjing Road, Shanghai 200040,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12065</wp:posOffset>
            </wp:positionV>
            <wp:extent cx="204470" cy="1181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204470" cy="118110"/>
                    </a:xfrm>
                    <a:prstGeom prst="rect">
                      <a:avLst/>
                    </a:prstGeom>
                    <a:noFill/>
                  </pic:spPr>
                </pic:pic>
              </a:graphicData>
            </a:graphic>
          </wp:anchor>
        </w:drawing>
      </w:r>
    </w:p>
    <w:p>
      <w:pPr>
        <w:spacing w:after="0" w:line="3" w:lineRule="exact"/>
        <w:rPr>
          <w:sz w:val="20"/>
          <w:szCs w:val="20"/>
          <w:color w:val="auto"/>
        </w:rPr>
      </w:pPr>
    </w:p>
    <w:p>
      <w:pPr>
        <w:jc w:val="center"/>
        <w:spacing w:after="0" w:line="171" w:lineRule="exact"/>
        <w:rPr>
          <w:sz w:val="20"/>
          <w:szCs w:val="20"/>
          <w:color w:val="auto"/>
        </w:rPr>
      </w:pPr>
      <w:r>
        <w:rPr>
          <w:rFonts w:ascii="SimSun" w:cs="SimSun" w:eastAsia="SimSun" w:hAnsi="SimSun"/>
          <w:sz w:val="14"/>
          <w:szCs w:val="14"/>
          <w:color w:val="000000"/>
          <w:shd w:val="clear" w:color="auto" w:fill="404040"/>
        </w:rPr>
        <w:t>电话</w:t>
      </w:r>
      <w:r>
        <w:rPr>
          <w:rFonts w:ascii="Times New Roman" w:cs="Times New Roman" w:eastAsia="Times New Roman" w:hAnsi="Times New Roman"/>
          <w:sz w:val="14"/>
          <w:szCs w:val="14"/>
          <w:color w:val="404040"/>
        </w:rPr>
        <w:t xml:space="preserve"> Tel: +86 21 6019 2600 </w:t>
      </w:r>
      <w:r>
        <w:rPr>
          <w:rFonts w:ascii="SimSun" w:cs="SimSun" w:eastAsia="SimSun" w:hAnsi="SimSun"/>
          <w:sz w:val="14"/>
          <w:szCs w:val="14"/>
          <w:color w:val="000000"/>
        </w:rPr>
        <w:t>传真</w:t>
      </w:r>
      <w:r>
        <w:rPr>
          <w:rFonts w:ascii="Times New Roman" w:cs="Times New Roman" w:eastAsia="Times New Roman" w:hAnsi="Times New Roman"/>
          <w:sz w:val="14"/>
          <w:szCs w:val="14"/>
          <w:color w:val="404040"/>
        </w:rPr>
        <w:t xml:space="preserve"> Fax: +86 21 6019 2697</w:t>
      </w:r>
    </w:p>
    <w:p>
      <w:pPr>
        <w:spacing w:after="0" w:line="17" w:lineRule="exact"/>
        <w:rPr>
          <w:sz w:val="20"/>
          <w:szCs w:val="20"/>
          <w:color w:val="auto"/>
        </w:rPr>
      </w:pPr>
    </w:p>
    <w:p>
      <w:pPr>
        <w:jc w:val="center"/>
        <w:spacing w:after="0" w:line="171" w:lineRule="exact"/>
        <w:rPr>
          <w:sz w:val="20"/>
          <w:szCs w:val="20"/>
          <w:color w:val="auto"/>
        </w:rPr>
      </w:pPr>
      <w:r>
        <w:rPr>
          <w:rFonts w:ascii="SimSun" w:cs="SimSun" w:eastAsia="SimSun" w:hAnsi="SimSun"/>
          <w:sz w:val="14"/>
          <w:szCs w:val="14"/>
          <w:color w:val="000000"/>
          <w:shd w:val="clear" w:color="auto" w:fill="404040"/>
        </w:rPr>
        <w:t>电邮</w:t>
      </w:r>
      <w:r>
        <w:rPr>
          <w:rFonts w:ascii="Times New Roman" w:cs="Times New Roman" w:eastAsia="Times New Roman" w:hAnsi="Times New Roman"/>
          <w:sz w:val="14"/>
          <w:szCs w:val="14"/>
          <w:color w:val="404040"/>
        </w:rPr>
        <w:t xml:space="preserve"> Email: shanghai@tongshang.com </w:t>
      </w:r>
      <w:r>
        <w:rPr>
          <w:rFonts w:ascii="SimSun" w:cs="SimSun" w:eastAsia="SimSun" w:hAnsi="SimSun"/>
          <w:sz w:val="14"/>
          <w:szCs w:val="14"/>
          <w:color w:val="000000"/>
          <w:shd w:val="clear" w:color="auto" w:fill="404040"/>
        </w:rPr>
        <w:t>网址</w:t>
      </w:r>
      <w:r>
        <w:rPr>
          <w:rFonts w:ascii="Times New Roman" w:cs="Times New Roman" w:eastAsia="Times New Roman" w:hAnsi="Times New Roman"/>
          <w:sz w:val="14"/>
          <w:szCs w:val="14"/>
          <w:color w:val="404040"/>
        </w:rPr>
        <w:t xml:space="preserve"> Web: www.tongshang.com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16153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9"/>
          <w:szCs w:val="9"/>
          <w:b w:val="1"/>
          <w:bCs w:val="1"/>
          <w:color w:val="auto"/>
        </w:rPr>
        <w:t>egal</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pinion</w:t>
      </w:r>
    </w:p>
    <w:p>
      <w:pPr>
        <w:sectPr>
          <w:pgSz w:w="11900" w:h="16838" w:orient="portrait"/>
          <w:cols w:equalWidth="0" w:num="1">
            <w:col w:w="11280"/>
          </w:cols>
          <w:pgMar w:left="300" w:top="306" w:right="31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WeRide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21st Floor, Tower A, Guanzhou Life Science Innovation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51, Luoxuan Road, Guangzhou International Biotech Island,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Guangzhou,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People’s Republic of China</w:t>
      </w:r>
    </w:p>
    <w:p>
      <w:pPr>
        <w:spacing w:after="0" w:line="165" w:lineRule="exact"/>
        <w:rPr>
          <w:sz w:val="20"/>
          <w:szCs w:val="20"/>
          <w:color w:val="auto"/>
        </w:rPr>
      </w:pPr>
    </w:p>
    <w:p>
      <w:pPr>
        <w:sectPr>
          <w:pgSz w:w="11900" w:h="16838" w:orient="portrait"/>
          <w:cols w:equalWidth="0" w:num="2">
            <w:col w:w="200" w:space="400"/>
            <w:col w:w="10680"/>
          </w:cols>
          <w:pgMar w:left="300" w:top="306" w:right="319" w:bottom="1440" w:gutter="0" w:footer="0" w:header="0"/>
          <w:type w:val="continuous"/>
        </w:sectPr>
      </w:pPr>
    </w:p>
    <w:p>
      <w:pPr>
        <w:jc w:val="right"/>
        <w:spacing w:after="0"/>
        <w:rPr>
          <w:sz w:val="20"/>
          <w:szCs w:val="20"/>
          <w:color w:val="auto"/>
        </w:rPr>
      </w:pPr>
      <w:r>
        <w:rPr>
          <w:rFonts w:ascii="Times New Roman" w:cs="Times New Roman" w:eastAsia="Times New Roman" w:hAnsi="Times New Roman"/>
          <w:sz w:val="14"/>
          <w:szCs w:val="14"/>
          <w:color w:val="auto"/>
        </w:rPr>
        <w:t>November 3,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Sirs:</w:t>
      </w:r>
    </w:p>
    <w:p>
      <w:pPr>
        <w:spacing w:after="0" w:line="179" w:lineRule="exact"/>
        <w:rPr>
          <w:sz w:val="20"/>
          <w:szCs w:val="20"/>
          <w:color w:val="auto"/>
        </w:rPr>
      </w:pPr>
    </w:p>
    <w:p>
      <w:pPr>
        <w:ind w:left="520" w:hanging="515"/>
        <w:spacing w:after="0" w:line="287" w:lineRule="auto"/>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lawyers qualified in the People’s Republic of China (the “</w:t>
      </w:r>
      <w:r>
        <w:rPr>
          <w:rFonts w:ascii="Times New Roman" w:cs="Times New Roman" w:eastAsia="Times New Roman" w:hAnsi="Times New Roman"/>
          <w:sz w:val="14"/>
          <w:szCs w:val="14"/>
          <w:u w:val="single" w:color="auto"/>
          <w:color w:val="auto"/>
        </w:rPr>
        <w:t>PRC</w:t>
      </w:r>
      <w:r>
        <w:rPr>
          <w:rFonts w:ascii="Times New Roman" w:cs="Times New Roman" w:eastAsia="Times New Roman" w:hAnsi="Times New Roman"/>
          <w:sz w:val="14"/>
          <w:szCs w:val="14"/>
          <w:color w:val="auto"/>
        </w:rPr>
        <w:t>”) and are qualified to issue opinions on the PRC Laws (as defined in Section 5). For the purpose of this legal opinion (this “</w:t>
      </w:r>
      <w:r>
        <w:rPr>
          <w:rFonts w:ascii="Times New Roman" w:cs="Times New Roman" w:eastAsia="Times New Roman" w:hAnsi="Times New Roman"/>
          <w:sz w:val="14"/>
          <w:szCs w:val="14"/>
          <w:u w:val="single" w:color="auto"/>
          <w:color w:val="auto"/>
        </w:rPr>
        <w:t>Opinion</w:t>
      </w:r>
      <w:r>
        <w:rPr>
          <w:rFonts w:ascii="Times New Roman" w:cs="Times New Roman" w:eastAsia="Times New Roman" w:hAnsi="Times New Roman"/>
          <w:sz w:val="14"/>
          <w:szCs w:val="14"/>
          <w:color w:val="auto"/>
        </w:rPr>
        <w:t>”), the PRC does not include the Hong Kong Special Administrative Region, the Macau Special Administrative Region and Taiwan.</w:t>
      </w:r>
    </w:p>
    <w:p>
      <w:pPr>
        <w:spacing w:after="0" w:line="124" w:lineRule="exact"/>
        <w:rPr>
          <w:rFonts w:ascii="Times New Roman" w:cs="Times New Roman" w:eastAsia="Times New Roman" w:hAnsi="Times New Roman"/>
          <w:sz w:val="14"/>
          <w:szCs w:val="14"/>
          <w:color w:val="auto"/>
        </w:rPr>
      </w:pPr>
    </w:p>
    <w:p>
      <w:pPr>
        <w:jc w:val="both"/>
        <w:ind w:left="520" w:hanging="515"/>
        <w:spacing w:after="0" w:line="270" w:lineRule="auto"/>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act as the PRC counsel to WeRide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 company incorporated under the laws of the Cayman Islands and listed on Nasdaq Stock Market, in connection with the Company’s registration statement on Form F-3, including all amendments or supplements thereto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filed by the Company with the U.S.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under the U.S. Securities Act of 1933, as amended.</w:t>
      </w:r>
    </w:p>
    <w:p>
      <w:pPr>
        <w:spacing w:after="0" w:line="136" w:lineRule="exact"/>
        <w:rPr>
          <w:rFonts w:ascii="Times New Roman" w:cs="Times New Roman" w:eastAsia="Times New Roman" w:hAnsi="Times New Roman"/>
          <w:sz w:val="14"/>
          <w:szCs w:val="14"/>
          <w:color w:val="auto"/>
        </w:rPr>
      </w:pPr>
    </w:p>
    <w:p>
      <w:pPr>
        <w:jc w:val="both"/>
        <w:ind w:left="520" w:hanging="515"/>
        <w:spacing w:after="0" w:line="270" w:lineRule="auto"/>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so acting, we have examined the Registration Statement, the originals or copies certified or otherwise identified to our satisfaction, of documents provided to us by the Company and such other documents, corporate records, certificates, approvals and other instruments as we have deemed necessary for the purpose of rendering this Opinion, including, without limitation, originals or copies of the agreements and certificates issued by Governmental Authorities and officers of the Company (the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examining the Documents and for the purpose of giving this Opinion, we have assumed without further inquiry:</w:t>
      </w:r>
    </w:p>
    <w:p>
      <w:pPr>
        <w:spacing w:after="0" w:line="178" w:lineRule="exact"/>
        <w:rPr>
          <w:rFonts w:ascii="Times New Roman" w:cs="Times New Roman" w:eastAsia="Times New Roman" w:hAnsi="Times New Roman"/>
          <w:sz w:val="14"/>
          <w:szCs w:val="14"/>
          <w:color w:val="auto"/>
        </w:rPr>
      </w:pPr>
    </w:p>
    <w:p>
      <w:pPr>
        <w:ind w:left="1020" w:hanging="329"/>
        <w:spacing w:after="0" w:line="287" w:lineRule="auto"/>
        <w:tabs>
          <w:tab w:leader="none" w:pos="102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genuineness of all the signatures, seals and chops, the authenticity of the Documents submitted to us as original and the conformity with authentic original documents submitted to us as copies and the authenticity of such originals;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type w:val="continuous"/>
        </w:sectPr>
      </w:pPr>
    </w:p>
    <w:bookmarkStart w:id="199" w:name="page200"/>
    <w:bookmarkEnd w:id="199"/>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493395</wp:posOffset>
            </wp:positionV>
            <wp:extent cx="1261110" cy="3238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1261110" cy="323850"/>
                    </a:xfrm>
                    <a:prstGeom prst="rect">
                      <a:avLst/>
                    </a:prstGeom>
                    <a:noFill/>
                  </pic:spPr>
                </pic:pic>
              </a:graphicData>
            </a:graphic>
          </wp:anchor>
        </w:drawing>
      </w:r>
    </w:p>
    <w:p>
      <w:pPr>
        <w:ind w:left="1020" w:hanging="333"/>
        <w:spacing w:after="0"/>
        <w:tabs>
          <w:tab w:leader="none" w:pos="10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truthfulness, accuracy and completeness of the Documents, as well as the factual statements contained in the Documents;</w:t>
      </w:r>
    </w:p>
    <w:p>
      <w:pPr>
        <w:spacing w:after="0" w:line="178" w:lineRule="exact"/>
        <w:rPr>
          <w:rFonts w:ascii="Times New Roman" w:cs="Times New Roman" w:eastAsia="Times New Roman" w:hAnsi="Times New Roman"/>
          <w:sz w:val="14"/>
          <w:szCs w:val="14"/>
          <w:color w:val="auto"/>
        </w:rPr>
      </w:pPr>
    </w:p>
    <w:p>
      <w:pPr>
        <w:ind w:left="1020" w:hanging="329"/>
        <w:spacing w:after="0" w:line="287" w:lineRule="auto"/>
        <w:tabs>
          <w:tab w:leader="none" w:pos="10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Documents provided to us remain in full force and effect up to the date of this Opinion and that none of the Documents has been revoked, amended, varied or supplemented except as otherwise indicated in such documents;</w:t>
      </w:r>
    </w:p>
    <w:p>
      <w:pPr>
        <w:spacing w:after="0" w:line="124" w:lineRule="exact"/>
        <w:rPr>
          <w:rFonts w:ascii="Times New Roman" w:cs="Times New Roman" w:eastAsia="Times New Roman" w:hAnsi="Times New Roman"/>
          <w:sz w:val="14"/>
          <w:szCs w:val="14"/>
          <w:color w:val="auto"/>
        </w:rPr>
      </w:pPr>
    </w:p>
    <w:p>
      <w:pPr>
        <w:ind w:left="1020" w:hanging="333"/>
        <w:spacing w:after="0" w:line="287" w:lineRule="auto"/>
        <w:tabs>
          <w:tab w:leader="none" w:pos="10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information provided to us by the Company in response to our inquiries for the purpose of this Opinion is true, accurate, complete and not misleading, and that the Company has not withheld anything that, if disclosed to us, would reasonably cause us to alter this Opinion in whole or in part;</w:t>
      </w:r>
    </w:p>
    <w:p>
      <w:pPr>
        <w:spacing w:after="0" w:line="124" w:lineRule="exact"/>
        <w:rPr>
          <w:rFonts w:ascii="Times New Roman" w:cs="Times New Roman" w:eastAsia="Times New Roman" w:hAnsi="Times New Roman"/>
          <w:sz w:val="14"/>
          <w:szCs w:val="14"/>
          <w:color w:val="auto"/>
        </w:rPr>
      </w:pPr>
    </w:p>
    <w:p>
      <w:pPr>
        <w:ind w:left="1020" w:hanging="329"/>
        <w:spacing w:after="0"/>
        <w:tabs>
          <w:tab w:leader="none" w:pos="10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Governmental Authorizations and other official statement or documentation are obtained by lawful means in due course;</w:t>
      </w:r>
    </w:p>
    <w:p>
      <w:pPr>
        <w:spacing w:after="0" w:line="179" w:lineRule="exact"/>
        <w:rPr>
          <w:sz w:val="20"/>
          <w:szCs w:val="20"/>
          <w:color w:val="auto"/>
        </w:rPr>
      </w:pPr>
    </w:p>
    <w:p>
      <w:pPr>
        <w:ind w:left="1020" w:hanging="321"/>
        <w:spacing w:after="0"/>
        <w:tabs>
          <w:tab w:leader="none" w:pos="10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each of the parties is duly organized and is validly existing in good standing under the laws of its jurisdiction of organization and/or incorporation (as the case may be);</w:t>
      </w:r>
    </w:p>
    <w:p>
      <w:pPr>
        <w:spacing w:after="0" w:line="179" w:lineRule="exact"/>
        <w:rPr>
          <w:sz w:val="20"/>
          <w:szCs w:val="20"/>
          <w:color w:val="auto"/>
        </w:rPr>
      </w:pPr>
    </w:p>
    <w:p>
      <w:pPr>
        <w:ind w:left="1020" w:hanging="333"/>
        <w:spacing w:after="0" w:line="287" w:lineRule="auto"/>
        <w:tabs>
          <w:tab w:leader="none" w:pos="10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all parties have the requisite power and authority to enter into, execute, deliver and perform all the Documents to which they are parties and have duly executed, delivered, performed, and will duly perform their obligations under all the Documents to which they are parties; and</w:t>
      </w:r>
    </w:p>
    <w:p>
      <w:pPr>
        <w:spacing w:after="0" w:line="124" w:lineRule="exact"/>
        <w:rPr>
          <w:rFonts w:ascii="Times New Roman" w:cs="Times New Roman" w:eastAsia="Times New Roman" w:hAnsi="Times New Roman"/>
          <w:sz w:val="14"/>
          <w:szCs w:val="14"/>
          <w:color w:val="auto"/>
        </w:rPr>
      </w:pPr>
    </w:p>
    <w:p>
      <w:pPr>
        <w:ind w:left="1020" w:hanging="333"/>
        <w:spacing w:after="0"/>
        <w:tabs>
          <w:tab w:leader="none" w:pos="10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submitted to us are legal, valid, binding and enforceable under all such laws as govern or relate to them other than PRC Laws.</w:t>
      </w:r>
    </w:p>
    <w:p>
      <w:pPr>
        <w:spacing w:after="0" w:line="179" w:lineRule="exact"/>
        <w:rPr>
          <w:sz w:val="20"/>
          <w:szCs w:val="20"/>
          <w:color w:val="auto"/>
        </w:rPr>
      </w:pPr>
    </w:p>
    <w:p>
      <w:pPr>
        <w:ind w:left="520"/>
        <w:spacing w:after="0" w:line="287" w:lineRule="auto"/>
        <w:rPr>
          <w:sz w:val="20"/>
          <w:szCs w:val="20"/>
          <w:color w:val="auto"/>
        </w:rPr>
      </w:pPr>
      <w:r>
        <w:rPr>
          <w:rFonts w:ascii="Times New Roman" w:cs="Times New Roman" w:eastAsia="Times New Roman" w:hAnsi="Times New Roman"/>
          <w:sz w:val="14"/>
          <w:szCs w:val="14"/>
          <w:color w:val="auto"/>
        </w:rPr>
        <w:t>For the purpose of rendering this Opinion, where important facts were not independently established to us, we have relied upon certificates issued by Governmental Authorities and representatives of the shareholders of the Company with proper authority and upon representations, made in or pursuant to the Documents.</w:t>
      </w:r>
    </w:p>
    <w:p>
      <w:pPr>
        <w:spacing w:after="0" w:line="125" w:lineRule="exact"/>
        <w:rPr>
          <w:sz w:val="20"/>
          <w:szCs w:val="20"/>
          <w:color w:val="auto"/>
        </w:rPr>
      </w:pPr>
    </w:p>
    <w:p>
      <w:pPr>
        <w:ind w:left="520" w:hanging="515"/>
        <w:spacing w:after="0"/>
        <w:tabs>
          <w:tab w:leader="none" w:pos="5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terms as used in this Opinion are defined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“Governmental Authority”</w:t>
            </w:r>
          </w:p>
        </w:tc>
        <w:tc>
          <w:tcPr>
            <w:tcW w:w="7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means any competent government authorities, courts, arbitration commissions, or regulatory bodies of the PRC. “Governmental</w:t>
            </w:r>
          </w:p>
        </w:tc>
      </w:tr>
      <w:tr>
        <w:trPr>
          <w:trHeight w:val="150"/>
        </w:trPr>
        <w:tc>
          <w:tcPr>
            <w:tcW w:w="5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160" w:type="dxa"/>
            <w:vAlign w:val="bottom"/>
            <w:gridSpan w:val="3"/>
          </w:tcPr>
          <w:p>
            <w:pPr>
              <w:spacing w:after="0" w:line="150" w:lineRule="exact"/>
              <w:rPr>
                <w:sz w:val="20"/>
                <w:szCs w:val="20"/>
                <w:color w:val="auto"/>
              </w:rPr>
            </w:pPr>
            <w:r>
              <w:rPr>
                <w:rFonts w:ascii="Times New Roman" w:cs="Times New Roman" w:eastAsia="Times New Roman" w:hAnsi="Times New Roman"/>
                <w:sz w:val="14"/>
                <w:szCs w:val="14"/>
                <w:color w:val="auto"/>
              </w:rPr>
              <w:t>Authorities” shall be construed accordingly.</w:t>
            </w:r>
          </w:p>
        </w:tc>
        <w:tc>
          <w:tcPr>
            <w:tcW w:w="800" w:type="dxa"/>
            <w:vAlign w:val="bottom"/>
            <w:tcBorders>
              <w:top w:val="single" w:sz="8" w:color="auto"/>
            </w:tcBorders>
            <w:gridSpan w:val="2"/>
          </w:tcPr>
          <w:p>
            <w:pPr>
              <w:spacing w:after="0"/>
              <w:rPr>
                <w:sz w:val="13"/>
                <w:szCs w:val="13"/>
                <w:color w:val="auto"/>
              </w:rPr>
            </w:pPr>
          </w:p>
        </w:tc>
      </w:tr>
      <w:tr>
        <w:trPr>
          <w:trHeight w:val="20"/>
        </w:trPr>
        <w:tc>
          <w:tcPr>
            <w:tcW w:w="1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20"/>
        </w:trPr>
        <w:tc>
          <w:tcPr>
            <w:tcW w:w="332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“Governmental Authorization”</w:t>
            </w:r>
          </w:p>
        </w:tc>
        <w:tc>
          <w:tcPr>
            <w:tcW w:w="7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means any approval, consent, permit, authorization, filing, registration, exemption, waiver, endorsement, annual inspection, qualification</w:t>
            </w:r>
          </w:p>
        </w:tc>
      </w:tr>
      <w:tr>
        <w:trPr>
          <w:trHeight w:val="150"/>
        </w:trPr>
        <w:tc>
          <w:tcPr>
            <w:tcW w:w="5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7960" w:type="dxa"/>
            <w:vAlign w:val="bottom"/>
            <w:gridSpan w:val="5"/>
          </w:tcPr>
          <w:p>
            <w:pPr>
              <w:spacing w:after="0" w:line="150" w:lineRule="exact"/>
              <w:rPr>
                <w:sz w:val="20"/>
                <w:szCs w:val="20"/>
                <w:color w:val="auto"/>
              </w:rPr>
            </w:pPr>
            <w:r>
              <w:rPr>
                <w:rFonts w:ascii="Times New Roman" w:cs="Times New Roman" w:eastAsia="Times New Roman" w:hAnsi="Times New Roman"/>
                <w:sz w:val="14"/>
                <w:szCs w:val="14"/>
                <w:color w:val="auto"/>
              </w:rPr>
              <w:t>and license required by the applicable PRC Laws to be obtained from any Governmental Authority. “Governmental Authorizations” shall be</w:t>
            </w:r>
          </w:p>
        </w:tc>
      </w:tr>
      <w:tr>
        <w:trPr>
          <w:trHeight w:val="181"/>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construed accordingly.</w:t>
            </w:r>
          </w:p>
        </w:tc>
        <w:tc>
          <w:tcPr>
            <w:tcW w:w="1680" w:type="dxa"/>
            <w:vAlign w:val="bottom"/>
            <w:tcBorders>
              <w:top w:val="single" w:sz="8" w:color="auto"/>
            </w:tcBorders>
            <w:gridSpan w:val="2"/>
          </w:tcPr>
          <w:p>
            <w:pPr>
              <w:spacing w:after="0"/>
              <w:rPr>
                <w:sz w:val="15"/>
                <w:szCs w:val="15"/>
                <w:color w:val="auto"/>
              </w:rPr>
            </w:pPr>
          </w:p>
        </w:tc>
        <w:tc>
          <w:tcPr>
            <w:tcW w:w="540" w:type="dxa"/>
            <w:vAlign w:val="bottom"/>
          </w:tcPr>
          <w:p>
            <w:pPr>
              <w:spacing w:after="0"/>
              <w:rPr>
                <w:sz w:val="15"/>
                <w:szCs w:val="15"/>
                <w:color w:val="auto"/>
              </w:rPr>
            </w:pPr>
          </w:p>
        </w:tc>
      </w:tr>
      <w:tr>
        <w:trPr>
          <w:trHeight w:val="308"/>
        </w:trPr>
        <w:tc>
          <w:tcPr>
            <w:tcW w:w="332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“PRC Laws”</w:t>
            </w:r>
          </w:p>
        </w:tc>
        <w:tc>
          <w:tcPr>
            <w:tcW w:w="7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means any and all officially published laws, regulations, statutes, rules, decrees, notices, and supreme court’s judicial interpretations</w:t>
            </w:r>
          </w:p>
        </w:tc>
      </w:tr>
      <w:tr>
        <w:trPr>
          <w:trHeight w:val="181"/>
        </w:trPr>
        <w:tc>
          <w:tcPr>
            <w:tcW w:w="5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currently in force and publicly available in the PRC as of the date hereof.</w:t>
            </w:r>
          </w:p>
        </w:tc>
      </w:tr>
      <w:tr>
        <w:trPr>
          <w:trHeight w:val="510"/>
        </w:trPr>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2"/>
          </w:tcPr>
          <w:p>
            <w:pPr>
              <w:ind w:left="2280"/>
              <w:spacing w:after="0"/>
              <w:rPr>
                <w:sz w:val="20"/>
                <w:szCs w:val="20"/>
                <w:color w:val="auto"/>
              </w:rPr>
            </w:pPr>
            <w:r>
              <w:rPr>
                <w:rFonts w:ascii="Times New Roman" w:cs="Times New Roman" w:eastAsia="Times New Roman" w:hAnsi="Times New Roman"/>
                <w:sz w:val="14"/>
                <w:szCs w:val="14"/>
                <w:color w:val="auto"/>
              </w:rPr>
              <w:t>2</w:t>
            </w: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440" w:right="319" w:bottom="1440" w:gutter="0" w:footer="0" w:header="0"/>
        </w:sectPr>
      </w:pPr>
    </w:p>
    <w:bookmarkStart w:id="200" w:name="page201"/>
    <w:bookmarkEnd w:id="200"/>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480060</wp:posOffset>
            </wp:positionV>
            <wp:extent cx="1261110" cy="3238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1261110" cy="32385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4"/>
          <w:szCs w:val="14"/>
          <w:color w:val="auto"/>
        </w:rPr>
        <w:t>Capitalized terms used herein and not otherwise defined herein shall have the same meanings described in the Registration Statement.</w:t>
      </w:r>
    </w:p>
    <w:p>
      <w:pPr>
        <w:spacing w:after="0" w:line="179" w:lineRule="exact"/>
        <w:rPr>
          <w:sz w:val="20"/>
          <w:szCs w:val="20"/>
          <w:color w:val="auto"/>
        </w:rPr>
      </w:pPr>
    </w:p>
    <w:p>
      <w:pPr>
        <w:ind w:left="520" w:hanging="515"/>
        <w:spacing w:after="0"/>
        <w:tabs>
          <w:tab w:leader="none" w:pos="5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and subject to the foregoing and the disclosures contained in the Registration Statement and the qualifications set out below, we are of the opinion that:</w:t>
      </w:r>
    </w:p>
    <w:p>
      <w:pPr>
        <w:spacing w:after="0" w:line="178" w:lineRule="exact"/>
        <w:rPr>
          <w:rFonts w:ascii="Times New Roman" w:cs="Times New Roman" w:eastAsia="Times New Roman" w:hAnsi="Times New Roman"/>
          <w:sz w:val="14"/>
          <w:szCs w:val="14"/>
          <w:color w:val="auto"/>
        </w:rPr>
      </w:pPr>
    </w:p>
    <w:p>
      <w:pPr>
        <w:ind w:left="1020" w:hanging="505"/>
        <w:spacing w:after="0" w:line="287" w:lineRule="auto"/>
        <w:tabs>
          <w:tab w:leader="none" w:pos="102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our best knowledge after due and reasonable inquiries, the statements set forth under the captions “Permissions Required from the PRC Authorities for Our Operations” in the Registration Statement (other than any factual data or description contained therein) insofar as they constitute statements of PRC Laws, are accurate in all material respects.</w:t>
      </w:r>
    </w:p>
    <w:p>
      <w:pPr>
        <w:spacing w:after="0" w:line="124"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is subject to the following qualifications:</w:t>
      </w:r>
    </w:p>
    <w:p>
      <w:pPr>
        <w:spacing w:after="0" w:line="179" w:lineRule="exact"/>
        <w:rPr>
          <w:sz w:val="20"/>
          <w:szCs w:val="20"/>
          <w:color w:val="auto"/>
        </w:rPr>
      </w:pPr>
    </w:p>
    <w:p>
      <w:pPr>
        <w:ind w:left="1020" w:hanging="505"/>
        <w:spacing w:after="0" w:line="287" w:lineRule="auto"/>
        <w:tabs>
          <w:tab w:leader="none" w:pos="10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relates only to the PRC Laws and we express no opinion as to any other laws and regulations. There is no guarantee that any of the PRC Laws, or the interpretation thereof or enforcement therefor, will not be changed, amended or replaced in the immediate future or the longer term with or without retrospective effect.</w:t>
      </w:r>
    </w:p>
    <w:p>
      <w:pPr>
        <w:spacing w:after="0" w:line="124" w:lineRule="exact"/>
        <w:rPr>
          <w:rFonts w:ascii="Times New Roman" w:cs="Times New Roman" w:eastAsia="Times New Roman" w:hAnsi="Times New Roman"/>
          <w:sz w:val="14"/>
          <w:szCs w:val="14"/>
          <w:color w:val="auto"/>
        </w:rPr>
      </w:pPr>
    </w:p>
    <w:p>
      <w:pPr>
        <w:ind w:left="1020" w:hanging="505"/>
        <w:spacing w:after="0"/>
        <w:tabs>
          <w:tab w:leader="none" w:pos="10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not verified, and express no opinion on, the truthfulness, accuracy and completeness of all factual statements expressly made in the Documents.</w:t>
      </w:r>
    </w:p>
    <w:p>
      <w:pPr>
        <w:spacing w:after="0" w:line="178" w:lineRule="exact"/>
        <w:rPr>
          <w:rFonts w:ascii="Times New Roman" w:cs="Times New Roman" w:eastAsia="Times New Roman" w:hAnsi="Times New Roman"/>
          <w:sz w:val="14"/>
          <w:szCs w:val="14"/>
          <w:color w:val="auto"/>
        </w:rPr>
      </w:pPr>
    </w:p>
    <w:p>
      <w:pPr>
        <w:ind w:left="1020" w:hanging="505"/>
        <w:spacing w:after="0" w:line="287" w:lineRule="auto"/>
        <w:tabs>
          <w:tab w:leader="none" w:pos="10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is intended to be used in the context which is specifically referred to herein and each section should be looked on as a whole regarding the same subject matter and no part shall be extracted for interpretation separately from this Opinion.</w:t>
      </w:r>
    </w:p>
    <w:p>
      <w:pPr>
        <w:spacing w:after="0" w:line="124" w:lineRule="exact"/>
        <w:rPr>
          <w:rFonts w:ascii="Times New Roman" w:cs="Times New Roman" w:eastAsia="Times New Roman" w:hAnsi="Times New Roman"/>
          <w:sz w:val="14"/>
          <w:szCs w:val="14"/>
          <w:color w:val="auto"/>
        </w:rPr>
      </w:pPr>
    </w:p>
    <w:p>
      <w:pPr>
        <w:jc w:val="both"/>
        <w:ind w:left="1020" w:hanging="505"/>
        <w:spacing w:after="0" w:line="260" w:lineRule="auto"/>
        <w:tabs>
          <w:tab w:leader="none" w:pos="10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is subject to the effects of (i) certain legal or statutory principles affecting the enforceability of contractual rights generally under the concepts of public interest, national security, good faith and fair dealing, applicable statutes of limitation, and the limitations by bankruptcy, insolvency, reorganization or similar laws affecting the enforcement of creditor’s rights generally; (ii) any circumstance in connection with formulation, execution or performance of any legal documents that would be deemed materially mistaken, clearly unconscionable or fraudulent; (iii) judicial discretion with respect to the availability of injunctive relief, the calculation of damages, and the entitlement of attorneys’ fees and other costs; and (iv) the discretion of any competent PRC legislative, administrative or judicial bodies in exercising their authority in connection with the interpretation, implementation and application of relevant PRC Laws.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01" w:name="page202"/>
    <w:bookmarkEnd w:id="201"/>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480060</wp:posOffset>
            </wp:positionV>
            <wp:extent cx="1261110" cy="3238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clrChange>
                        <a:clrFrom>
                          <a:srgbClr val="FFFFFF"/>
                        </a:clrFrom>
                        <a:clrTo>
                          <a:srgbClr val="FFFFFF">
                            <a:alpha val="0"/>
                          </a:srgbClr>
                        </a:clrTo>
                      </a:clrChange>
                      <a:extLst>
                        <a:ext uri="{28A0092B-C50C-407E-A947-70E740481C1C}"/>
                      </a:extLst>
                    </a:blip>
                    <a:srcRect/>
                    <a:stretch>
                      <a:fillRect/>
                    </a:stretch>
                  </pic:blipFill>
                  <pic:spPr bwMode="auto">
                    <a:xfrm>
                      <a:off x="0" y="0"/>
                      <a:ext cx="1261110" cy="323850"/>
                    </a:xfrm>
                    <a:prstGeom prst="rect">
                      <a:avLst/>
                    </a:prstGeom>
                    <a:noFill/>
                  </pic:spPr>
                </pic:pic>
              </a:graphicData>
            </a:graphic>
          </wp:anchor>
        </w:drawing>
      </w:r>
    </w:p>
    <w:p>
      <w:pPr>
        <w:jc w:val="both"/>
        <w:spacing w:after="0" w:line="287" w:lineRule="auto"/>
        <w:rPr>
          <w:sz w:val="20"/>
          <w:szCs w:val="20"/>
          <w:color w:val="auto"/>
        </w:rPr>
      </w:pPr>
      <w:r>
        <w:rPr>
          <w:rFonts w:ascii="Times New Roman" w:cs="Times New Roman" w:eastAsia="Times New Roman" w:hAnsi="Times New Roman"/>
          <w:sz w:val="14"/>
          <w:szCs w:val="14"/>
          <w:color w:val="auto"/>
        </w:rPr>
        <w:t>This Opinion is rendered to you for the purpose hereof only, and save as provided herein, this Opinion shall not be quoted nor shall a copy be given to any person (apart from the addressee) without our express prior written consent except where such disclosure is required to be made by applicable law or is requested by the SEC or any other regulatory agencies.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hereby consent to the use of this Opinion in, and the filing hereof as an exhibit to, the Registration Statement, and to the reference of our name under captions “Prospectus Summary,” “Enforceability of Civil Liabilities,” and “Legal Matters” in the Registration Statement. In giving such consent, we do not thereby admit that we fall within the category of the person whose consent is required under Section 7 of the U.S. Securities Act of 1933, as amended, or the regulations promulgated thereunder.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remainder of this page is intentionally left blank]</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color w:val="auto"/>
        </w:rPr>
        <w:t>[Signature Page]</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Yours sincerely,</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 Commerce &amp; Finance Law Offices</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Commerce &amp; Finance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161530"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203" w:name="page204"/>
    <w:bookmarkEnd w:id="203"/>
    <w:p>
      <w:pPr>
        <w:spacing w:after="0" w:line="4" w:lineRule="exact"/>
        <w:rPr>
          <w:sz w:val="20"/>
          <w:szCs w:val="20"/>
          <w:color w:val="auto"/>
        </w:rPr>
      </w:pPr>
    </w:p>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F-3</w:t>
      </w:r>
    </w:p>
    <w:p>
      <w:pPr>
        <w:spacing w:after="0" w:line="103"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WeRide Inc.</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560" w:type="dxa"/>
            <w:vAlign w:val="bottom"/>
            <w:tcBorders>
              <w:bottom w:val="single" w:sz="8" w:color="auto"/>
            </w:tcBorders>
            <w:gridSpan w:val="12"/>
          </w:tcPr>
          <w:p>
            <w:pPr>
              <w:ind w:left="40"/>
              <w:spacing w:after="0"/>
              <w:rPr>
                <w:sz w:val="20"/>
                <w:szCs w:val="20"/>
                <w:color w:val="auto"/>
              </w:rPr>
            </w:pPr>
            <w:r>
              <w:rPr>
                <w:rFonts w:ascii="Arial" w:cs="Arial" w:eastAsia="Arial" w:hAnsi="Arial"/>
                <w:sz w:val="17"/>
                <w:szCs w:val="17"/>
                <w:b w:val="1"/>
                <w:bCs w:val="1"/>
                <w:color w:val="auto"/>
                <w:w w:val="98"/>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right w:val="single" w:sz="8" w:color="9ADAF6"/>
            </w:tcBorders>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ind w:left="140"/>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20" w:type="dxa"/>
            <w:vAlign w:val="bottom"/>
            <w:tcBorders>
              <w:right w:val="single" w:sz="8" w:color="9ADAF6"/>
            </w:tcBorders>
            <w:shd w:val="clear" w:color="auto" w:fill="9ADAF6"/>
          </w:tcPr>
          <w:p>
            <w:pPr>
              <w:jc w:val="right"/>
              <w:ind w:right="55"/>
              <w:spacing w:after="0" w:line="191"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shd w:val="clear" w:color="auto" w:fill="9ADAF6"/>
          </w:tcPr>
          <w:p>
            <w:pPr>
              <w:ind w:left="40"/>
              <w:spacing w:after="0" w:line="191"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20" w:type="dxa"/>
            <w:vAlign w:val="bottom"/>
            <w:tcBorders>
              <w:right w:val="single" w:sz="8" w:color="9ADAF6"/>
            </w:tcBorders>
            <w:shd w:val="clear" w:color="auto" w:fill="9ADAF6"/>
          </w:tcPr>
          <w:p>
            <w:pPr>
              <w:jc w:val="right"/>
              <w:spacing w:after="0" w:line="191"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2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2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right w:val="single" w:sz="8" w:color="9ADAF6"/>
            </w:tcBorders>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560" w:type="dxa"/>
            <w:vAlign w:val="bottom"/>
            <w:gridSpan w:val="6"/>
          </w:tcPr>
          <w:p>
            <w:pPr>
              <w:jc w:val="center"/>
              <w:ind w:right="215"/>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Shares, par</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line="191"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Borders>
              <w:right w:val="single" w:sz="8" w:color="E7E7E2"/>
            </w:tcBorders>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$0.00001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Class B</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Shares, par</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line="191"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Borders>
              <w:right w:val="single" w:sz="8" w:color="E7E7E2"/>
            </w:tcBorders>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$0.00001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Shares, 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1"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94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91"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2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91"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$0.00001</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Borders>
              <w:right w:val="single" w:sz="8" w:color="E7E7E2"/>
            </w:tcBorders>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w w:val="99"/>
              </w:rPr>
              <w:t>represented</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line="191"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by</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Borders>
              <w:right w:val="single" w:sz="8" w:color="E7E7E2"/>
            </w:tcBorders>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American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Depositary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Shares</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4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40" w:type="dxa"/>
            <w:vAlign w:val="bottom"/>
            <w:gridSpan w:val="5"/>
          </w:tcPr>
          <w:p>
            <w:pPr>
              <w:jc w:val="center"/>
              <w:ind w:right="235"/>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$ 63,069.41</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ind w:left="220" w:right="140"/>
        <w:spacing w:after="0" w:line="239" w:lineRule="auto"/>
        <w:rPr>
          <w:sz w:val="20"/>
          <w:szCs w:val="20"/>
          <w:color w:val="auto"/>
        </w:rPr>
      </w:pPr>
      <w:r>
        <w:rPr>
          <w:rFonts w:ascii="Arial" w:cs="Arial" w:eastAsia="Arial" w:hAnsi="Arial"/>
          <w:sz w:val="17"/>
          <w:szCs w:val="17"/>
          <w:color w:val="auto"/>
        </w:rPr>
        <w:t>An indeterminate number or amount, as the case may be, of ordinary shares and preferred shares, as may be represented by American Depositary Shares, debt securities, warrants and units are being registered hereunder as may from time to time be issued at indeterminate prices. The securities being registered hereunder may be convertible into or exchangeable or exercisable for other securities of any identified class and may be sold separately or in combination with the other securities registered hereunder. In addition to the securities that may be issued directly under this Registration Statement, there is being registered hereunder such indeterminate aggregate number or amount, as the case may be, of the securities of each identified class as may from time to time be issued upon the conversion, exchange, settlement or exercise of other securities offered hereby. Includes securities initially offered and sold outside the United States that may be resold from time to time in the United States either as part of their distribution or within 40 days after the later of the effective date of this registration statement and the date when the securities are first bona fide offered to the public. These securities are not being registered for the purposes of sales outside of the United States.</w:t>
      </w:r>
    </w:p>
    <w:p>
      <w:pPr>
        <w:spacing w:after="0" w:line="160" w:lineRule="exact"/>
        <w:rPr>
          <w:sz w:val="20"/>
          <w:szCs w:val="20"/>
          <w:color w:val="auto"/>
        </w:rPr>
      </w:pPr>
    </w:p>
    <w:p>
      <w:pPr>
        <w:ind w:left="220" w:right="420"/>
        <w:spacing w:after="0" w:line="252" w:lineRule="auto"/>
        <w:rPr>
          <w:sz w:val="20"/>
          <w:szCs w:val="20"/>
          <w:color w:val="auto"/>
        </w:rPr>
      </w:pPr>
      <w:r>
        <w:rPr>
          <w:rFonts w:ascii="Arial" w:cs="Arial" w:eastAsia="Arial" w:hAnsi="Arial"/>
          <w:sz w:val="17"/>
          <w:szCs w:val="17"/>
          <w:color w:val="auto"/>
        </w:rPr>
        <w:t>Pursuant to Rule 416 under the Securities Act, the securities being registered hereunder include such indeterminate number of ordinary shares and preferred share as may be issuable with respect to the securities being registered hereunder as a result of stock splits, stock dividends or similar transactions.</w:t>
      </w:r>
    </w:p>
    <w:p>
      <w:pPr>
        <w:spacing w:after="0" w:line="149" w:lineRule="exact"/>
        <w:rPr>
          <w:sz w:val="20"/>
          <w:szCs w:val="20"/>
          <w:color w:val="auto"/>
        </w:rPr>
      </w:pPr>
    </w:p>
    <w:p>
      <w:pPr>
        <w:ind w:left="220" w:right="280"/>
        <w:spacing w:after="0" w:line="252" w:lineRule="auto"/>
        <w:rPr>
          <w:sz w:val="20"/>
          <w:szCs w:val="20"/>
          <w:color w:val="auto"/>
        </w:rPr>
      </w:pPr>
      <w:r>
        <w:rPr>
          <w:rFonts w:ascii="Arial" w:cs="Arial" w:eastAsia="Arial" w:hAnsi="Arial"/>
          <w:sz w:val="17"/>
          <w:szCs w:val="17"/>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upon the conversion or exercise of, or in exchange for, other securities</w:t>
      </w:r>
    </w:p>
    <w:p>
      <w:pPr>
        <w:sectPr>
          <w:pgSz w:w="11900" w:h="16843" w:orient="portrait"/>
          <w:cols w:equalWidth="0" w:num="1">
            <w:col w:w="11360"/>
          </w:cols>
          <w:pgMar w:left="300" w:top="142" w:right="239" w:bottom="0" w:gutter="0" w:footer="0" w:header="0"/>
        </w:sectPr>
      </w:pPr>
    </w:p>
    <w:bookmarkStart w:id="204" w:name="page205"/>
    <w:bookmarkEnd w:id="204"/>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offered hereby.</w:t>
      </w:r>
    </w:p>
    <w:p>
      <w:pPr>
        <w:spacing w:after="0" w:line="188" w:lineRule="exact"/>
        <w:rPr>
          <w:sz w:val="20"/>
          <w:szCs w:val="20"/>
          <w:color w:val="auto"/>
        </w:rPr>
      </w:pPr>
    </w:p>
    <w:p>
      <w:pPr>
        <w:ind w:left="220" w:right="200"/>
        <w:spacing w:after="0" w:line="246" w:lineRule="auto"/>
        <w:rPr>
          <w:sz w:val="20"/>
          <w:szCs w:val="20"/>
          <w:color w:val="auto"/>
        </w:rPr>
      </w:pPr>
      <w:r>
        <w:rPr>
          <w:rFonts w:ascii="Arial" w:cs="Arial" w:eastAsia="Arial" w:hAnsi="Arial"/>
          <w:sz w:val="17"/>
          <w:szCs w:val="17"/>
          <w:color w:val="auto"/>
        </w:rPr>
        <w:t>The registrant is relying on Rule 456(b) and Rule 457(r) under the Securities Act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300990</wp:posOffset>
            </wp:positionV>
            <wp:extent cx="7146290"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146290"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1"/>
          <w:szCs w:val="11"/>
          <w:color w:val="auto"/>
        </w:rPr>
        <w:t>3</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146290"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1"/>
          <w:szCs w:val="11"/>
          <w:color w:val="auto"/>
        </w:rPr>
        <w:t>4</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187" w:lineRule="exact"/>
        <w:rPr>
          <w:sz w:val="20"/>
          <w:szCs w:val="20"/>
          <w:color w:val="auto"/>
        </w:rPr>
      </w:pPr>
    </w:p>
    <w:p>
      <w:pPr>
        <w:ind w:left="220" w:right="320"/>
        <w:spacing w:after="0" w:line="301" w:lineRule="auto"/>
        <w:rPr>
          <w:sz w:val="20"/>
          <w:szCs w:val="20"/>
          <w:color w:val="auto"/>
        </w:rPr>
      </w:pPr>
      <w:r>
        <w:rPr>
          <w:rFonts w:ascii="Arial" w:cs="Arial" w:eastAsia="Arial" w:hAnsi="Arial"/>
          <w:sz w:val="16"/>
          <w:szCs w:val="16"/>
          <w:color w:val="auto"/>
        </w:rPr>
        <w:t>American Depositary Shares evidenced by American Depositary Receipts issuable on deposit of the Class A ordinary shares registered hereby have been registered pursuant to a separate Registration Statement on Form F-6 (File No. 333-281421),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31115</wp:posOffset>
            </wp:positionV>
            <wp:extent cx="7146290"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1"/>
          <w:szCs w:val="11"/>
          <w:color w:val="auto"/>
        </w:rPr>
        <w:t>5</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146290"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1"/>
          <w:szCs w:val="11"/>
          <w:color w:val="auto"/>
        </w:rPr>
        <w:t>6</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146290"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1"/>
          <w:szCs w:val="11"/>
          <w:color w:val="auto"/>
        </w:rPr>
        <w:t>7</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146290"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6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ind w:left="70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right w:val="single" w:sz="8" w:color="9ADAF6"/>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 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w:t>
            </w:r>
          </w:p>
        </w:tc>
        <w:tc>
          <w:tcPr>
            <w:tcW w:w="20" w:type="dxa"/>
            <w:vAlign w:val="bottom"/>
          </w:tcPr>
          <w:p>
            <w:pPr>
              <w:spacing w:after="0"/>
              <w:rPr>
                <w:sz w:val="8"/>
                <w:szCs w:val="8"/>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880" w:type="dxa"/>
            <w:vAlign w:val="bottom"/>
            <w:tcBorders>
              <w:right w:val="single" w:sz="8" w:color="9ADAF6"/>
            </w:tcBorders>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right w:val="single" w:sz="8" w:color="9ADAF6"/>
            </w:tcBorders>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8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shd w:val="clear" w:color="auto" w:fill="9ADAF6"/>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Filer Name</w:t>
            </w:r>
          </w:p>
        </w:tc>
        <w:tc>
          <w:tcPr>
            <w:tcW w:w="20" w:type="dxa"/>
            <w:vAlign w:val="bottom"/>
          </w:tcPr>
          <w:p>
            <w:pPr>
              <w:spacing w:after="0"/>
              <w:rPr>
                <w:sz w:val="15"/>
                <w:szCs w:val="15"/>
                <w:color w:val="auto"/>
              </w:rPr>
            </w:pPr>
          </w:p>
        </w:tc>
        <w:tc>
          <w:tcPr>
            <w:tcW w:w="54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5"/>
                <w:szCs w:val="15"/>
                <w:color w:val="auto"/>
              </w:rPr>
            </w:pPr>
          </w:p>
        </w:tc>
        <w:tc>
          <w:tcPr>
            <w:tcW w:w="880" w:type="dxa"/>
            <w:vAlign w:val="bottom"/>
            <w:tcBorders>
              <w:right w:val="single" w:sz="8" w:color="9ADAF6"/>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5"/>
                <w:szCs w:val="15"/>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5"/>
                <w:szCs w:val="15"/>
                <w:color w:val="auto"/>
              </w:rPr>
            </w:pPr>
          </w:p>
        </w:tc>
        <w:tc>
          <w:tcPr>
            <w:tcW w:w="92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5"/>
                <w:szCs w:val="15"/>
                <w:color w:val="auto"/>
              </w:rPr>
            </w:pPr>
          </w:p>
        </w:tc>
        <w:tc>
          <w:tcPr>
            <w:tcW w:w="94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5"/>
                <w:szCs w:val="15"/>
                <w:color w:val="auto"/>
              </w:rPr>
            </w:pPr>
          </w:p>
        </w:tc>
        <w:tc>
          <w:tcPr>
            <w:tcW w:w="120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w w:val="97"/>
              </w:rPr>
              <w:t>Offset</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right w:val="single" w:sz="8" w:color="9ADAF6"/>
            </w:tcBorders>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94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98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1"/>
                <w:szCs w:val="11"/>
                <w:color w:val="auto"/>
              </w:rPr>
            </w:pPr>
          </w:p>
        </w:tc>
        <w:tc>
          <w:tcPr>
            <w:tcW w:w="120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1"/>
                <w:szCs w:val="11"/>
                <w:color w:val="auto"/>
              </w:rPr>
            </w:pPr>
          </w:p>
        </w:tc>
        <w:tc>
          <w:tcPr>
            <w:tcW w:w="78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0" w:type="dxa"/>
            <w:vAlign w:val="bottom"/>
            <w:tcBorders>
              <w:left w:val="single" w:sz="8" w:color="auto"/>
            </w:tcBorders>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Borders>
              <w:right w:val="single" w:sz="8" w:color="9ADAF6"/>
            </w:tcBorders>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vMerge w:val="continue"/>
            <w:shd w:val="clear" w:color="auto" w:fill="9ADAF6"/>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60" w:type="dxa"/>
            <w:vAlign w:val="bottom"/>
            <w:gridSpan w:val="6"/>
          </w:tcPr>
          <w:p>
            <w:pPr>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Fee</w:t>
            </w: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Offset</w:t>
            </w: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w:t>
            </w: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Offset</w:t>
            </w: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w:t>
            </w: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jc w:val="center"/>
              <w:spacing w:after="0" w:line="191" w:lineRule="exact"/>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8"/>
                <w:szCs w:val="8"/>
                <w:color w:val="auto"/>
              </w:rPr>
            </w:pPr>
          </w:p>
        </w:tc>
        <w:tc>
          <w:tcPr>
            <w:tcW w:w="8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line="191"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Shares, par</w:t>
            </w: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restart"/>
            <w:shd w:val="clear" w:color="auto" w:fill="E7E7E2"/>
          </w:tcPr>
          <w:p>
            <w:pPr>
              <w:jc w:val="right"/>
              <w:spacing w:after="0" w:line="191"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Offset</w:t>
            </w:r>
          </w:p>
        </w:tc>
        <w:tc>
          <w:tcPr>
            <w:tcW w:w="20" w:type="dxa"/>
            <w:vAlign w:val="bottom"/>
          </w:tcPr>
          <w:p>
            <w:pPr>
              <w:spacing w:after="0"/>
              <w:rPr>
                <w:sz w:val="8"/>
                <w:szCs w:val="8"/>
                <w:color w:val="auto"/>
              </w:rPr>
            </w:pPr>
          </w:p>
        </w:tc>
        <w:tc>
          <w:tcPr>
            <w:tcW w:w="380" w:type="dxa"/>
            <w:vAlign w:val="bottom"/>
            <w:vMerge w:val="restart"/>
            <w:shd w:val="clear" w:color="auto" w:fill="E7E7E2"/>
          </w:tcPr>
          <w:p>
            <w:pPr>
              <w:jc w:val="right"/>
              <w:ind w:right="55"/>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8"/>
                <w:szCs w:val="8"/>
                <w:color w:val="auto"/>
              </w:rPr>
            </w:pPr>
          </w:p>
        </w:tc>
        <w:tc>
          <w:tcPr>
            <w:tcW w:w="11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WeRide Inc.</w:t>
            </w:r>
          </w:p>
        </w:tc>
        <w:tc>
          <w:tcPr>
            <w:tcW w:w="20" w:type="dxa"/>
            <w:vAlign w:val="bottom"/>
          </w:tcPr>
          <w:p>
            <w:pPr>
              <w:spacing w:after="0"/>
              <w:rPr>
                <w:sz w:val="8"/>
                <w:szCs w:val="8"/>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F-1</w:t>
            </w: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10/27/2025</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101,487,500</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jc w:val="center"/>
              <w:spacing w:after="0" w:line="170" w:lineRule="exact"/>
              <w:rPr>
                <w:sz w:val="20"/>
                <w:szCs w:val="20"/>
                <w:color w:val="auto"/>
              </w:rPr>
            </w:pPr>
            <w:r>
              <w:rPr>
                <w:rFonts w:ascii="Arial" w:cs="Arial" w:eastAsia="Arial" w:hAnsi="Arial"/>
                <w:sz w:val="17"/>
                <w:szCs w:val="17"/>
                <w:color w:val="auto"/>
                <w:w w:val="95"/>
              </w:rPr>
              <w:t>291103</w:t>
            </w:r>
          </w:p>
        </w:tc>
        <w:tc>
          <w:tcPr>
            <w:tcW w:w="20" w:type="dxa"/>
            <w:vAlign w:val="bottom"/>
          </w:tcPr>
          <w:p>
            <w:pPr>
              <w:spacing w:after="0"/>
              <w:rPr>
                <w:sz w:val="14"/>
                <w:szCs w:val="14"/>
                <w:color w:val="auto"/>
              </w:rPr>
            </w:pPr>
          </w:p>
        </w:tc>
        <w:tc>
          <w:tcPr>
            <w:tcW w:w="880" w:type="dxa"/>
            <w:vAlign w:val="bottom"/>
            <w:tcBorders>
              <w:right w:val="single" w:sz="8" w:color="E7E7E2"/>
            </w:tcBorders>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rPr>
              <w:t>63,069.41</w:t>
            </w: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E7E7E2"/>
          </w:tcPr>
          <w:p>
            <w:pPr>
              <w:ind w:left="20"/>
              <w:spacing w:after="0" w:line="170"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456,693,750.00</w:t>
            </w: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Claims</w:t>
            </w: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$0.00001</w:t>
            </w: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E7E7E2"/>
            </w:tcBorders>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w:t>
            </w: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5"/>
                <w:szCs w:val="15"/>
                <w:color w:val="auto"/>
              </w:rPr>
            </w:pPr>
          </w:p>
        </w:tc>
        <w:tc>
          <w:tcPr>
            <w:tcW w:w="8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line="191" w:lineRule="exact"/>
              <w:rPr>
                <w:sz w:val="20"/>
                <w:szCs w:val="20"/>
                <w:color w:val="auto"/>
              </w:rPr>
            </w:pPr>
            <w:r>
              <w:rPr>
                <w:rFonts w:ascii="Arial" w:cs="Arial" w:eastAsia="Arial" w:hAnsi="Arial"/>
                <w:sz w:val="17"/>
                <w:szCs w:val="17"/>
                <w:color w:val="auto"/>
              </w:rPr>
              <w:t>Offset</w:t>
            </w:r>
          </w:p>
        </w:tc>
        <w:tc>
          <w:tcPr>
            <w:tcW w:w="20" w:type="dxa"/>
            <w:vAlign w:val="bottom"/>
          </w:tcPr>
          <w:p>
            <w:pPr>
              <w:spacing w:after="0"/>
              <w:rPr>
                <w:sz w:val="8"/>
                <w:szCs w:val="8"/>
                <w:color w:val="auto"/>
              </w:rPr>
            </w:pPr>
          </w:p>
        </w:tc>
        <w:tc>
          <w:tcPr>
            <w:tcW w:w="380" w:type="dxa"/>
            <w:vAlign w:val="bottom"/>
            <w:vMerge w:val="restart"/>
            <w:shd w:val="clear" w:color="auto" w:fill="E7E7E2"/>
          </w:tcPr>
          <w:p>
            <w:pPr>
              <w:jc w:val="right"/>
              <w:ind w:right="55"/>
              <w:spacing w:after="0" w:line="191"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8"/>
                <w:szCs w:val="8"/>
                <w:color w:val="auto"/>
              </w:rPr>
            </w:pPr>
          </w:p>
        </w:tc>
        <w:tc>
          <w:tcPr>
            <w:tcW w:w="1160" w:type="dxa"/>
            <w:vAlign w:val="bottom"/>
            <w:vMerge w:val="restart"/>
            <w:shd w:val="clear" w:color="auto" w:fill="E7E7E2"/>
          </w:tcPr>
          <w:p>
            <w:pPr>
              <w:spacing w:after="0" w:line="191" w:lineRule="exact"/>
              <w:rPr>
                <w:sz w:val="20"/>
                <w:szCs w:val="20"/>
                <w:color w:val="auto"/>
              </w:rPr>
            </w:pPr>
            <w:r>
              <w:rPr>
                <w:rFonts w:ascii="Arial" w:cs="Arial" w:eastAsia="Arial" w:hAnsi="Arial"/>
                <w:sz w:val="17"/>
                <w:szCs w:val="17"/>
                <w:color w:val="auto"/>
              </w:rPr>
              <w:t>WeRide Inc.</w:t>
            </w:r>
          </w:p>
        </w:tc>
        <w:tc>
          <w:tcPr>
            <w:tcW w:w="20" w:type="dxa"/>
            <w:vAlign w:val="bottom"/>
          </w:tcPr>
          <w:p>
            <w:pPr>
              <w:spacing w:after="0"/>
              <w:rPr>
                <w:sz w:val="8"/>
                <w:szCs w:val="8"/>
                <w:color w:val="auto"/>
              </w:rPr>
            </w:pPr>
          </w:p>
        </w:tc>
        <w:tc>
          <w:tcPr>
            <w:tcW w:w="540" w:type="dxa"/>
            <w:vAlign w:val="bottom"/>
            <w:vMerge w:val="restart"/>
            <w:shd w:val="clear" w:color="auto" w:fill="E7E7E2"/>
          </w:tcPr>
          <w:p>
            <w:pPr>
              <w:jc w:val="center"/>
              <w:spacing w:after="0" w:line="191" w:lineRule="exact"/>
              <w:rPr>
                <w:sz w:val="20"/>
                <w:szCs w:val="20"/>
                <w:color w:val="auto"/>
              </w:rPr>
            </w:pPr>
            <w:r>
              <w:rPr>
                <w:rFonts w:ascii="Arial" w:cs="Arial" w:eastAsia="Arial" w:hAnsi="Arial"/>
                <w:sz w:val="17"/>
                <w:szCs w:val="17"/>
                <w:color w:val="auto"/>
              </w:rPr>
              <w:t>F-1</w:t>
            </w: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E7E7E2"/>
          </w:tcPr>
          <w:p>
            <w:pPr>
              <w:jc w:val="center"/>
              <w:spacing w:after="0" w:line="191" w:lineRule="exact"/>
              <w:rPr>
                <w:sz w:val="20"/>
                <w:szCs w:val="20"/>
                <w:color w:val="auto"/>
              </w:rPr>
            </w:pPr>
            <w:r>
              <w:rPr>
                <w:rFonts w:ascii="Arial" w:cs="Arial" w:eastAsia="Arial" w:hAnsi="Arial"/>
                <w:sz w:val="17"/>
                <w:szCs w:val="17"/>
                <w:color w:val="auto"/>
                <w:w w:val="98"/>
              </w:rPr>
              <w:t>10/27/2025</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5"/>
              </w:rPr>
              <w:t>291103</w:t>
            </w:r>
          </w:p>
        </w:tc>
        <w:tc>
          <w:tcPr>
            <w:tcW w:w="20" w:type="dxa"/>
            <w:vAlign w:val="bottom"/>
          </w:tcPr>
          <w:p>
            <w:pPr>
              <w:spacing w:after="0"/>
              <w:rPr>
                <w:sz w:val="8"/>
                <w:szCs w:val="8"/>
                <w:color w:val="auto"/>
              </w:rPr>
            </w:pPr>
          </w:p>
        </w:tc>
        <w:tc>
          <w:tcPr>
            <w:tcW w:w="8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63,069.41</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3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Rule 457(p) Statement of Withdrawal, Termination, or Completion:</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ind w:left="220" w:right="180"/>
        <w:spacing w:after="0" w:line="258" w:lineRule="auto"/>
        <w:rPr>
          <w:sz w:val="20"/>
          <w:szCs w:val="20"/>
          <w:color w:val="auto"/>
        </w:rPr>
      </w:pPr>
      <w:r>
        <w:rPr>
          <w:rFonts w:ascii="Arial" w:cs="Arial" w:eastAsia="Arial" w:hAnsi="Arial"/>
          <w:sz w:val="16"/>
          <w:szCs w:val="16"/>
          <w:color w:val="auto"/>
        </w:rPr>
        <w:t>The registrant previously filed a registration statement on Form F-1 (Registration No. 333-291103) with the Securities and Exchange Commission on October 27, 2025 (the "Prior Registration Statement"), which registered the issuance and sale of up to 101,487,500 Class A ordinary shares (the "Offering Shares") for a proposed maximum aggregate offering price of $456,693,750.00. A fee of $63,069.41 was previously paid in connection with the registration of the Offering Shares, none of which was sold under the Prior Registration Statement. Pursuant to Rule 457(p), $63,069.41 of the registration fees paid in connection with unsold securities registered under the Prior Registration Statements (the offering of which unsold securities has been terminated) can be applied to registration fees under subsequent registration statements. Pursuant to Rule 457(p), $63,069.41 of the registration fees paid in connection with the Prior Registration Statements remain available for future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52070</wp:posOffset>
            </wp:positionV>
            <wp:extent cx="7146290"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Offset Note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146290"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8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70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ind w:left="220"/>
              <w:spacing w:after="0"/>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17"/>
                <w:szCs w:val="17"/>
                <w:color w:val="auto"/>
              </w:rPr>
            </w:pPr>
          </w:p>
        </w:tc>
        <w:tc>
          <w:tcPr>
            <w:tcW w:w="2800" w:type="dxa"/>
            <w:vAlign w:val="bottom"/>
            <w:shd w:val="clear" w:color="auto" w:fill="9ADAF6"/>
          </w:tcPr>
          <w:p>
            <w:pPr>
              <w:ind w:left="620"/>
              <w:spacing w:after="0"/>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17"/>
                <w:szCs w:val="17"/>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7"/>
                <w:szCs w:val="17"/>
                <w:color w:val="auto"/>
              </w:rPr>
            </w:pPr>
          </w:p>
        </w:tc>
        <w:tc>
          <w:tcPr>
            <w:tcW w:w="680" w:type="dxa"/>
            <w:vAlign w:val="bottom"/>
            <w:shd w:val="clear" w:color="auto" w:fill="9ADAF6"/>
          </w:tcPr>
          <w:p>
            <w:pPr>
              <w:ind w:left="120"/>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7"/>
                <w:szCs w:val="17"/>
                <w:color w:val="auto"/>
              </w:rPr>
            </w:pPr>
          </w:p>
        </w:tc>
        <w:tc>
          <w:tcPr>
            <w:tcW w:w="1100" w:type="dxa"/>
            <w:vAlign w:val="bottom"/>
            <w:shd w:val="clear" w:color="auto" w:fill="9ADAF6"/>
          </w:tcPr>
          <w:p>
            <w:pPr>
              <w:ind w:left="60"/>
              <w:spacing w:after="0"/>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80"/>
              <w:spacing w:after="0" w:line="191"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Effective</w:t>
            </w:r>
          </w:p>
        </w:tc>
      </w:tr>
      <w:tr>
        <w:trPr>
          <w:trHeight w:val="216"/>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r>
    </w:tbl>
    <w:p>
      <w:pPr>
        <w:sectPr>
          <w:pgSz w:w="11900" w:h="16900" w:orient="portrait"/>
          <w:cols w:equalWidth="0" w:num="1">
            <w:col w:w="11280"/>
          </w:cols>
          <w:pgMar w:left="300" w:top="118" w:right="319" w:bottom="0" w:gutter="0" w:footer="0" w:header="0"/>
        </w:sectPr>
      </w:pPr>
    </w:p>
    <w:bookmarkStart w:id="205" w:name="page206"/>
    <w:bookmarkEnd w:id="20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shd w:val="clear" w:color="auto" w:fill="9ADAF6"/>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280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240" w:type="dxa"/>
            <w:vAlign w:val="bottom"/>
            <w:shd w:val="clear" w:color="auto" w:fill="E7E7E2"/>
          </w:tcPr>
          <w:p>
            <w:pPr>
              <w:spacing w:after="0"/>
              <w:rPr>
                <w:sz w:val="18"/>
                <w:szCs w:val="18"/>
                <w:color w:val="auto"/>
              </w:rPr>
            </w:pPr>
          </w:p>
        </w:tc>
        <w:tc>
          <w:tcPr>
            <w:tcW w:w="3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2020" w:type="dxa"/>
            <w:vAlign w:val="bottom"/>
            <w:shd w:val="clear" w:color="auto" w:fill="E7E7E2"/>
          </w:tcPr>
          <w:p>
            <w:pPr>
              <w:ind w:left="172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680" w:type="dxa"/>
            <w:vAlign w:val="bottom"/>
            <w:shd w:val="clear" w:color="auto" w:fill="E7E7E2"/>
          </w:tcPr>
          <w:p>
            <w:pPr>
              <w:ind w:left="20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1100" w:type="dxa"/>
            <w:vAlign w:val="bottom"/>
            <w:shd w:val="clear" w:color="auto" w:fill="E7E7E2"/>
          </w:tcPr>
          <w:p>
            <w:pPr>
              <w:ind w:left="40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ind w:left="3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1)"/>
      <w:numFmt w:val="decimal"/>
      <w:start w:val="1"/>
    </w:lvl>
  </w:abstractNum>
  <w:abstractNum w:abstractNumId="8">
    <w:nsid w:val="38437FDB"/>
    <w:multiLevelType w:val="hybridMultilevel"/>
    <w:lvl w:ilvl="0">
      <w:lvlJc w:val="left"/>
      <w:lvlText w:val="(%1)"/>
      <w:numFmt w:val="decimal"/>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1)"/>
      <w:numFmt w:val="lowerRoman"/>
      <w:start w:val="3"/>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1)"/>
      <w:numFmt w:val="lowerLetter"/>
      <w:start w:val="1"/>
    </w:lvl>
  </w:abstractNum>
  <w:abstractNum w:abstractNumId="19">
    <w:nsid w:val="70C6A529"/>
    <w:multiLevelType w:val="hybridMultilevel"/>
    <w:lvl w:ilvl="0">
      <w:lvlJc w:val="left"/>
      <w:lvlText w:val="(%1)"/>
      <w:numFmt w:val="lowerRoman"/>
      <w:start w:val="1"/>
    </w:lvl>
  </w:abstractNum>
  <w:abstractNum w:abstractNumId="20">
    <w:nsid w:val="520EEDD1"/>
    <w:multiLevelType w:val="hybridMultilevel"/>
    <w:lvl w:ilvl="0">
      <w:lvlJc w:val="left"/>
      <w:lvlText w:val="(%1)"/>
      <w:numFmt w:val="lowerRoman"/>
      <w:start w:val="1"/>
    </w:lvl>
  </w:abstractNum>
  <w:abstractNum w:abstractNumId="21">
    <w:nsid w:val="374A3FE6"/>
    <w:multiLevelType w:val="hybridMultilevel"/>
    <w:lvl w:ilvl="0">
      <w:lvlJc w:val="left"/>
      <w:lvlText w:val="(%1)"/>
      <w:numFmt w:val="lowerRoman"/>
      <w:start w:val="3"/>
    </w:lvl>
  </w:abstractNum>
  <w:abstractNum w:abstractNumId="22">
    <w:nsid w:val="4F4EF005"/>
    <w:multiLevelType w:val="hybridMultilevel"/>
    <w:lvl w:ilvl="0">
      <w:lvlJc w:val="left"/>
      <w:lvlText w:val="(%1)"/>
      <w:numFmt w:val="upperLetter"/>
      <w:start w:val="2"/>
    </w:lvl>
  </w:abstractNum>
  <w:abstractNum w:abstractNumId="23">
    <w:nsid w:val="23F9C13C"/>
    <w:multiLevelType w:val="hybridMultilevel"/>
    <w:lvl w:ilvl="0">
      <w:lvlJc w:val="left"/>
      <w:lvlText w:val="(%1)"/>
      <w:numFmt w:val="lowerRoman"/>
      <w:start w:val="1"/>
    </w:lvl>
  </w:abstractNum>
  <w:abstractNum w:abstractNumId="24">
    <w:nsid w:val="649BB77C"/>
    <w:multiLevelType w:val="hybridMultilevel"/>
    <w:lvl w:ilvl="0">
      <w:lvlJc w:val="left"/>
      <w:lvlText w:val="(%1)"/>
      <w:numFmt w:val="lowerRoman"/>
      <w:start w:val="4"/>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lvl w:ilvl="1">
      <w:lvlJc w:val="left"/>
      <w:lvlText w:val="(%2)"/>
      <w:numFmt w:val="decimal"/>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1)"/>
      <w:numFmt w:val="lowerLetter"/>
      <w:start w:val="2"/>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1)"/>
      <w:numFmt w:val="lowerRoman"/>
      <w:start w:val="2"/>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9">
    <w:nsid w:val="1EBA5D23"/>
    <w:multiLevelType w:val="hybridMultilevel"/>
    <w:lvl w:ilvl="0">
      <w:lvlJc w:val="left"/>
      <w:lvlText w:val="(%1)"/>
      <w:numFmt w:val="lowerRoman"/>
      <w:start w:val="3"/>
    </w:lvl>
  </w:abstractNum>
  <w:abstractNum w:abstractNumId="60">
    <w:nsid w:val="661E3F1E"/>
    <w:multiLevelType w:val="hybridMultilevel"/>
    <w:lvl w:ilvl="0">
      <w:lvlJc w:val="left"/>
      <w:lvlText w:val="(%1)"/>
      <w:numFmt w:val="decimal"/>
      <w:start w:val="2"/>
    </w:lvl>
    <w:lvl w:ilvl="1">
      <w:lvlJc w:val="left"/>
      <w:lvlText w:val="(%2)"/>
      <w:numFmt w:val="lowerRoman"/>
      <w:start w:val="1"/>
    </w:lvl>
  </w:abstractNum>
  <w:abstractNum w:abstractNumId="61">
    <w:nsid w:val="5DC79EA8"/>
    <w:multiLevelType w:val="hybridMultilevel"/>
    <w:lvl w:ilvl="0">
      <w:lvlJc w:val="left"/>
      <w:lvlText w:val="%1"/>
      <w:numFmt w:val="upperLetter"/>
      <w:start w:val="1"/>
    </w:lvl>
    <w:lvl w:ilvl="1">
      <w:lvlJc w:val="left"/>
      <w:lvlText w:val="(%2)"/>
      <w:numFmt w:val="decimal"/>
      <w:start w:val="6"/>
    </w:lvl>
    <w:lvl w:ilvl="2">
      <w:lvlJc w:val="left"/>
      <w:lvlText w:val="(%3)"/>
      <w:numFmt w:val="lowerRoman"/>
      <w:start w:val="1"/>
    </w:lvl>
  </w:abstractNum>
  <w:abstractNum w:abstractNumId="62">
    <w:nsid w:val="540A471C"/>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1)"/>
      <w:numFmt w:val="lowerLetter"/>
      <w:start w:val="7"/>
    </w:lvl>
  </w:abstractNum>
  <w:abstractNum w:abstractNumId="66">
    <w:nsid w:val="BF72B14"/>
    <w:multiLevelType w:val="hybridMultilevel"/>
    <w:lvl w:ilvl="0">
      <w:lvlJc w:val="left"/>
      <w:lvlText w:val="(%1)"/>
      <w:numFmt w:val="decimal"/>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1"/>
      <w:numFmt w:val="bullet"/>
      <w:start w:val="1"/>
    </w:lvl>
  </w:abstractNum>
  <w:abstractNum w:abstractNumId="72">
    <w:nsid w:val="3B0FD379"/>
    <w:multiLevelType w:val="hybridMultilevel"/>
    <w:lvl w:ilvl="0">
      <w:lvlJc w:val="left"/>
      <w:lvlText w:val="2"/>
      <w:numFmt w:val="bullet"/>
      <w:start w:val="1"/>
    </w:lvl>
  </w:abstractNum>
  <w:abstractNum w:abstractNumId="73">
    <w:nsid w:val="68EB2F63"/>
    <w:multiLevelType w:val="hybridMultilevel"/>
    <w:lvl w:ilvl="0">
      <w:lvlJc w:val="left"/>
      <w:lvlText w:val="3"/>
      <w:numFmt w:val="bullet"/>
      <w:start w:val="1"/>
    </w:lvl>
  </w:abstractNum>
  <w:abstractNum w:abstractNumId="74">
    <w:nsid w:val="4962813B"/>
    <w:multiLevelType w:val="hybridMultilevel"/>
    <w:lvl w:ilvl="0">
      <w:lvlJc w:val="left"/>
      <w:lvlText w:val="(%1)"/>
      <w:numFmt w:val="lowerRoman"/>
      <w:start w:val="1"/>
    </w:lvl>
  </w:abstractNum>
  <w:abstractNum w:abstractNumId="75">
    <w:nsid w:val="60B6DF70"/>
    <w:multiLevelType w:val="hybridMultilevel"/>
    <w:lvl w:ilvl="0">
      <w:lvlJc w:val="left"/>
      <w:lvlText w:val="1"/>
      <w:numFmt w:val="bullet"/>
      <w:start w:val="1"/>
    </w:lvl>
  </w:abstractNum>
  <w:abstractNum w:abstractNumId="76">
    <w:nsid w:val="6A5EE64"/>
    <w:multiLevelType w:val="hybridMultilevel"/>
    <w:lvl w:ilvl="0">
      <w:lvlJc w:val="left"/>
      <w:lvlText w:val="%1:"/>
      <w:numFmt w:val="upperLetter"/>
      <w:start w:val="20"/>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1)"/>
      <w:numFmt w:val="lowerRoman"/>
      <w:start w:val="3"/>
    </w:lvl>
  </w:abstractNum>
  <w:abstractNum w:abstractNumId="79">
    <w:nsid w:val="1A27709E"/>
    <w:multiLevelType w:val="hybridMultilevel"/>
    <w:lvl w:ilvl="0">
      <w:lvlJc w:val="left"/>
      <w:lvlText w:val="%1."/>
      <w:numFmt w:val="decimal"/>
      <w:start w:val="1"/>
    </w:lvl>
    <w:lvl w:ilvl="1">
      <w:lvlJc w:val="left"/>
      <w:lvlText w:val="(%2)"/>
      <w:numFmt w:val="lowerLetter"/>
      <w:start w:val="1"/>
    </w:lvl>
  </w:abstractNum>
  <w:abstractNum w:abstractNumId="80">
    <w:nsid w:val="71EA1109"/>
    <w:multiLevelType w:val="hybridMultilevel"/>
    <w:lvl w:ilvl="0">
      <w:lvlJc w:val="left"/>
      <w:lvlText w:val="(%1)"/>
      <w:numFmt w:val="lowerLetter"/>
      <w:start w:val="2"/>
    </w:lvl>
  </w:abstractNum>
  <w:abstractNum w:abstractNumId="81">
    <w:nsid w:val="100F59DC"/>
    <w:multiLevelType w:val="hybridMultilevel"/>
    <w:lvl w:ilvl="0">
      <w:lvlJc w:val="left"/>
      <w:lvlText w:val="(%1)"/>
      <w:numFmt w:val="lowerLetter"/>
      <w:start w:val="6"/>
    </w:lvl>
  </w:abstractNum>
  <w:abstractNum w:abstractNumId="82">
    <w:nsid w:val="7FB7E0AA"/>
    <w:multiLevelType w:val="hybridMultilevel"/>
    <w:lvl w:ilvl="0">
      <w:lvlJc w:val="left"/>
      <w:lvlText w:val="(%1)"/>
      <w:numFmt w:val="lowerLetter"/>
      <w:start w:val="7"/>
    </w:lvl>
  </w:abstractNum>
  <w:abstractNum w:abstractNumId="83">
    <w:nsid w:val="6EB5BD4"/>
    <w:multiLevelType w:val="hybridMultilevel"/>
    <w:lvl w:ilvl="0">
      <w:lvlJc w:val="left"/>
      <w:lvlText w:val="%1."/>
      <w:numFmt w:val="decimal"/>
      <w:start w:val="5"/>
    </w:lvl>
  </w:abstractNum>
  <w:abstractNum w:abstractNumId="84">
    <w:nsid w:val="6F6DD9AC"/>
    <w:multiLevelType w:val="hybridMultilevel"/>
    <w:lvl w:ilvl="0">
      <w:lvlJc w:val="left"/>
      <w:lvlText w:val="%1."/>
      <w:numFmt w:val="decimal"/>
      <w:start w:val="6"/>
    </w:lvl>
    <w:lvl w:ilvl="1">
      <w:lvlJc w:val="left"/>
      <w:lvlText w:val="(%2)"/>
      <w:numFmt w:val="decimal"/>
      <w:start w:val="1"/>
    </w:lvl>
  </w:abstractNum>
  <w:abstractNum w:abstractNumId="85">
    <w:nsid w:val="94211F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jpeg"/><Relationship Id="rId340" Type="http://schemas.openxmlformats.org/officeDocument/2006/relationships/image" Target="media/image326.png"/><Relationship Id="rId341" Type="http://schemas.openxmlformats.org/officeDocument/2006/relationships/image" Target="media/image327.jpe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jpeg"/><Relationship Id="rId346" Type="http://schemas.openxmlformats.org/officeDocument/2006/relationships/image" Target="media/image332.png"/><Relationship Id="rId347" Type="http://schemas.openxmlformats.org/officeDocument/2006/relationships/image" Target="media/image333.jpeg"/><Relationship Id="rId348" Type="http://schemas.openxmlformats.org/officeDocument/2006/relationships/image" Target="media/image334.png"/><Relationship Id="rId349" Type="http://schemas.openxmlformats.org/officeDocument/2006/relationships/image" Target="media/image335.jpeg"/><Relationship Id="rId350" Type="http://schemas.openxmlformats.org/officeDocument/2006/relationships/image" Target="media/image336.png"/><Relationship Id="rId351" Type="http://schemas.openxmlformats.org/officeDocument/2006/relationships/image" Target="media/image337.jpeg"/><Relationship Id="rId352" Type="http://schemas.openxmlformats.org/officeDocument/2006/relationships/image" Target="media/image338.png"/><Relationship Id="rId353" Type="http://schemas.openxmlformats.org/officeDocument/2006/relationships/image" Target="media/image339.jpe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jpe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jpeg"/><Relationship Id="rId362" Type="http://schemas.openxmlformats.org/officeDocument/2006/relationships/image" Target="media/image348.jpeg"/><Relationship Id="rId363" Type="http://schemas.openxmlformats.org/officeDocument/2006/relationships/image" Target="media/image349.png"/><Relationship Id="rId364" Type="http://schemas.openxmlformats.org/officeDocument/2006/relationships/image" Target="media/image350.jpe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97" Type="http://schemas.openxmlformats.org/officeDocument/2006/relationships/hyperlink" Target="https://www.sec.gov/Archives/edgar/data/1867729/000110465925105171/tm2529907-1_6k.htm" TargetMode="External"/><Relationship Id="rId131" Type="http://schemas.openxmlformats.org/officeDocument/2006/relationships/hyperlink" Target="http://www.sec.gov/ix?doc=/Archives/edgar/data/1867729/000119312525062519/d921190d20f.htm" TargetMode="External"/><Relationship Id="rId132" Type="http://schemas.openxmlformats.org/officeDocument/2006/relationships/hyperlink" Target="https://www.sec.gov/ix?doc=/Archives/edgar/data/1867729/000110465925101039/wrd-20251021x6k.htm" TargetMode="External"/><Relationship Id="rId133" Type="http://schemas.openxmlformats.org/officeDocument/2006/relationships/hyperlink" Target="https://www.sec.gov/Archives/edgar/data/1867729/000110465925104689/tm2529935d1_6k.htm" TargetMode="External"/><Relationship Id="rId134" Type="http://schemas.openxmlformats.org/officeDocument/2006/relationships/hyperlink" Target="http://www.sec.gov/Archives/edgar/data/1867729/000119312524197877/d884734d8a12b.htm" TargetMode="External"/><Relationship Id="rId140" Type="http://schemas.openxmlformats.org/officeDocument/2006/relationships/hyperlink" Target="https://www.sec.gov/Archives/edgar/data/1867729/000119312524186293/d343706dex32.htm" TargetMode="External"/><Relationship Id="rId141" Type="http://schemas.openxmlformats.org/officeDocument/2006/relationships/hyperlink" Target="https://www.sec.gov/Archives/edgar/data/1867729/000119312524186293/d34370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2025-11-03T06:36:46Z</dcterms:created>
  <dcterms:modified xsi:type="dcterms:W3CDTF">2025-11-03T06:36:46Z</dcterms:modified>
</cp:coreProperties>
</file>