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52026_040903.xml.htm"/>
      <w:bookmarkStart w:id="1" w:name="ksform409252026_04090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 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WERIDE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21ST FLOOR, TOWER A, NO. 51, LUOXUAN 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GUANGZHOU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WeRide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HKEX:0800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9"/>
        <w:gridCol w:w="902"/>
        <w:gridCol w:w="773"/>
        <w:gridCol w:w="599"/>
        <w:gridCol w:w="341"/>
        <w:gridCol w:w="1047"/>
        <w:gridCol w:w="434"/>
        <w:gridCol w:w="597"/>
        <w:gridCol w:w="1343"/>
        <w:gridCol w:w="972"/>
        <w:gridCol w:w="104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4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4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493,434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493,434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11,129,666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Humber Partners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  <w:tr>
        <w:trPr/>
        <w:tc>
          <w:tcPr>
            <w:tcW w:w="214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16,000,000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Yanli Holdings Limited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restricted share unit ("RSU") award. The RSUs will vest in full upon the achievement of certain revenue targets.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and Trident, as trustee of the Li Family Trust, collectively hold 100% of Humber Partners Limited. Humber Partners Limited and Trident collectively hold 100% of Yanli Holdings Limited. The Reporting Person is the the protector of the the Li Family Trust and the sole director of Yanli Holdings Limited.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Ava Liang Wang,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6557" TargetMode="External"/><Relationship Id="rId5" Type="http://schemas.openxmlformats.org/officeDocument/2006/relationships/hyperlink" Target="http://www.sec.gov/cgi-bin/browse-edgar?action=getcompany&amp;CIK=0001867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669</Words>
  <Characters>3610</Characters>
  <CharactersWithSpaces>4203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