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05.xml.htm"/>
      <w:bookmarkStart w:id="1" w:name="ksform409252026_040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Zhong 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WERIDE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21ST FLOOR, TOWER A, NO. 51, LUOXUAN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WeRide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HKEX:0800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02"/>
        <w:gridCol w:w="772"/>
        <w:gridCol w:w="599"/>
        <w:gridCol w:w="344"/>
        <w:gridCol w:w="1051"/>
        <w:gridCol w:w="443"/>
        <w:gridCol w:w="605"/>
        <w:gridCol w:w="1352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17,066,876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share unit ("RSU") award. The RSUs will vest in full upon the achievement of certain revenue targets.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Liang Wang,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906" TargetMode="External"/><Relationship Id="rId5" Type="http://schemas.openxmlformats.org/officeDocument/2006/relationships/hyperlink" Target="http://www.sec.gov/cgi-bin/browse-edgar?action=getcompany&amp;CIK=0001867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3226</Characters>
  <CharactersWithSpaces>3755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