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1088d1_6k.htm"/>
      <w:bookmarkStart w:id="1" w:name="kstm2621088d1_6k"/>
      <w:bookmarkEnd w:id="0"/>
      <w:bookmarkEnd w:id="1"/>
      <w:r>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July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001-42213</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48"/>
        </w:rPr>
      </w:pPr>
      <w:r>
        <w:rPr>
          <w:rFonts w:ascii="Times New Roman;Times;Serif" w:hAnsi="Times New Roman;Times;Serif"/>
          <w:b/>
          <w:i w:val="false"/>
          <w:caps w:val="false"/>
          <w:smallCaps w:val="false"/>
          <w:sz w:val="48"/>
        </w:rPr>
        <w:t>WeRide Inc.</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21st Floor, Tower A, Guanzhou Life Science Innovation Center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51, Luoxuan Road, Guangzhou International Biotech Island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Guangzhou 510005</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WeRide Inc. made an announcement dated July 22, 2026 with the Stock Exchange of Hong Kong Limited in relation to the date of board meeting. For details, please refer to the exhibits to this current report on 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4720" w:type="dxa"/>
        <w:jc w:val="left"/>
        <w:tblInd w:w="0" w:type="dxa"/>
        <w:tblLayout w:type="fixed"/>
        <w:tblCellMar>
          <w:top w:w="0" w:type="dxa"/>
          <w:left w:w="0" w:type="dxa"/>
          <w:bottom w:w="28" w:type="dxa"/>
          <w:right w:w="0" w:type="dxa"/>
        </w:tblCellMar>
      </w:tblPr>
      <w:tblGrid>
        <w:gridCol w:w="1325"/>
        <w:gridCol w:w="60"/>
        <w:gridCol w:w="3335"/>
      </w:tblGrid>
      <w:tr>
        <w:trPr/>
        <w:tc>
          <w:tcPr>
            <w:tcW w:w="1325" w:type="dxa"/>
            <w:tcBorders>
              <w:bottom w:val="single" w:sz="8" w:space="0" w:color="000000"/>
            </w:tcBorders>
            <w:vAlign w:val="center"/>
          </w:tcPr>
          <w:p>
            <w:pPr>
              <w:pStyle w:val="TableContents"/>
              <w:bidi w:val="0"/>
              <w:spacing w:before="0" w:after="283"/>
              <w:jc w:val="left"/>
              <w:rPr/>
            </w:pPr>
            <w:r>
              <w:rPr>
                <w:b/>
              </w:rPr>
              <w:t>Exhibit No.</w:t>
            </w:r>
            <w:r>
              <w:rPr/>
              <w:t xml:space="preserve">  </w:t>
            </w:r>
          </w:p>
        </w:tc>
        <w:tc>
          <w:tcPr>
            <w:tcW w:w="60" w:type="dxa"/>
            <w:tcBorders/>
            <w:tcMar>
              <w:bottom w:w="0" w:type="dxa"/>
            </w:tcMar>
            <w:vAlign w:val="center"/>
          </w:tcPr>
          <w:p>
            <w:pPr>
              <w:pStyle w:val="TableContents"/>
              <w:bidi w:val="0"/>
              <w:spacing w:before="0" w:after="283"/>
              <w:jc w:val="left"/>
              <w:rPr/>
            </w:pPr>
            <w:r>
              <w:rPr/>
              <w:t> </w:t>
            </w:r>
          </w:p>
        </w:tc>
        <w:tc>
          <w:tcPr>
            <w:tcW w:w="3335" w:type="dxa"/>
            <w:tcBorders>
              <w:bottom w:val="single" w:sz="8" w:space="0" w:color="000000"/>
            </w:tcBorders>
            <w:vAlign w:val="center"/>
          </w:tcPr>
          <w:p>
            <w:pPr>
              <w:pStyle w:val="TableContents"/>
              <w:bidi w:val="0"/>
              <w:spacing w:before="0" w:after="283"/>
              <w:jc w:val="left"/>
              <w:rPr/>
            </w:pPr>
            <w:r>
              <w:rPr>
                <w:b/>
              </w:rPr>
              <w:t>Description</w:t>
            </w:r>
            <w:r>
              <w:rPr/>
              <w:t xml:space="preserve">  </w:t>
            </w:r>
          </w:p>
        </w:tc>
      </w:tr>
      <w:tr>
        <w:trPr/>
        <w:tc>
          <w:tcPr>
            <w:tcW w:w="1325" w:type="dxa"/>
            <w:tcBorders/>
            <w:tcMar>
              <w:bottom w:w="0" w:type="dxa"/>
            </w:tcMar>
            <w:vAlign w:val="center"/>
          </w:tcPr>
          <w:p>
            <w:pPr>
              <w:pStyle w:val="TableContents"/>
              <w:bidi w:val="0"/>
              <w:spacing w:before="0" w:after="283"/>
              <w:jc w:val="left"/>
              <w:rPr/>
            </w:pPr>
            <w:hyperlink w:anchor="tm2621088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3335" w:type="dxa"/>
            <w:tcBorders/>
            <w:tcMar>
              <w:bottom w:w="0" w:type="dxa"/>
            </w:tcMar>
            <w:vAlign w:val="center"/>
          </w:tcPr>
          <w:p>
            <w:pPr>
              <w:pStyle w:val="TableContents"/>
              <w:bidi w:val="0"/>
              <w:spacing w:before="0" w:after="283"/>
              <w:jc w:val="left"/>
              <w:rPr/>
            </w:pPr>
            <w:hyperlink w:anchor="tm2621088d1_ex99-1.htm">
              <w:r>
                <w:rPr>
                  <w:rStyle w:val="InternetLink"/>
                  <w:rFonts w:ascii="Times New Roman;Times;Serif" w:hAnsi="Times New Roman;Times;Serif"/>
                  <w:sz w:val="20"/>
                </w:rPr>
                <w:t>Announcement – Date of Board Meeting</w:t>
              </w:r>
            </w:hyperlink>
          </w:p>
        </w:tc>
      </w:tr>
      <w:tr>
        <w:trPr/>
        <w:tc>
          <w:tcPr>
            <w:tcW w:w="13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335" w:type="dxa"/>
            <w:tcBorders/>
            <w:tcMar>
              <w:bottom w:w="0" w:type="dxa"/>
            </w:tcMar>
            <w:vAlign w:val="center"/>
          </w:tcPr>
          <w:p>
            <w:pPr>
              <w:pStyle w:val="TableContents"/>
              <w:bidi w:val="0"/>
              <w:spacing w:before="0" w:after="283"/>
              <w:jc w:val="left"/>
              <w:rPr/>
            </w:pPr>
            <w:r>
              <w:rPr/>
              <w:t> </w:t>
            </w:r>
          </w:p>
        </w:tc>
      </w:tr>
      <w:tr>
        <w:trPr/>
        <w:tc>
          <w:tcPr>
            <w:tcW w:w="1325" w:type="dxa"/>
            <w:tcBorders/>
            <w:tcMar>
              <w:bottom w:w="0" w:type="dxa"/>
            </w:tcMar>
            <w:vAlign w:val="center"/>
          </w:tcPr>
          <w:p>
            <w:pPr>
              <w:pStyle w:val="TableContents"/>
              <w:bidi w:val="0"/>
              <w:spacing w:before="0" w:after="283"/>
              <w:jc w:val="left"/>
              <w:rPr/>
            </w:pPr>
            <w:hyperlink w:anchor="tm2621088d1_ex99-2.htm">
              <w:r>
                <w:rPr>
                  <w:rStyle w:val="InternetLink"/>
                  <w:sz w:val="20"/>
                </w:rPr>
                <w:t>99.2</w:t>
              </w:r>
            </w:hyperlink>
          </w:p>
        </w:tc>
        <w:tc>
          <w:tcPr>
            <w:tcW w:w="60" w:type="dxa"/>
            <w:tcBorders/>
            <w:tcMar>
              <w:bottom w:w="0" w:type="dxa"/>
            </w:tcMar>
            <w:vAlign w:val="center"/>
          </w:tcPr>
          <w:p>
            <w:pPr>
              <w:pStyle w:val="TableContents"/>
              <w:bidi w:val="0"/>
              <w:spacing w:before="0" w:after="283"/>
              <w:jc w:val="left"/>
              <w:rPr/>
            </w:pPr>
            <w:r>
              <w:rPr/>
              <w:t> </w:t>
            </w:r>
          </w:p>
        </w:tc>
        <w:tc>
          <w:tcPr>
            <w:tcW w:w="3335" w:type="dxa"/>
            <w:tcBorders/>
            <w:tcMar>
              <w:bottom w:w="0" w:type="dxa"/>
            </w:tcMar>
            <w:vAlign w:val="center"/>
          </w:tcPr>
          <w:p>
            <w:pPr>
              <w:pStyle w:val="TableContents"/>
              <w:bidi w:val="0"/>
              <w:spacing w:before="0" w:after="283"/>
              <w:jc w:val="left"/>
              <w:rPr/>
            </w:pPr>
            <w:hyperlink w:anchor="tm2621088d1_ex99-2.htm">
              <w:r>
                <w:rPr>
                  <w:rStyle w:val="InternetLink"/>
                  <w:sz w:val="20"/>
                </w:rPr>
                <w:t>Press Release</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2515" w:type="dxa"/>
        <w:jc w:val="left"/>
        <w:tblInd w:w="0" w:type="dxa"/>
        <w:tblLayout w:type="fixed"/>
        <w:tblCellMar>
          <w:top w:w="0" w:type="dxa"/>
          <w:left w:w="0" w:type="dxa"/>
          <w:bottom w:w="0" w:type="dxa"/>
          <w:right w:w="0" w:type="dxa"/>
        </w:tblCellMar>
      </w:tblPr>
      <w:tblGrid>
        <w:gridCol w:w="75"/>
        <w:gridCol w:w="545"/>
        <w:gridCol w:w="1895"/>
      </w:tblGrid>
      <w:tr>
        <w:trPr/>
        <w:tc>
          <w:tcPr>
            <w:tcW w:w="75" w:type="dxa"/>
            <w:tcBorders/>
            <w:vAlign w:val="center"/>
          </w:tcPr>
          <w:p>
            <w:pPr>
              <w:pStyle w:val="TableContents"/>
              <w:bidi w:val="0"/>
              <w:spacing w:before="0" w:after="283"/>
              <w:jc w:val="left"/>
              <w:rPr/>
            </w:pPr>
            <w:r>
              <w:rPr/>
              <w:t> </w:t>
            </w:r>
          </w:p>
        </w:tc>
        <w:tc>
          <w:tcPr>
            <w:tcW w:w="244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WeRide Inc.</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8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Jennifer Li</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Jennifer Li</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22,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jc w:val="left"/>
        <w:rPr/>
      </w:pPr>
      <w:bookmarkStart w:id="2" w:name="tm2621088d1_ex99-1.htm"/>
      <w:bookmarkStart w:id="3" w:name="kstm2621088d1_ex991"/>
      <w:bookmarkEnd w:id="2"/>
      <w:bookmarkEnd w:id="3"/>
      <w:r>
        <w:rPr/>
        <w:t> </w:t>
      </w:r>
      <w:r>
        <w:br w:type="page"/>
      </w:r>
    </w:p>
    <w:p>
      <w:pPr>
        <w:pStyle w:val="TextBody"/>
        <w:bidi w:val="0"/>
        <w:jc w:val="right"/>
        <w:rPr>
          <w:b/>
          <w:sz w:val="20"/>
        </w:rPr>
      </w:pPr>
      <w:r>
        <w:rPr>
          <w:b/>
          <w:sz w:val="20"/>
        </w:rPr>
        <w:t>Exhibit 99.1</w:t>
      </w:r>
    </w:p>
    <w:p>
      <w:pPr>
        <w:pStyle w:val="TextBody"/>
        <w:bidi w:val="0"/>
        <w:spacing w:before="0" w:after="283"/>
        <w:jc w:val="left"/>
        <w:rPr/>
      </w:pPr>
      <w:r>
        <w:rPr/>
        <w:t> </w:t>
      </w:r>
    </w:p>
    <w:p>
      <w:pPr>
        <w:pStyle w:val="TextBody"/>
        <w:bidi w:val="0"/>
        <w:spacing w:before="0" w:after="0"/>
        <w:jc w:val="both"/>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pStyle w:val="TextBody"/>
        <w:bidi w:val="0"/>
        <w:spacing w:before="0" w:after="0"/>
        <w:ind w:left="121" w:right="154" w:hanging="1"/>
        <w:jc w:val="both"/>
        <w:rPr>
          <w:caps w:val="false"/>
          <w:smallCaps w:val="false"/>
          <w:color w:val="231F20"/>
        </w:rPr>
      </w:pPr>
      <w:r>
        <w:rPr>
          <w:caps w:val="false"/>
          <w:smallCaps w:val="false"/>
          <w:color w:val="231F20"/>
        </w:rPr>
        <w:t> </w:t>
      </w:r>
    </w:p>
    <w:p>
      <w:pPr>
        <w:pStyle w:val="TextBody"/>
        <w:bidi w:val="0"/>
        <w:spacing w:before="0" w:after="0"/>
        <w:jc w:val="center"/>
        <w:rPr>
          <w:caps w:val="false"/>
          <w:smallCaps w:val="false"/>
          <w:color w:val="231F20"/>
        </w:rPr>
      </w:pPr>
      <w:r>
        <w:rPr>
          <w:caps w:val="false"/>
          <w:smallCaps w:val="false"/>
          <w:color w:val="231F20"/>
        </w:rPr>
        <w:drawing>
          <wp:inline distT="0" distB="0" distL="0" distR="0">
            <wp:extent cx="2038350" cy="581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38350" cy="581025"/>
                    </a:xfrm>
                    <a:prstGeom prst="rect">
                      <a:avLst/>
                    </a:prstGeom>
                  </pic:spPr>
                </pic:pic>
              </a:graphicData>
            </a:graphic>
          </wp:inline>
        </w:drawing>
      </w:r>
      <w:r>
        <w:rPr>
          <w:caps w:val="false"/>
          <w:smallCaps w:val="false"/>
          <w:color w:val="231F20"/>
        </w:rPr>
        <w:t> </w:t>
      </w:r>
    </w:p>
    <w:p>
      <w:pPr>
        <w:pStyle w:val="TextBody"/>
        <w:bidi w:val="0"/>
        <w:spacing w:before="0" w:after="0"/>
        <w:ind w:left="100" w:right="92" w:hanging="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WeRide Inc.</w:t>
      </w:r>
    </w:p>
    <w:p>
      <w:pPr>
        <w:pStyle w:val="TextBody"/>
        <w:bidi w:val="0"/>
        <w:spacing w:before="0" w:after="0"/>
        <w:ind w:left="92" w:right="92" w:hanging="0"/>
        <w:jc w:val="center"/>
        <w:rPr>
          <w:caps w:val="false"/>
          <w:smallCaps w:val="false"/>
          <w:color w:val="231F20"/>
        </w:rPr>
      </w:pPr>
      <w:r>
        <w:rPr>
          <w:rFonts w:eastAsia="Times New Roman;Times;Serif"/>
          <w:b/>
          <w:i w:val="false"/>
          <w:caps w:val="false"/>
          <w:smallCaps w:val="false"/>
          <w:color w:val="231F20"/>
          <w:sz w:val="20"/>
        </w:rPr>
        <w:t xml:space="preserve">文 遠 知 行 </w:t>
      </w:r>
      <w:r>
        <w:rPr>
          <w:rFonts w:ascii="Times New Roman;Times;Serif" w:hAnsi="Times New Roman;Times;Serif"/>
          <w:b/>
          <w:i w:val="false"/>
          <w:caps w:val="false"/>
          <w:smallCaps w:val="false"/>
          <w:color w:val="231F20"/>
          <w:sz w:val="20"/>
        </w:rPr>
        <w:t>*</w:t>
      </w:r>
    </w:p>
    <w:p>
      <w:pPr>
        <w:pStyle w:val="TextBody"/>
        <w:bidi w:val="0"/>
        <w:spacing w:before="0" w:after="0"/>
        <w:ind w:left="59" w:right="92" w:hanging="0"/>
        <w:jc w:val="center"/>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(A company controlled through weighted voting rights and incorporated in the Cayman Islands with limited liability)</w:t>
      </w:r>
    </w:p>
    <w:p>
      <w:pPr>
        <w:pStyle w:val="TextBody"/>
        <w:bidi w:val="0"/>
        <w:spacing w:before="0" w:after="0"/>
        <w:ind w:left="6" w:right="0" w:hanging="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(Stock Code: 0800)</w:t>
      </w:r>
    </w:p>
    <w:p>
      <w:pPr>
        <w:pStyle w:val="TextBody"/>
        <w:bidi w:val="0"/>
        <w:spacing w:before="0" w:after="0"/>
        <w:ind w:left="6" w:right="0" w:hanging="0"/>
        <w:jc w:val="center"/>
        <w:rPr>
          <w:caps w:val="false"/>
          <w:smallCaps w:val="false"/>
          <w:color w:val="231F20"/>
        </w:rPr>
      </w:pPr>
      <w:r>
        <w:rPr>
          <w:caps w:val="false"/>
          <w:smallCaps w:val="false"/>
          <w:color w:val="231F20"/>
        </w:rPr>
        <w:t> </w:t>
      </w:r>
    </w:p>
    <w:p>
      <w:pPr>
        <w:pStyle w:val="TextBody"/>
        <w:bidi w:val="0"/>
        <w:spacing w:before="0" w:after="0"/>
        <w:ind w:left="99" w:right="92" w:hanging="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DATE OF BOARD MEETING</w:t>
      </w:r>
    </w:p>
    <w:p>
      <w:pPr>
        <w:pStyle w:val="TextBody"/>
        <w:bidi w:val="0"/>
        <w:spacing w:before="0" w:after="0"/>
        <w:ind w:left="99" w:right="92" w:hanging="0"/>
        <w:jc w:val="center"/>
        <w:rPr>
          <w:caps w:val="false"/>
          <w:smallCaps w:val="false"/>
          <w:color w:val="231F20"/>
        </w:rPr>
      </w:pPr>
      <w:r>
        <w:rPr>
          <w:caps w:val="false"/>
          <w:smallCaps w:val="false"/>
          <w:color w:val="231F20"/>
        </w:rPr>
        <w:t> </w:t>
      </w:r>
    </w:p>
    <w:p>
      <w:pPr>
        <w:pStyle w:val="TextBody"/>
        <w:bidi w:val="0"/>
        <w:spacing w:before="0" w:after="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board of directors (the “</w:t>
      </w:r>
      <w:r>
        <w:rPr>
          <w:rFonts w:ascii="Times New Roman;Times;Serif" w:hAnsi="Times New Roman;Times;Serif"/>
          <w:b/>
          <w:i w:val="false"/>
          <w:caps w:val="false"/>
          <w:smallCaps w:val="false"/>
          <w:color w:val="231F20"/>
          <w:sz w:val="20"/>
        </w:rPr>
        <w:t>Board</w:t>
      </w:r>
      <w:r>
        <w:rPr>
          <w:rFonts w:ascii="Times New Roman;Times;Serif" w:hAnsi="Times New Roman;Times;Serif"/>
          <w:b w:val="false"/>
          <w:i w:val="false"/>
          <w:caps w:val="false"/>
          <w:smallCaps w:val="false"/>
          <w:color w:val="231F20"/>
          <w:sz w:val="20"/>
        </w:rPr>
        <w:t>”) of WeRide Inc. (the “</w:t>
      </w:r>
      <w:r>
        <w:rPr>
          <w:rFonts w:ascii="Times New Roman;Times;Serif" w:hAnsi="Times New Roman;Times;Serif"/>
          <w:b/>
          <w:i w:val="false"/>
          <w:caps w:val="false"/>
          <w:smallCaps w:val="false"/>
          <w:color w:val="231F20"/>
          <w:sz w:val="20"/>
        </w:rPr>
        <w:t>Company</w:t>
      </w:r>
      <w:r>
        <w:rPr>
          <w:rFonts w:ascii="Times New Roman;Times;Serif" w:hAnsi="Times New Roman;Times;Serif"/>
          <w:b w:val="false"/>
          <w:i w:val="false"/>
          <w:caps w:val="false"/>
          <w:smallCaps w:val="false"/>
          <w:color w:val="231F20"/>
          <w:sz w:val="20"/>
        </w:rPr>
        <w:t>,” together with its subsidiaries, the “</w:t>
      </w:r>
      <w:r>
        <w:rPr>
          <w:rFonts w:ascii="Times New Roman;Times;Serif" w:hAnsi="Times New Roman;Times;Serif"/>
          <w:b/>
          <w:i w:val="false"/>
          <w:caps w:val="false"/>
          <w:smallCaps w:val="false"/>
          <w:color w:val="231F20"/>
          <w:sz w:val="20"/>
        </w:rPr>
        <w:t>Group</w:t>
      </w:r>
      <w:r>
        <w:rPr>
          <w:rFonts w:ascii="Times New Roman;Times;Serif" w:hAnsi="Times New Roman;Times;Serif"/>
          <w:b w:val="false"/>
          <w:i w:val="false"/>
          <w:caps w:val="false"/>
          <w:smallCaps w:val="false"/>
          <w:color w:val="231F20"/>
          <w:sz w:val="20"/>
        </w:rPr>
        <w:t>”) hereby announces that a meeting of the Board will be held on Wednesday, August 12, 2026 Beijing/Hong Kong Time, for the purposes of, among other things, considering and approving the unaudited quarterly results of the Group for the three months ended June 30, 2026 and its publication, and the unaudited interim results of the Group for the six months ended June 30, 2026 and its publication.</w:t>
      </w:r>
    </w:p>
    <w:p>
      <w:pPr>
        <w:pStyle w:val="TextBody"/>
        <w:bidi w:val="0"/>
        <w:spacing w:before="0" w:after="0"/>
        <w:ind w:left="142" w:right="127" w:hanging="0"/>
        <w:jc w:val="both"/>
        <w:rPr>
          <w:caps w:val="false"/>
          <w:smallCaps w:val="false"/>
          <w:color w:val="231F20"/>
        </w:rPr>
      </w:pPr>
      <w:r>
        <w:rPr>
          <w:caps w:val="false"/>
          <w:smallCaps w:val="false"/>
          <w:color w:val="231F20"/>
        </w:rPr>
        <w:t> </w:t>
      </w:r>
    </w:p>
    <w:p>
      <w:pPr>
        <w:pStyle w:val="TextBody"/>
        <w:bidi w:val="0"/>
        <w:spacing w:before="0" w:after="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The Company’s management team will hold an earnings conference call at 8:00 P.M. Beijing/Hong Kong Time on Wednesday, August 12, 2026 or at 8:00 A.M. U.S. Eastern Time on Wednesday, August 12, 2026 to discuss the results. Details for the conference call are as follows:</w:t>
      </w:r>
    </w:p>
    <w:p>
      <w:pPr>
        <w:pStyle w:val="TextBody"/>
        <w:bidi w:val="0"/>
        <w:spacing w:before="0" w:after="0"/>
        <w:jc w:val="both"/>
        <w:rPr>
          <w:caps w:val="false"/>
          <w:smallCaps w:val="false"/>
          <w:color w:val="231F20"/>
        </w:rPr>
      </w:pPr>
      <w:r>
        <w:rPr>
          <w:caps w:val="false"/>
          <w:smallCaps w:val="false"/>
          <w:color w:val="231F20"/>
        </w:rPr>
        <w:t> </w:t>
      </w:r>
    </w:p>
    <w:p>
      <w:pPr>
        <w:pStyle w:val="TextBody"/>
        <w:bidi w:val="0"/>
        <w:spacing w:before="0" w:after="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Event Title: WeRide Inc. Second Quarter and First Half 2026 Earnings Call</w:t>
      </w:r>
    </w:p>
    <w:p>
      <w:pPr>
        <w:pStyle w:val="TextBody"/>
        <w:bidi w:val="0"/>
        <w:spacing w:before="0" w:after="0"/>
        <w:ind w:left="142" w:right="0" w:hanging="0"/>
        <w:jc w:val="both"/>
        <w:rPr>
          <w:caps w:val="false"/>
          <w:smallCaps w:val="false"/>
          <w:color w:val="231F20"/>
        </w:rPr>
      </w:pPr>
      <w:r>
        <w:rPr>
          <w:caps w:val="false"/>
          <w:smallCaps w:val="false"/>
          <w:color w:val="231F20"/>
        </w:rPr>
        <w:t> </w:t>
      </w:r>
    </w:p>
    <w:p>
      <w:pPr>
        <w:pStyle w:val="TextBody"/>
        <w:bidi w:val="0"/>
        <w:spacing w:before="0" w:after="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English Registration Link: </w:t>
      </w:r>
      <w:r>
        <w:rPr>
          <w:rFonts w:ascii="Times New Roman;Times;Serif" w:hAnsi="Times New Roman;Times;Serif"/>
          <w:b w:val="false"/>
          <w:i w:val="false"/>
          <w:caps w:val="false"/>
          <w:smallCaps w:val="false"/>
          <w:color w:val="231F20"/>
          <w:sz w:val="20"/>
          <w:u w:val="single"/>
        </w:rPr>
        <w:t>https://register-conf.media-server.com/register/BIae5622619adf4da3b99161c402e831e8</w:t>
      </w:r>
    </w:p>
    <w:p>
      <w:pPr>
        <w:pStyle w:val="TextBody"/>
        <w:bidi w:val="0"/>
        <w:spacing w:before="0" w:after="0"/>
        <w:ind w:left="142" w:right="0" w:hanging="0"/>
        <w:jc w:val="both"/>
        <w:rPr>
          <w:caps w:val="false"/>
          <w:smallCaps w:val="false"/>
          <w:color w:val="231F20"/>
        </w:rPr>
      </w:pPr>
      <w:r>
        <w:rPr>
          <w:caps w:val="false"/>
          <w:smallCaps w:val="false"/>
          <w:color w:val="231F20"/>
        </w:rPr>
        <w:t> </w:t>
      </w:r>
    </w:p>
    <w:p>
      <w:pPr>
        <w:pStyle w:val="TextBody"/>
        <w:bidi w:val="0"/>
        <w:spacing w:before="0" w:after="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Chinese Simultaneous Interpretation Registration Link (listen-only mode):</w:t>
      </w:r>
    </w:p>
    <w:p>
      <w:pPr>
        <w:pStyle w:val="TextBody"/>
        <w:bidi w:val="0"/>
        <w:spacing w:before="0" w:after="0"/>
        <w:jc w:val="both"/>
        <w:rPr>
          <w:rFonts w:ascii="Times New Roman;Times;Serif" w:hAnsi="Times New Roman;Times;Serif"/>
          <w:b w:val="false"/>
          <w:i w:val="false"/>
          <w:caps w:val="false"/>
          <w:smallCaps w:val="false"/>
          <w:color w:val="231F20"/>
          <w:sz w:val="20"/>
          <w:u w:val="single"/>
        </w:rPr>
      </w:pPr>
      <w:r>
        <w:rPr>
          <w:rFonts w:ascii="Times New Roman;Times;Serif" w:hAnsi="Times New Roman;Times;Serif"/>
          <w:b w:val="false"/>
          <w:i w:val="false"/>
          <w:caps w:val="false"/>
          <w:smallCaps w:val="false"/>
          <w:color w:val="231F20"/>
          <w:sz w:val="20"/>
          <w:u w:val="single"/>
        </w:rPr>
        <w:t>https://register-conf.media-server.com/register/BI0c260dd324304548982b2c9490587a36</w:t>
      </w:r>
    </w:p>
    <w:p>
      <w:pPr>
        <w:pStyle w:val="TextBody"/>
        <w:bidi w:val="0"/>
        <w:spacing w:before="0" w:after="0"/>
        <w:ind w:left="142" w:right="0" w:hanging="0"/>
        <w:jc w:val="left"/>
        <w:rPr>
          <w:caps w:val="false"/>
          <w:smallCaps w:val="false"/>
          <w:color w:val="231F20"/>
        </w:rPr>
      </w:pPr>
      <w:r>
        <w:rPr>
          <w:caps w:val="false"/>
          <w:smallCaps w:val="false"/>
          <w:color w:val="231F20"/>
        </w:rPr>
        <w:t> </w:t>
      </w:r>
    </w:p>
    <w:p>
      <w:pPr>
        <w:pStyle w:val="TextBody"/>
        <w:bidi w:val="0"/>
        <w:spacing w:before="0" w:after="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All participants are required to complete the online registration in advance using the links provided above. During the registration, participants may select either the English or Chinese simultaneous interpretation options. Please note that the Chinese simultaneous interpretation line will be available in listen-only mode. Upon successful registration, each participant will receive a confirmation email containing the relevant dial-in details and a unique access PIN, which can be used to join the conference call.</w:t>
      </w:r>
    </w:p>
    <w:p>
      <w:pPr>
        <w:pStyle w:val="TextBody"/>
        <w:bidi w:val="0"/>
        <w:spacing w:before="0" w:after="0"/>
        <w:ind w:left="142" w:right="130" w:hanging="0"/>
        <w:jc w:val="both"/>
        <w:rPr>
          <w:caps w:val="false"/>
          <w:smallCaps w:val="false"/>
          <w:color w:val="231F20"/>
        </w:rPr>
      </w:pPr>
      <w:r>
        <w:rPr>
          <w:caps w:val="false"/>
          <w:smallCaps w:val="false"/>
          <w:color w:val="231F20"/>
        </w:rPr>
        <w:t> </w:t>
      </w:r>
    </w:p>
    <w:p>
      <w:pPr>
        <w:pStyle w:val="TextBody"/>
        <w:bidi w:val="0"/>
        <w:spacing w:before="0" w:after="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xml:space="preserve">Additionally, a live and archived webcast of the conference call will be available on the Company’s investor relations website at </w:t>
      </w:r>
      <w:r>
        <w:rPr>
          <w:rFonts w:ascii="Times New Roman;Times;Serif" w:hAnsi="Times New Roman;Times;Serif"/>
          <w:b w:val="false"/>
          <w:i w:val="false"/>
          <w:caps w:val="false"/>
          <w:smallCaps w:val="false"/>
          <w:color w:val="231F20"/>
          <w:sz w:val="20"/>
          <w:u w:val="single"/>
        </w:rPr>
        <w:t>https://ir.weride.ai</w:t>
      </w:r>
      <w:r>
        <w:rPr>
          <w:rFonts w:ascii="Times New Roman;Times;Serif" w:hAnsi="Times New Roman;Times;Serif"/>
          <w:b w:val="false"/>
          <w:i w:val="false"/>
          <w:caps w:val="false"/>
          <w:smallCaps w:val="false"/>
          <w:color w:val="231F20"/>
          <w:sz w:val="20"/>
        </w:rPr>
        <w:t>.</w:t>
      </w:r>
    </w:p>
    <w:p>
      <w:pPr>
        <w:pStyle w:val="TextBody"/>
        <w:bidi w:val="0"/>
        <w:spacing w:before="0" w:after="0"/>
        <w:ind w:left="142" w:right="140" w:hanging="0"/>
        <w:jc w:val="both"/>
        <w:rPr>
          <w:caps w:val="false"/>
          <w:smallCaps w:val="false"/>
          <w:color w:val="231F20"/>
        </w:rPr>
      </w:pPr>
      <w:r>
        <w:rPr>
          <w:caps w:val="false"/>
          <w:smallCaps w:val="false"/>
          <w:color w:val="231F20"/>
        </w:rPr>
        <w:t> </w:t>
      </w:r>
    </w:p>
    <w:p>
      <w:pPr>
        <w:pStyle w:val="TextBody"/>
        <w:bidi w:val="0"/>
        <w:spacing w:before="0" w:after="0"/>
        <w:ind w:left="5767" w:right="92" w:hanging="0"/>
        <w:jc w:val="center"/>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By Order of the Board</w:t>
      </w:r>
    </w:p>
    <w:p>
      <w:pPr>
        <w:pStyle w:val="TextBody"/>
        <w:bidi w:val="0"/>
        <w:spacing w:before="0" w:after="0"/>
        <w:ind w:left="5767" w:right="92" w:hanging="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WeRide Inc.</w:t>
      </w:r>
    </w:p>
    <w:p>
      <w:pPr>
        <w:pStyle w:val="TextBody"/>
        <w:bidi w:val="0"/>
        <w:spacing w:before="0" w:after="0"/>
        <w:ind w:left="5767" w:right="92" w:hanging="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Dr. Tony Xu Han</w:t>
      </w:r>
    </w:p>
    <w:p>
      <w:pPr>
        <w:pStyle w:val="TextBody"/>
        <w:bidi w:val="0"/>
        <w:spacing w:before="0" w:after="0"/>
        <w:ind w:left="5720" w:right="92" w:hanging="0"/>
        <w:jc w:val="center"/>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Chairman of the Board, Executive Director and Chief Executive Officer</w:t>
      </w:r>
    </w:p>
    <w:p>
      <w:pPr>
        <w:pStyle w:val="TextBody"/>
        <w:bidi w:val="0"/>
        <w:spacing w:before="0" w:after="0"/>
        <w:ind w:left="5720" w:right="92" w:hanging="0"/>
        <w:jc w:val="center"/>
        <w:rPr>
          <w:caps w:val="false"/>
          <w:smallCaps w:val="false"/>
          <w:color w:val="231F20"/>
        </w:rPr>
      </w:pPr>
      <w:r>
        <w:rPr>
          <w:caps w:val="false"/>
          <w:smallCaps w:val="false"/>
          <w:color w:val="231F20"/>
        </w:rPr>
        <w:t> </w:t>
      </w:r>
    </w:p>
    <w:p>
      <w:pPr>
        <w:pStyle w:val="TextBody"/>
        <w:bidi w:val="0"/>
        <w:spacing w:before="0" w:after="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Hong Kong, July 22, 2026</w:t>
      </w:r>
    </w:p>
    <w:p>
      <w:pPr>
        <w:pStyle w:val="TextBody"/>
        <w:bidi w:val="0"/>
        <w:spacing w:before="0" w:after="0"/>
        <w:ind w:left="142" w:right="0" w:hanging="0"/>
        <w:jc w:val="left"/>
        <w:rPr>
          <w:caps w:val="false"/>
          <w:smallCaps w:val="false"/>
          <w:color w:val="231F20"/>
        </w:rPr>
      </w:pPr>
      <w:r>
        <w:rPr>
          <w:caps w:val="false"/>
          <w:smallCaps w:val="false"/>
          <w:color w:val="231F20"/>
        </w:rPr>
        <w:t> </w:t>
      </w:r>
    </w:p>
    <w:p>
      <w:pPr>
        <w:pStyle w:val="TextBody"/>
        <w:bidi w:val="0"/>
        <w:spacing w:before="0" w:after="0"/>
        <w:jc w:val="both"/>
        <w:rPr>
          <w:rFonts w:ascii="Times New Roman;Times;Serif" w:hAnsi="Times New Roman;Times;Serif"/>
          <w:b w:val="false"/>
          <w:i/>
          <w:caps w:val="false"/>
          <w:smallCaps w:val="false"/>
          <w:color w:val="231F20"/>
          <w:sz w:val="20"/>
        </w:rPr>
      </w:pPr>
      <w:r>
        <w:rPr>
          <w:rFonts w:ascii="Times New Roman;Times;Serif" w:hAnsi="Times New Roman;Times;Serif"/>
          <w:b w:val="false"/>
          <w:i/>
          <w:caps w:val="false"/>
          <w:smallCaps w:val="false"/>
          <w:color w:val="231F20"/>
          <w:sz w:val="20"/>
        </w:rPr>
        <w:t>As at the date of this announcement, the Board comprises Dr. Tony Xu Han and Dr. Yan Li as executive Directors, Mr. Ichijo Futakawa and Mr. Jean-François Salles as non-executive Directors, and Ms. Huiping Yan, Mr. David Zhang and Dr. Tony Fan-cheong Chan as independent non-executive Directors.</w:t>
      </w:r>
    </w:p>
    <w:p>
      <w:pPr>
        <w:pStyle w:val="TextBody"/>
        <w:bidi w:val="0"/>
        <w:spacing w:before="0" w:after="0"/>
        <w:ind w:left="117" w:right="155" w:hanging="0"/>
        <w:jc w:val="both"/>
        <w:rPr>
          <w:caps w:val="false"/>
          <w:smallCaps w:val="false"/>
          <w:color w:val="231F20"/>
        </w:rPr>
      </w:pPr>
      <w:r>
        <w:rPr>
          <w:caps w:val="false"/>
          <w:smallCaps w:val="false"/>
          <w:color w:val="231F20"/>
        </w:rPr>
        <w:t> </w:t>
      </w:r>
    </w:p>
    <w:p>
      <w:pPr>
        <w:pStyle w:val="TextBody"/>
        <w:bidi w:val="0"/>
        <w:spacing w:before="0" w:after="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       </w:t>
      </w:r>
      <w:r>
        <w:rPr>
          <w:rFonts w:ascii="Times New Roman;Times;Serif" w:hAnsi="Times New Roman;Times;Serif"/>
          <w:b w:val="false"/>
          <w:i/>
          <w:caps w:val="false"/>
          <w:smallCaps w:val="false"/>
          <w:color w:val="231F20"/>
          <w:sz w:val="20"/>
        </w:rPr>
        <w:t>For identification purposes only</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0"/>
        <w:ind w:left="0" w:right="0" w:hanging="0"/>
        <w:jc w:val="center"/>
        <w:rPr>
          <w:caps w:val="false"/>
          <w:smallCaps w:val="false"/>
        </w:rPr>
      </w:pPr>
      <w:bookmarkStart w:id="4" w:name="tm2621088d1_ex99-2.htm"/>
      <w:bookmarkStart w:id="5" w:name="kstm2621088d1_ex992"/>
      <w:bookmarkEnd w:id="4"/>
      <w:bookmarkEnd w:id="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99.2</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WeRide to Report Second Quarter and First Half 2026 Financial Results on Wednesday, August 12,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July 22, 2026 (GLOBE NEWSWIRE) – WeRide Inc. (“WeRide” or the “Company”) (NASDAQ: WRD; HKEX: 0800), a global leader in autonomous driving technology, today announced that it will release its unaudited financial results for the second quarter 2026 and unaudited interim results for the first half of 2026 on Wednesday, August 12, 2026, before the open of the U.S.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management will host an earnings conference call at 8:00 A.M. U.S. Eastern Time on August 12, 2026 or 8:00 P.M. Hong Kong Time on the same day to discuss the results. Details for the conference call are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Event Title: WeRide Inc. Second Quarter and First Half 2026 Earnings Call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English Registration Link: </w:t>
      </w:r>
      <w:r>
        <w:rPr>
          <w:rFonts w:ascii="Times New Roman;Times;Serif" w:hAnsi="Times New Roman;Times;Serif"/>
          <w:b w:val="false"/>
          <w:i w:val="false"/>
          <w:caps w:val="false"/>
          <w:smallCaps w:val="false"/>
          <w:sz w:val="20"/>
          <w:u w:val="single"/>
        </w:rPr>
        <w:t>https://register-conf.media-server.com/register/BIae5622619adf4da3b99161c402e831e8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Chinese Simultaneous Interpretation Registration Link (listen-only mode):</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https://register-conf.media-server.com/register/BI0c260dd324304548982b2c9490587a36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participants are required to complete the online registration in advance using the links provided above. During the registration, participants may select either the English or Chinese simultaneous interpretation options. Please note that the Chinese simultaneous interpretation line will be available in listen-only mode. Upon successful registration, each participant will receive a confirmation email containing the relevant dial-in details and a unique access PIN, which can be used to join the conference call.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a live and archived webcast of the conference call will be available on the Company’s investor relations website at https://ir.weride.ai.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WeRide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WeRide is a global leader and a first mover in the autonomous driving industry, as well as the first publicly traded Robotaxi company. Our autonomous vehicles have been tested or operated in over 40 cities across 12 countries. We are also the first and only technology company whose products have received autonomous driving permits in eight markets: China, the UAE, Singapore, France, Switzerland, Saudi Arabia, Belgium, and the US. Empowered by the smart, versatile, cost-effective, and highly adaptable WeRide One platform, WeRide provides autonomous driving products and services from L2 to L4, addressing transportation needs in the mobility, logistics, and sanitation industries. WeRide was named to Fortune’s 2025 Change the World and 2025 Future 50 lists.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Investor inquiries: </w:t>
      </w:r>
      <w:r>
        <w:rPr>
          <w:rFonts w:ascii="Times New Roman;Times;Serif" w:hAnsi="Times New Roman;Times;Serif"/>
          <w:b w:val="false"/>
          <w:i w:val="false"/>
          <w:caps w:val="false"/>
          <w:smallCaps w:val="false"/>
          <w:sz w:val="20"/>
          <w:u w:val="single"/>
        </w:rPr>
        <w:t>ir@weride.ai</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Press inquiries: </w:t>
      </w:r>
      <w:r>
        <w:rPr>
          <w:rFonts w:ascii="Times New Roman;Times;Serif" w:hAnsi="Times New Roman;Times;Serif"/>
          <w:b w:val="false"/>
          <w:i w:val="false"/>
          <w:caps w:val="false"/>
          <w:smallCaps w:val="false"/>
          <w:sz w:val="20"/>
          <w:u w:val="single"/>
        </w:rPr>
        <w:t>pr@weride.ai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Piacente Financial Communications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weride@thepiacentegroup.com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982</Words>
  <Characters>5740</Characters>
  <CharactersWithSpaces>6751</CharactersWithSpaces>
  <Paragraphs>167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