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tm2620306d1_6k.htm"/>
      <w:bookmarkStart w:id="1" w:name="kstm2620306d1_6k"/>
      <w:bookmarkEnd w:id="0"/>
      <w:bookmarkEnd w:id="1"/>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pBdr>
          <w:bottom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July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001-42213</w:t>
      </w:r>
    </w:p>
    <w:p>
      <w:pPr>
        <w:pStyle w:val="TextBody"/>
        <w:pBdr>
          <w:bottom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r>
        <w:rPr>
          <w:rFonts w:ascii="Times New Roman;Times;Serif" w:hAnsi="Times New Roman;Times;Serif"/>
          <w:b/>
          <w:i w:val="false"/>
          <w:caps w:val="false"/>
          <w:smallCaps w:val="false"/>
          <w:sz w:val="48"/>
        </w:rPr>
        <w:t>WeRide Inc.</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21st Floor, Tower A, Guanzhou Life Science Innovation Center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51, Luoxuan Road, Guangzhou International Biotech Island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Guangzhou 510005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People’s Republic of China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65"/>
        <w:gridCol w:w="60"/>
        <w:gridCol w:w="9480"/>
      </w:tblGrid>
      <w:tr>
        <w:trPr/>
        <w:tc>
          <w:tcPr>
            <w:tcW w:w="66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w:t>
              <w:br/>
              <w:t>No.</w:t>
            </w:r>
          </w:p>
        </w:tc>
        <w:tc>
          <w:tcPr>
            <w:tcW w:w="60" w:type="dxa"/>
            <w:tcBorders/>
            <w:tcMar>
              <w:bottom w:w="0" w:type="dxa"/>
            </w:tcMar>
            <w:vAlign w:val="center"/>
          </w:tcPr>
          <w:p>
            <w:pPr>
              <w:pStyle w:val="TableContents"/>
              <w:bidi w:val="0"/>
              <w:spacing w:before="0" w:after="283"/>
              <w:jc w:val="left"/>
              <w:rPr/>
            </w:pPr>
            <w:r>
              <w:rPr/>
              <w:t> </w:t>
            </w:r>
          </w:p>
        </w:tc>
        <w:tc>
          <w:tcPr>
            <w:tcW w:w="9480"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6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80" w:type="dxa"/>
            <w:tcBorders/>
            <w:tcMar>
              <w:bottom w:w="0" w:type="dxa"/>
            </w:tcMar>
            <w:vAlign w:val="center"/>
          </w:tcPr>
          <w:p>
            <w:pPr>
              <w:pStyle w:val="TableContents"/>
              <w:bidi w:val="0"/>
              <w:spacing w:before="0" w:after="283"/>
              <w:jc w:val="left"/>
              <w:rPr/>
            </w:pPr>
            <w:r>
              <w:rPr/>
              <w:t> </w:t>
            </w:r>
          </w:p>
        </w:tc>
      </w:tr>
      <w:tr>
        <w:trPr/>
        <w:tc>
          <w:tcPr>
            <w:tcW w:w="665" w:type="dxa"/>
            <w:tcBorders/>
            <w:tcMar>
              <w:bottom w:w="0" w:type="dxa"/>
            </w:tcMar>
            <w:vAlign w:val="center"/>
          </w:tcPr>
          <w:p>
            <w:pPr>
              <w:pStyle w:val="TableContents"/>
              <w:bidi w:val="0"/>
              <w:spacing w:before="0" w:after="283"/>
              <w:jc w:val="left"/>
              <w:rPr/>
            </w:pPr>
            <w:hyperlink w:anchor="tm2620306d1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9480" w:type="dxa"/>
            <w:tcBorders/>
            <w:tcMar>
              <w:bottom w:w="0" w:type="dxa"/>
            </w:tcMar>
            <w:vAlign w:val="center"/>
          </w:tcPr>
          <w:p>
            <w:pPr>
              <w:pStyle w:val="TableContents"/>
              <w:bidi w:val="0"/>
              <w:spacing w:before="0" w:after="283"/>
              <w:jc w:val="both"/>
              <w:rPr/>
            </w:pPr>
            <w:hyperlink w:anchor="tm2620306d1_ex99-1.htm">
              <w:r>
                <w:rPr>
                  <w:rStyle w:val="InternetLink"/>
                </w:rPr>
                <w:t>Announcement - Grant of Waiver from Strict Compliance with Rule 8A.18(1) of the Listing Rules, dated July 13, 2026</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2515" w:type="dxa"/>
        <w:jc w:val="left"/>
        <w:tblInd w:w="0" w:type="dxa"/>
        <w:tblLayout w:type="fixed"/>
        <w:tblCellMar>
          <w:top w:w="0" w:type="dxa"/>
          <w:left w:w="0" w:type="dxa"/>
          <w:bottom w:w="0" w:type="dxa"/>
          <w:right w:w="0" w:type="dxa"/>
        </w:tblCellMar>
      </w:tblPr>
      <w:tblGrid>
        <w:gridCol w:w="75"/>
        <w:gridCol w:w="545"/>
        <w:gridCol w:w="1895"/>
      </w:tblGrid>
      <w:tr>
        <w:trPr/>
        <w:tc>
          <w:tcPr>
            <w:tcW w:w="75" w:type="dxa"/>
            <w:tcBorders/>
            <w:vAlign w:val="center"/>
          </w:tcPr>
          <w:p>
            <w:pPr>
              <w:pStyle w:val="TableContents"/>
              <w:bidi w:val="0"/>
              <w:spacing w:before="0" w:after="283"/>
              <w:jc w:val="left"/>
              <w:rPr/>
            </w:pPr>
            <w:r>
              <w:rPr/>
              <w:t> </w:t>
            </w:r>
          </w:p>
        </w:tc>
        <w:tc>
          <w:tcPr>
            <w:tcW w:w="244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WeRide Inc.</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8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Jennifer Li</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Jennifer Li</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13,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pPr>
      <w:bookmarkStart w:id="2" w:name="tm2620306d1_ex99-1.htm"/>
      <w:bookmarkStart w:id="3" w:name="kstm2620306d1_ex991"/>
      <w:bookmarkEnd w:id="2"/>
      <w:bookmarkEnd w:id="3"/>
      <w:r>
        <w:rPr/>
        <w:t> </w:t>
      </w:r>
      <w:r>
        <w:br w:type="page"/>
      </w:r>
    </w:p>
    <w:p>
      <w:pPr>
        <w:pStyle w:val="TextBody"/>
        <w:bidi w:val="0"/>
        <w:jc w:val="right"/>
        <w:rPr>
          <w:b/>
          <w:sz w:val="20"/>
        </w:rPr>
      </w:pPr>
      <w:r>
        <w:rPr>
          <w:b/>
          <w:sz w:val="20"/>
        </w:rPr>
        <w:t>Exhibit 99.1</w:t>
      </w:r>
    </w:p>
    <w:p>
      <w:pPr>
        <w:pStyle w:val="TextBody"/>
        <w:bidi w:val="0"/>
        <w:spacing w:before="0" w:after="283"/>
        <w:jc w:val="left"/>
        <w:rPr/>
      </w:pPr>
      <w:r>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885950" cy="533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85950" cy="533400"/>
                    </a:xfrm>
                    <a:prstGeom prst="rect">
                      <a:avLst/>
                    </a:prstGeom>
                  </pic:spPr>
                </pic:pic>
              </a:graphicData>
            </a:graphic>
          </wp:inline>
        </w:drawing>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WeRide Inc.</w:t>
      </w:r>
    </w:p>
    <w:p>
      <w:pPr>
        <w:pStyle w:val="TextBody"/>
        <w:bidi w:val="0"/>
        <w:spacing w:before="0" w:after="0"/>
        <w:jc w:val="center"/>
        <w:rPr>
          <w:caps w:val="false"/>
          <w:smallCaps w:val="false"/>
        </w:rPr>
      </w:pPr>
      <w:r>
        <w:rPr>
          <w:rFonts w:eastAsia="Times New Roman;Times;Serif"/>
          <w:b/>
          <w:i w:val="false"/>
          <w:caps w:val="false"/>
          <w:smallCaps w:val="false"/>
          <w:sz w:val="28"/>
        </w:rPr>
        <w:t>文遠知行</w:t>
      </w:r>
      <w:r>
        <w:rPr>
          <w:rFonts w:ascii="Times New Roman;Times;Serif" w:hAnsi="Times New Roman;Times;Serif"/>
          <w:b/>
          <w:i w:val="false"/>
          <w:caps w:val="false"/>
          <w:smallCaps w:val="false"/>
          <w:sz w:val="20"/>
        </w:rPr>
        <w:t>*</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 company controlled through weighted voting rights and incorporated in the Cayman Islands with limited liability)</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code: 0800)</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GRANT OF WAIVER FROM STRICT COMPLIANCE WITH RULE 8A.18(1) OF THE LISTING RULES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WeRide Inc.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hereby advises shareholders and other investors that it has applied for, and The Stock Exchange of Hong Kong Limited has granted, a waiver (the “</w:t>
      </w:r>
      <w:r>
        <w:rPr>
          <w:rFonts w:ascii="Times New Roman;Times;Serif" w:hAnsi="Times New Roman;Times;Serif"/>
          <w:b/>
          <w:i w:val="false"/>
          <w:caps w:val="false"/>
          <w:smallCaps w:val="false"/>
          <w:sz w:val="20"/>
        </w:rPr>
        <w:t>Waiver</w:t>
      </w:r>
      <w:r>
        <w:rPr>
          <w:rFonts w:ascii="Times New Roman;Times;Serif" w:hAnsi="Times New Roman;Times;Serif"/>
          <w:b w:val="false"/>
          <w:i w:val="false"/>
          <w:caps w:val="false"/>
          <w:smallCaps w:val="false"/>
          <w:sz w:val="20"/>
        </w:rPr>
        <w:t>”) from strict compliance with Rule 8A.18(1) of the Rules Governing the Listing of Securities on The Stock Exchange of Hong Kong Limited to facilitate (i) the allotment and issuance of new shares by Xu Han Limited (“</w:t>
      </w:r>
      <w:r>
        <w:rPr>
          <w:rFonts w:ascii="Times New Roman;Times;Serif" w:hAnsi="Times New Roman;Times;Serif"/>
          <w:b/>
          <w:i w:val="false"/>
          <w:caps w:val="false"/>
          <w:smallCaps w:val="false"/>
          <w:sz w:val="20"/>
        </w:rPr>
        <w:t>XHL</w:t>
      </w:r>
      <w:r>
        <w:rPr>
          <w:rFonts w:ascii="Times New Roman;Times;Serif" w:hAnsi="Times New Roman;Times;Serif"/>
          <w:b w:val="false"/>
          <w:i w:val="false"/>
          <w:caps w:val="false"/>
          <w:smallCaps w:val="false"/>
          <w:sz w:val="20"/>
        </w:rPr>
        <w:t>”), a British Virgin Islands company wholly owned by Dr. Tony Xu Han (“</w:t>
      </w:r>
      <w:r>
        <w:rPr>
          <w:rFonts w:ascii="Times New Roman;Times;Serif" w:hAnsi="Times New Roman;Times;Serif"/>
          <w:b/>
          <w:i w:val="false"/>
          <w:caps w:val="false"/>
          <w:smallCaps w:val="false"/>
          <w:sz w:val="20"/>
        </w:rPr>
        <w:t>Dr. Han</w:t>
      </w:r>
      <w:r>
        <w:rPr>
          <w:rFonts w:ascii="Times New Roman;Times;Serif" w:hAnsi="Times New Roman;Times;Serif"/>
          <w:b w:val="false"/>
          <w:i w:val="false"/>
          <w:caps w:val="false"/>
          <w:smallCaps w:val="false"/>
          <w:sz w:val="20"/>
        </w:rPr>
        <w:t>”), the founder, chairman of the board, executive director, chief executive officer and a beneficiary of weighted voting rights of the Company (a “</w:t>
      </w:r>
      <w:r>
        <w:rPr>
          <w:rFonts w:ascii="Times New Roman;Times;Serif" w:hAnsi="Times New Roman;Times;Serif"/>
          <w:b/>
          <w:i w:val="false"/>
          <w:caps w:val="false"/>
          <w:smallCaps w:val="false"/>
          <w:sz w:val="20"/>
        </w:rPr>
        <w:t>WVR Beneficiary</w:t>
      </w:r>
      <w:r>
        <w:rPr>
          <w:rFonts w:ascii="Times New Roman;Times;Serif" w:hAnsi="Times New Roman;Times;Serif"/>
          <w:b w:val="false"/>
          <w:i w:val="false"/>
          <w:caps w:val="false"/>
          <w:smallCaps w:val="false"/>
          <w:sz w:val="20"/>
        </w:rPr>
        <w:t>”), that holds class B ordinary shares of the Company to the trustee of a family trust where Dr. Han is the protector and his children and descendants are the beneficiaries; and (ii) the allotment and issuance of new shares by Humber Partners Limited (“</w:t>
      </w:r>
      <w:r>
        <w:rPr>
          <w:rFonts w:ascii="Times New Roman;Times;Serif" w:hAnsi="Times New Roman;Times;Serif"/>
          <w:b/>
          <w:i w:val="false"/>
          <w:caps w:val="false"/>
          <w:smallCaps w:val="false"/>
          <w:sz w:val="20"/>
        </w:rPr>
        <w:t>Humber Partners</w:t>
      </w:r>
      <w:r>
        <w:rPr>
          <w:rFonts w:ascii="Times New Roman;Times;Serif" w:hAnsi="Times New Roman;Times;Serif"/>
          <w:b w:val="false"/>
          <w:i w:val="false"/>
          <w:caps w:val="false"/>
          <w:smallCaps w:val="false"/>
          <w:sz w:val="20"/>
        </w:rPr>
        <w:t>”), a British Virgin Islands company wholly owned by Dr. Yan Li (“</w:t>
      </w:r>
      <w:r>
        <w:rPr>
          <w:rFonts w:ascii="Times New Roman;Times;Serif" w:hAnsi="Times New Roman;Times;Serif"/>
          <w:b/>
          <w:i w:val="false"/>
          <w:caps w:val="false"/>
          <w:smallCaps w:val="false"/>
          <w:sz w:val="20"/>
        </w:rPr>
        <w:t>Dr. Li</w:t>
      </w:r>
      <w:r>
        <w:rPr>
          <w:rFonts w:ascii="Times New Roman;Times;Serif" w:hAnsi="Times New Roman;Times;Serif"/>
          <w:b w:val="false"/>
          <w:i w:val="false"/>
          <w:caps w:val="false"/>
          <w:smallCaps w:val="false"/>
          <w:sz w:val="20"/>
        </w:rPr>
        <w:t>”), the co-founder, executive director, chief technology officer and a WVR Beneficiary of the Company, that holds class A ordinary shares and class B ordinary shares of the Company to the trustee of a family trust where Dr. Li is the protector and his children and descendants are the beneficiaries. Following the aforementioned share allotment and issuance, XHL is owned as to 80% by Dr. Han and as to 20% by the trustee of Dr. Han’s family trust, and Humber Partners is owned as to 80% by Dr. Li and as to 20% by the trustee of Dr. Li’s family trust. The Company applied for the Waiver, and the Waiver was granted, on the bases, among others, that each of Dr. Han and Dr. Li will remain the protector of his family trust and will retain sole control over the voting rights attached to the class B ordinary shares of the Company held within his family trust structure following the aforementioned share allotment and issuance.</w:t>
      </w:r>
    </w:p>
    <w:p>
      <w:pPr>
        <w:pStyle w:val="TextBody"/>
        <w:bidi w:val="0"/>
        <w:spacing w:before="0" w:after="0"/>
        <w:jc w:val="left"/>
        <w:rPr>
          <w:caps w:val="false"/>
          <w:smallCaps w:val="false"/>
        </w:rPr>
      </w:pPr>
      <w:r>
        <w:rPr>
          <w:caps w:val="false"/>
          <w:smallCaps w:val="false"/>
        </w:rPr>
        <w:t> </w:t>
      </w:r>
    </w:p>
    <w:tbl>
      <w:tblPr>
        <w:tblW w:w="5930" w:type="dxa"/>
        <w:jc w:val="left"/>
        <w:tblInd w:w="0" w:type="dxa"/>
        <w:tblLayout w:type="fixed"/>
        <w:tblCellMar>
          <w:top w:w="0" w:type="dxa"/>
          <w:left w:w="0" w:type="dxa"/>
          <w:bottom w:w="0" w:type="dxa"/>
          <w:right w:w="0" w:type="dxa"/>
        </w:tblCellMar>
      </w:tblPr>
      <w:tblGrid>
        <w:gridCol w:w="75"/>
        <w:gridCol w:w="5855"/>
      </w:tblGrid>
      <w:tr>
        <w:trPr/>
        <w:tc>
          <w:tcPr>
            <w:tcW w:w="75" w:type="dxa"/>
            <w:tcBorders/>
            <w:vAlign w:val="center"/>
          </w:tcPr>
          <w:p>
            <w:pPr>
              <w:pStyle w:val="TableContents"/>
              <w:bidi w:val="0"/>
              <w:spacing w:before="0" w:after="283"/>
              <w:jc w:val="left"/>
              <w:rPr/>
            </w:pPr>
            <w:r>
              <w:rPr/>
              <w:t> </w:t>
            </w:r>
          </w:p>
        </w:tc>
        <w:tc>
          <w:tcPr>
            <w:tcW w:w="58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Order of the Board</w:t>
            </w:r>
          </w:p>
        </w:tc>
      </w:tr>
      <w:tr>
        <w:trPr/>
        <w:tc>
          <w:tcPr>
            <w:tcW w:w="75" w:type="dxa"/>
            <w:tcBorders/>
            <w:vAlign w:val="center"/>
          </w:tcPr>
          <w:p>
            <w:pPr>
              <w:pStyle w:val="TableContents"/>
              <w:bidi w:val="0"/>
              <w:spacing w:before="0" w:after="283"/>
              <w:jc w:val="left"/>
              <w:rPr/>
            </w:pPr>
            <w:r>
              <w:rPr/>
              <w:t> </w:t>
            </w:r>
          </w:p>
        </w:tc>
        <w:tc>
          <w:tcPr>
            <w:tcW w:w="585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WeRide Inc.</w:t>
            </w:r>
          </w:p>
        </w:tc>
      </w:tr>
      <w:tr>
        <w:trPr/>
        <w:tc>
          <w:tcPr>
            <w:tcW w:w="75" w:type="dxa"/>
            <w:tcBorders/>
            <w:vAlign w:val="center"/>
          </w:tcPr>
          <w:p>
            <w:pPr>
              <w:pStyle w:val="TableContents"/>
              <w:bidi w:val="0"/>
              <w:spacing w:before="0" w:after="283"/>
              <w:jc w:val="left"/>
              <w:rPr/>
            </w:pPr>
            <w:r>
              <w:rPr/>
              <w:t> </w:t>
            </w:r>
          </w:p>
        </w:tc>
        <w:tc>
          <w:tcPr>
            <w:tcW w:w="585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 Tony Xu Han</w:t>
            </w:r>
          </w:p>
        </w:tc>
      </w:tr>
      <w:tr>
        <w:trPr/>
        <w:tc>
          <w:tcPr>
            <w:tcW w:w="75" w:type="dxa"/>
            <w:tcBorders/>
            <w:vAlign w:val="center"/>
          </w:tcPr>
          <w:p>
            <w:pPr>
              <w:pStyle w:val="TableContents"/>
              <w:bidi w:val="0"/>
              <w:spacing w:before="0" w:after="283"/>
              <w:jc w:val="left"/>
              <w:rPr/>
            </w:pPr>
            <w:r>
              <w:rPr/>
              <w:t> </w:t>
            </w:r>
          </w:p>
        </w:tc>
        <w:tc>
          <w:tcPr>
            <w:tcW w:w="5855" w:type="dxa"/>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Chairman of the Board, Executive Director and Chief Executive Officer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Kong, July 13, 2026</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 of the date of this announcement, the board of directors of the Company comprises Dr. Tony Xu Han and Dr. Yan Li as executive directors, Mr. Ichijo Futakawa and Mr. Jean-François Salles as non-executive directors, and Ms. Huiping Yan, Mr. David Zhang and Dr. Tony Fan-cheong Chan as independent non-executive directors.</w:t>
      </w:r>
    </w:p>
    <w:p>
      <w:pPr>
        <w:pStyle w:val="TextBody"/>
        <w:bidi w:val="0"/>
        <w:spacing w:before="0" w:after="0"/>
        <w:jc w:val="left"/>
        <w:rPr>
          <w:caps w:val="false"/>
          <w:smallCaps w:val="false"/>
        </w:rPr>
      </w:pPr>
      <w:r>
        <w:rPr>
          <w:caps w:val="false"/>
          <w:smallCaps w:val="false"/>
        </w:rPr>
        <w:t> </w:t>
      </w:r>
    </w:p>
    <w:tbl>
      <w:tblPr>
        <w:tblW w:w="2853" w:type="dxa"/>
        <w:jc w:val="left"/>
        <w:tblInd w:w="0" w:type="dxa"/>
        <w:tblLayout w:type="fixed"/>
        <w:tblCellMar>
          <w:top w:w="0" w:type="dxa"/>
          <w:left w:w="0" w:type="dxa"/>
          <w:bottom w:w="0" w:type="dxa"/>
          <w:right w:w="0" w:type="dxa"/>
        </w:tblCellMar>
      </w:tblPr>
      <w:tblGrid>
        <w:gridCol w:w="38"/>
        <w:gridCol w:w="125"/>
        <w:gridCol w:w="269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20"/>
              </w:rPr>
            </w:pPr>
            <w:r>
              <w:rPr>
                <w:sz w:val="20"/>
              </w:rPr>
              <w:t>*</w:t>
            </w:r>
          </w:p>
        </w:tc>
        <w:tc>
          <w:tcPr>
            <w:tcW w:w="2690" w:type="dxa"/>
            <w:tcBorders/>
            <w:vAlign w:val="center"/>
          </w:tcPr>
          <w:p>
            <w:pPr>
              <w:pStyle w:val="TableContents"/>
              <w:bidi w:val="0"/>
              <w:spacing w:before="0" w:after="283"/>
              <w:jc w:val="both"/>
              <w:rPr>
                <w:i/>
                <w:sz w:val="20"/>
              </w:rPr>
            </w:pPr>
            <w:r>
              <w:rPr>
                <w:i/>
                <w:sz w:val="20"/>
              </w:rPr>
              <w:t>For identification purposes only</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678</Words>
  <Characters>3418</Characters>
  <CharactersWithSpaces>4106</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