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001-42213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43"/>
          <w:szCs w:val="43"/>
          <w:b w:val="1"/>
          <w:bCs w:val="1"/>
          <w:color w:val="auto"/>
        </w:rPr>
        <w:t>WeRide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21st Floor, Tower A, Guanzhou Life Science Innovation Center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51, Luoxuan Road, Guangzhou International Biotech Island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Guangzhou 510005</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40"/>
        <w:spacing w:after="0" w:line="207" w:lineRule="exact"/>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27"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80" w:type="dxa"/>
            <w:vAlign w:val="bottom"/>
            <w:gridSpan w:val="3"/>
          </w:tcPr>
          <w:p>
            <w:pPr>
              <w:ind w:left="37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45"/>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6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540" w:type="dxa"/>
            <w:vAlign w:val="bottom"/>
          </w:tcPr>
          <w:p>
            <w:pPr>
              <w:spacing w:after="0"/>
              <w:rPr>
                <w:sz w:val="21"/>
                <w:szCs w:val="21"/>
                <w:color w:val="auto"/>
              </w:rPr>
            </w:pPr>
          </w:p>
        </w:tc>
      </w:tr>
      <w:tr>
        <w:trPr>
          <w:trHeight w:val="391"/>
        </w:trPr>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6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EE"/>
              </w:rPr>
              <w:t>Press Release – WeRide Inc. Announces Fourth Quarter and Full Year 2025 Unaudited Financial Results</w:t>
            </w:r>
          </w:p>
        </w:tc>
      </w:tr>
      <w:tr>
        <w:trPr>
          <w:trHeight w:val="196"/>
        </w:trPr>
        <w:tc>
          <w:tcPr>
            <w:tcW w:w="3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4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Announcement—Annual Results Announcement for the Year Ended December 31, 2025</w:t>
            </w:r>
          </w:p>
        </w:tc>
        <w:tc>
          <w:tcPr>
            <w:tcW w:w="2540" w:type="dxa"/>
            <w:vAlign w:val="bottom"/>
          </w:tcPr>
          <w:p>
            <w:pPr>
              <w:spacing w:after="0"/>
              <w:rPr>
                <w:sz w:val="17"/>
                <w:szCs w:val="17"/>
                <w:color w:val="auto"/>
              </w:rPr>
            </w:pPr>
          </w:p>
        </w:tc>
      </w:tr>
      <w:tr>
        <w:trPr>
          <w:trHeight w:val="453"/>
        </w:trPr>
        <w:tc>
          <w:tcPr>
            <w:tcW w:w="320" w:type="dxa"/>
            <w:vAlign w:val="bottom"/>
            <w:tcBorders>
              <w:top w:val="single" w:sz="8" w:color="0000EE"/>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0" w:type="dxa"/>
            <w:vAlign w:val="bottom"/>
            <w:tcBorders>
              <w:top w:val="single" w:sz="8" w:color="0000EE"/>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WeRide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Jennifer Li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WeRide Reports Record Full Year 2025 Revenue of RMB684.6 Million, Up 90% Year over Year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WeRide Inc. Announces Fourth Quarter and Full Year 2025 Unaudited Financial Results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NEW YORK, March 23, 2026 (GLOBE NEWSWIRE) – WeRide Inc. (“WeRide” or the “Company”) (Nasdaq: WRD; HKEX: 0800), a global leader in autonomous driving technology, today announced its unaudited financial results for the fourth quarter and full year 2025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Financial Highlights</w:t>
      </w:r>
    </w:p>
    <w:p>
      <w:pPr>
        <w:spacing w:after="0" w:line="227"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Total revenue was RMB314.0 million (US$44.9 million), representing an increase of 123.0% year over year.</w:t>
      </w:r>
    </w:p>
    <w:p>
      <w:pPr>
        <w:spacing w:after="0" w:line="225"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revenue was RMB211.4 million (US$30.2 million), representing an increase of 308.9% year over year, primarily attributable to increased revenue from robotaxi and robobus sales.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 revenue was RMB102.6 million (US$14.7 million), representing an increase of 15.2% year over year.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Robotaxi revenue was RMB50.6 million (US$7.2 million), including product revenue and service revenue, representing an increase of 66.4% year over year.</w:t>
      </w:r>
    </w:p>
    <w:p>
      <w:pPr>
        <w:spacing w:after="0" w:line="15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Gross profit was RMB89.5 million (US$12.8 million), representing an increase of 74.1% year over year, with a gross profit margin of 28.5%.</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R&amp;D expenses were RMB411.2 million (US$58.8 million), representing an increase of 28.5% year over year.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Operating loss was RMB577.2 million (US$82.5 million), representing a narrowing of 1.7% year over year.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loss was RMB556.1 million (US$79.5 million), representing a narrowing of 6.1% year over year.</w:t>
      </w:r>
    </w:p>
    <w:p>
      <w:pPr>
        <w:spacing w:after="0" w:line="225" w:lineRule="exact"/>
        <w:rPr>
          <w:rFonts w:ascii="Times New Roman" w:cs="Times New Roman" w:eastAsia="Times New Roman" w:hAnsi="Times New Roman"/>
          <w:sz w:val="18"/>
          <w:szCs w:val="18"/>
          <w:color w:val="auto"/>
        </w:rPr>
      </w:pPr>
    </w:p>
    <w:p>
      <w:pPr>
        <w:ind w:left="340" w:hanging="332"/>
        <w:spacing w:after="0" w:line="284"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 of December 31, 2025, WeRide held an aggregated balance of RMB7.1 billion (US$1.0 billion) in cash, cash equivalents, time deposits, restricted cash, and investments in wealth management products, which were included in financial assets at fair value through profit or loss (“FVTPL”).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Financial Highlights</w:t>
      </w:r>
    </w:p>
    <w:p>
      <w:pPr>
        <w:spacing w:after="0" w:line="227"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Total revenue was RMB684.6 million (US$97.9 million), representing an increase of 89.6% year over year.</w:t>
      </w:r>
    </w:p>
    <w:p>
      <w:pPr>
        <w:spacing w:after="0" w:line="225"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revenue was RMB359.8 million (US$51.5 million), representing an increase of 310.3% year over year, primarily attributable to the broad rollout and scaling of robotaxi, robobus, and robosweeper products.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 revenue was RMB324.7 million (US$46.4 million), representing an increase of 18.8% year over year.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Robotaxi revenue was RMB148.0 million (US$21.2 million), including product revenue and service revenue, representing an increase of 209.6% year over year.</w:t>
      </w:r>
    </w:p>
    <w:p>
      <w:pPr>
        <w:spacing w:after="0" w:line="15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Gross profit was RMB206.8 million (US$29.6 million), representing an increase of 86.8% year over year.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Gross profit margin was 30.2%, relatively stable compared with 30.7% in 2024.</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R&amp;D expenses were RMB1.4 billion (US$196.2 million), compared with RMB1.1 billion in 2024.</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Operating loss was RMB1.8 billion (US$264.1 million), representing a narrowing of 15.5% year over year.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loss was RMB1.7 billion (US$236.6 million), representing a narrowing of 34.2% year over year.</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Robotaxi Business Update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Robotaxi remained a key driver of our operational growth during the reporting period, powered by continued commercialization in China and ongoing international deployment. During the period, we have advanced toward a more data-driven autonomy stack by incorporating end-to-end learning, leveraging large-scale data training and world model simulation, as well as improving algorithm generalization. As of the date of this announcement, our global robotaxi fleet size has reached the new height of 1,125 vehicles.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China Operations</w:t>
      </w:r>
    </w:p>
    <w:p>
      <w:pPr>
        <w:spacing w:after="0" w:line="225" w:lineRule="exact"/>
        <w:rPr>
          <w:sz w:val="20"/>
          <w:szCs w:val="20"/>
          <w:color w:val="auto"/>
        </w:rPr>
      </w:pPr>
    </w:p>
    <w:p>
      <w:pPr>
        <w:jc w:val="both"/>
        <w:ind w:left="340" w:hanging="332"/>
        <w:spacing w:after="0" w:line="259"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cost of ownership (TCO) reduced by 38%. </w:t>
      </w:r>
      <w:r>
        <w:rPr>
          <w:rFonts w:ascii="Times New Roman" w:cs="Times New Roman" w:eastAsia="Times New Roman" w:hAnsi="Times New Roman"/>
          <w:sz w:val="18"/>
          <w:szCs w:val="18"/>
          <w:color w:val="auto"/>
        </w:rPr>
        <w:t>This improvement was primarily driven by improved operating efficiency and lower vehicle bill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(BOM) costs. The upgrade of our remote assistance system, driven by technological advancements and GENESIS's enhanced capability to resolve edge cases, improved the remote assistance human-to-vehicle ratio from 1:10 in 2024 to 1:40. This materially reduced labor cost per vehicle and supports scalable unit economics. Additionally, BOM costs dropped by 15% with the newly upgraded robotaxi GXR, powered by our cost-effective compute platform HPC 3.0.</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Better fleet utilization and broader network expansion</w:t>
      </w:r>
      <w:r>
        <w:rPr>
          <w:rFonts w:ascii="Times New Roman" w:cs="Times New Roman" w:eastAsia="Times New Roman" w:hAnsi="Times New Roman"/>
          <w:sz w:val="18"/>
          <w:szCs w:val="18"/>
          <w:color w:val="auto"/>
        </w:rPr>
        <w:t>. Fleet utilization continued to improve, supported by an expanding operating area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broader service coverage. Our commercial and testing fleet in China has surpassed 800 robotaxis, increasing operational density and reducing passenger waiting times, with the latest “free pickup and drop off point” feature across the operating area. Over the past six months, average daily orders per vehicle reached 15, rising to 26 during peak periods, reflecting stronger demand and improved utilization. Our rollout in mega-metropolitan areas such as Beijing and Guangzhou has expanded coverage to over 1,000 square kilometers, including key transportation hubs like airports and major railway stations, with further penetration into high-demand districts such as Tianhe, a CBD area in Guangzhou.</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Customer reach broadened via major mobility platforms. </w:t>
      </w:r>
      <w:r>
        <w:rPr>
          <w:rFonts w:ascii="Times New Roman" w:cs="Times New Roman" w:eastAsia="Times New Roman" w:hAnsi="Times New Roman"/>
          <w:sz w:val="18"/>
          <w:szCs w:val="18"/>
          <w:color w:val="auto"/>
        </w:rPr>
        <w:t>In addition to the WeRide Go app and the "WeRide Go" Wechat Mini Program, WeRide's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robotaxi service has been integrated into major mobility platforms like the "Tencent Mobility Service" Wechat Mini Program and Amap, and will be soon available on Tencent Maps, making our robotaxis more accessible across China. During the fourth quarter of 2025, registered users of WeRide robotaxi service saw a year-over-year growth of more than 900%, indicating that our operating performance increasingly resonates with users.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International Operations</w:t>
      </w:r>
    </w:p>
    <w:p>
      <w:pPr>
        <w:spacing w:after="0" w:line="225" w:lineRule="exact"/>
        <w:rPr>
          <w:sz w:val="20"/>
          <w:szCs w:val="20"/>
          <w:color w:val="auto"/>
        </w:rPr>
      </w:pPr>
    </w:p>
    <w:p>
      <w:pPr>
        <w:jc w:val="both"/>
        <w:ind w:left="340" w:hanging="332"/>
        <w:spacing w:after="0" w:line="26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Expansion focuses on markets with supportive regulatory environments and favorable unit economics. </w:t>
      </w:r>
      <w:r>
        <w:rPr>
          <w:rFonts w:ascii="Times New Roman" w:cs="Times New Roman" w:eastAsia="Times New Roman" w:hAnsi="Times New Roman"/>
          <w:sz w:val="18"/>
          <w:szCs w:val="18"/>
          <w:color w:val="auto"/>
        </w:rPr>
        <w:t>We are leading the global expansion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robotaxis in key international markets, focusing on regions with supportive regulations and strong unit economics. Currently, our deployments span the Middle East, Europe, and developed Asia-Pacific, with a fleet of over 250 robotaxis outside China and the U.S. This represents the largest robotaxi fleet operated in these regions.</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First driverless robotaxi permit in Europe. </w:t>
      </w:r>
      <w:r>
        <w:rPr>
          <w:rFonts w:ascii="Times New Roman" w:cs="Times New Roman" w:eastAsia="Times New Roman" w:hAnsi="Times New Roman"/>
          <w:sz w:val="18"/>
          <w:szCs w:val="18"/>
          <w:color w:val="auto"/>
        </w:rPr>
        <w:t>In November 2025, WeRide received the first-ever driverless robotaxi permit for passenger service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Europe from Switzerland's Federal Roads Office (FEDRO), authorizing autonomous operations in the Greater Zurich across a 110-kilometer operating area. This milestone establishes WeRide's first-mover advantage in the European market and positions the Company to leverage Europe's regulatory framework to support expansion into additional European markets.</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Landmark driverless robotaxi permit and commercial launch in Abu Dhabi. </w:t>
      </w:r>
      <w:r>
        <w:rPr>
          <w:rFonts w:ascii="Times New Roman" w:cs="Times New Roman" w:eastAsia="Times New Roman" w:hAnsi="Times New Roman"/>
          <w:sz w:val="18"/>
          <w:szCs w:val="18"/>
          <w:color w:val="auto"/>
        </w:rPr>
        <w:t>In October 2025, WeRide secured the world's first city-level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driverless robotaxi commercial permit outside the U.S., removing the requirement for an in-vehicle safety officer and enabling unit economics breakeven of the Abu Dhabi fleet. In November 2025, WeRide and Uber launched fully driverless robotaxi commercial operations in Abu Dhabi and expanded to cover 70% of the city's core area over time. Passengers can book under Uber Comfort, UberX, or the new "Autonomous" category, Uber's first dedicated autonomous ride option globally.</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Autonomous Vehicle (AV) launch with Grab in Singapore</w:t>
      </w:r>
      <w:r>
        <w:rPr>
          <w:rFonts w:ascii="Times New Roman" w:cs="Times New Roman" w:eastAsia="Times New Roman" w:hAnsi="Times New Roman"/>
          <w:sz w:val="18"/>
          <w:szCs w:val="18"/>
          <w:color w:val="auto"/>
        </w:rPr>
        <w:t>. In November 2025, WeRide and Grab commenced autonomous vehicle testing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Singapore. WeRide's robotaxi and robobus are expected to begin carrying public passengers by April 2026, making Punggol Singapore's first residential neighborhood with an autonomous shuttle service.</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Robotaxi launch in Dubai and expansion across the Middle East. </w:t>
      </w:r>
      <w:r>
        <w:rPr>
          <w:rFonts w:ascii="Times New Roman" w:cs="Times New Roman" w:eastAsia="Times New Roman" w:hAnsi="Times New Roman"/>
          <w:sz w:val="18"/>
          <w:szCs w:val="18"/>
          <w:color w:val="auto"/>
        </w:rPr>
        <w:t>In December 2025, WeRide, in partnership with Uber and Dubai’s Roads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Transport Authority (RTA), launched public robotaxi passenger rides in Dubai, allowing riders to book a WeRide Robotaxi through the ‘Autonomous’ option on the Uber app. In October 2025, WeRide and Uber also began offering the first public robotaxi rides in Riyadh, and WeRide launched robotaxi GXR and robobus pilot operations in Ras Al Khaimah, expanding into a third UAE emirate.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ind w:left="340" w:hanging="332"/>
        <w:spacing w:after="0" w:line="214" w:lineRule="auto"/>
        <w:tabs>
          <w:tab w:leader="none" w:pos="34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Global footprint expanded to a 12</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country. </w:t>
      </w:r>
      <w:r>
        <w:rPr>
          <w:rFonts w:ascii="Times New Roman" w:cs="Times New Roman" w:eastAsia="Times New Roman" w:hAnsi="Times New Roman"/>
          <w:sz w:val="18"/>
          <w:szCs w:val="18"/>
          <w:color w:val="auto"/>
        </w:rPr>
        <w:t>In March 2026, WeRide announced its entry into Slovakia through a strategic partnership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ELEVATE Slovakia to deploy autonomous vehicles including robotaxi, robobus, robovan, and robosweeper, launching the country’s first AV program. This national-level rollout represents Europe's first large-scale, multi-product autonomous driving commercial deployment. The move marks WeRide's fourth European market after France, Belgium, and Switzerland, bringing its global footprint to over 40 cities across 12 countries.</w:t>
      </w:r>
    </w:p>
    <w:p>
      <w:pPr>
        <w:spacing w:after="0" w:line="194" w:lineRule="exact"/>
        <w:rPr>
          <w:rFonts w:ascii="Times New Roman" w:cs="Times New Roman" w:eastAsia="Times New Roman" w:hAnsi="Times New Roman"/>
          <w:sz w:val="36"/>
          <w:szCs w:val="36"/>
          <w:color w:val="auto"/>
          <w:vertAlign w:val="superscript"/>
        </w:rPr>
      </w:pPr>
    </w:p>
    <w:p>
      <w:pPr>
        <w:jc w:val="both"/>
        <w:ind w:left="34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Scalable and capital-efficient growth model. </w:t>
      </w:r>
      <w:r>
        <w:rPr>
          <w:rFonts w:ascii="Times New Roman" w:cs="Times New Roman" w:eastAsia="Times New Roman" w:hAnsi="Times New Roman"/>
          <w:sz w:val="18"/>
          <w:szCs w:val="18"/>
          <w:color w:val="auto"/>
        </w:rPr>
        <w:t>We adopt an asset-light approach that keeps vehicles off balance sheet by leveraging partners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leasing firms. This enables faster city launches and avoids cold-start issues through hybrid fleets, while strengthening pricing power, improving economics, and enhancing regulatory appeal.</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Global deployment continues to advance toward our medium- and long-term targets. </w:t>
      </w:r>
      <w:r>
        <w:rPr>
          <w:rFonts w:ascii="Times New Roman" w:cs="Times New Roman" w:eastAsia="Times New Roman" w:hAnsi="Times New Roman"/>
          <w:sz w:val="18"/>
          <w:szCs w:val="18"/>
          <w:color w:val="auto"/>
        </w:rPr>
        <w:t>We have expanded services in Abu Dhabi, Dubai,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Riyadh, while advancing operations in Switzerland and Singapore. Based on our current expansion pipeline, our global robotaxi fleet is projected to reach 2,600 vehicles by the end of 2026, subject to market and regulatory conditions. These developments lay the foundation for our long-term plan to deploy tens of thousands of robotaxis globally by 2030.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Autonomous Applications</w:t>
      </w:r>
    </w:p>
    <w:p>
      <w:pPr>
        <w:spacing w:after="0" w:line="229" w:lineRule="exact"/>
        <w:rPr>
          <w:sz w:val="20"/>
          <w:szCs w:val="20"/>
          <w:color w:val="auto"/>
        </w:rPr>
      </w:pPr>
    </w:p>
    <w:p>
      <w:pPr>
        <w:jc w:val="both"/>
        <w:ind w:left="340" w:hanging="332"/>
        <w:spacing w:after="0" w:line="281" w:lineRule="auto"/>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L2+ advanced driver assistance system (ADAS), WePilot 3.0, has been adopted by OEMs and Tier-1 suppliers, including Chery, GAC, and Bosch, across multiple vehicle models. The system features a single-stage end-to-end architecture and vision-based perception, enabling scalable deployment and strong performance across diverse driving conditions. In the Second China Urban Intelligent Driving Competition hosted by D1EV.COM, Chery Exeed, a mass market passenger car model powered by WePilot 3.0, made history by winning first place in three competition stops.</w:t>
      </w:r>
    </w:p>
    <w:p>
      <w:pPr>
        <w:spacing w:after="0" w:line="164" w:lineRule="exact"/>
        <w:rPr>
          <w:rFonts w:ascii="Times New Roman" w:cs="Times New Roman" w:eastAsia="Times New Roman" w:hAnsi="Times New Roman"/>
          <w:sz w:val="17"/>
          <w:szCs w:val="17"/>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diversified mobility applications generate additional revenue streams and support our presence in 12 countries globally. WeRide's global AV fleet, spanning robotaxis, robobuses, robovans, and robosweepers, grew rapidly from 1,089 vehicles at the end of 2024 to 2,113 as of the date of this announcement.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robobus business recorded approximately 190% year-over-year revenue growth in 2025. We expanded into European markets, including Switzerland, France, Belgium, Spain, and Slovakia, where labor shortages in public transportation systems are increasing demand for autonomous shuttles.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Development</w:t>
      </w:r>
    </w:p>
    <w:p>
      <w:pPr>
        <w:spacing w:after="0" w:line="225" w:lineRule="exact"/>
        <w:rPr>
          <w:sz w:val="20"/>
          <w:szCs w:val="20"/>
          <w:color w:val="auto"/>
        </w:rPr>
      </w:pPr>
    </w:p>
    <w:p>
      <w:pPr>
        <w:jc w:val="both"/>
        <w:ind w:left="340" w:hanging="332"/>
        <w:spacing w:after="0" w:line="26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WeRide GENESIS accelerates AI-driven development. </w:t>
      </w:r>
      <w:r>
        <w:rPr>
          <w:rFonts w:ascii="Times New Roman" w:cs="Times New Roman" w:eastAsia="Times New Roman" w:hAnsi="Times New Roman"/>
          <w:sz w:val="18"/>
          <w:szCs w:val="18"/>
          <w:color w:val="auto"/>
        </w:rPr>
        <w:t>We launched WeRide GENESIS, a general-purpose simulation platform that combines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physical AI and generative AI to generate photorealistic virtual driving environments, including rare edge cases, in minutes rather than days. WeRide GENESIS enables unsupervised, closed-loop training at scale, accelerating model iteration and safety validation while significantly reducing on-road testing costs, and reinforcing the technological moat underpinning our L2-to-L4 product portfolio.</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Next-generation GXR delivers safer, lower-cost robotaxis at scale. </w:t>
      </w:r>
      <w:r>
        <w:rPr>
          <w:rFonts w:ascii="Times New Roman" w:cs="Times New Roman" w:eastAsia="Times New Roman" w:hAnsi="Times New Roman"/>
          <w:sz w:val="18"/>
          <w:szCs w:val="18"/>
          <w:color w:val="auto"/>
        </w:rPr>
        <w:t>We deepened our collaboration with Geely Farizon to deliver the next-generation robotaxi GXR as a purpose-built, factory pre-installed autonomous vehicle — eliminating post-production retrofitting and delivering higher safety consistency, lower unit costs, and faster assembly. The upgraded GXR will enter serial production equipped with HPC 3.0, our proprietary high-performance computing platform with a more compute-efficient architecture, reducing per-vehicle production time to under 10 minutes and further strengthening the scalability of our asset-light deployment model with fleet partners.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jc w:val="both"/>
        <w:ind w:left="40"/>
        <w:spacing w:after="0" w:line="261" w:lineRule="auto"/>
        <w:rPr>
          <w:sz w:val="20"/>
          <w:szCs w:val="20"/>
          <w:color w:val="auto"/>
        </w:rPr>
      </w:pPr>
      <w:r>
        <w:rPr>
          <w:rFonts w:ascii="Times New Roman" w:cs="Times New Roman" w:eastAsia="Times New Roman" w:hAnsi="Times New Roman"/>
          <w:sz w:val="18"/>
          <w:szCs w:val="18"/>
          <w:color w:val="auto"/>
        </w:rPr>
        <w:t>On March 23, 2026, our board of directors authorized a share repurchase program, effective as of March 23, 2026, under which we may repurchase up to US$100 million of our Class A ordinary shares (including in the form of American depositary shares) over the next 12 months, subject to the scope and limit of the repurchase mandate granted by shareholders of the Company on March 13, 2026 and the approval of a similar repurchase mandate to be put forward to shareholders at the upcoming 2026 annual general meeting of the Company.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both"/>
        <w:spacing w:after="0" w:line="255" w:lineRule="auto"/>
        <w:rPr>
          <w:sz w:val="20"/>
          <w:szCs w:val="20"/>
          <w:color w:val="auto"/>
        </w:rPr>
      </w:pPr>
      <w:r>
        <w:rPr>
          <w:rFonts w:ascii="Times New Roman" w:cs="Times New Roman" w:eastAsia="Times New Roman" w:hAnsi="Times New Roman"/>
          <w:sz w:val="18"/>
          <w:szCs w:val="18"/>
          <w:color w:val="auto"/>
        </w:rPr>
        <w:t>Our proposed repurchases may be made from time to time on the open market at prevailing market prices, in privately negotiated transactions, in block trades and/or through other legally permissible means, depending on market conditions and in accordance with applicable rules and regulations. Our board of directors will review the implementation of the share repurchase program periodically and may modify, suspend or terminate the share repurchase program as it shall deem necessary or desirable. We expect to fund the repurchases out of our existing cash balance. As of the date of this press release, no share repurchase plan has been entered into and shareholders and prospective investors of the Company should note that there is no assurance of the timing, quantity or price of any share repurchase or whether the Company will make any repurchase at all. Shareholders and prospective investors of the Company should exercise caution when dealing in the securities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Tony Han, WeRide's Founder, Chairman, and Chief Executive Officer, stated, “Our robotaxi business achieved significant milestones during the reporting period, reflecting the growing adoption of autonomous mobility. In China, our registered users have grown quarter over quarter significantly throughout 2025, demonstrating increasing public acceptance of our services. Internationally, we are rolling out a citywide fully driverless robotaxi service in Abu Dhabi, marking a major step toward integrating autonomous transportation into everyday urban mobility. With a pipeline of AV deployments across 12 countries, we are building a leading global platform for autonomous mobility.”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Jennifer Li, WeRide’s Chief Financial Officer and Head of International, added, “In 2025, we delivered record revenue of US$97.9 million, up 90% year over year, reflecting strong commercial momentum as AV fleets expanded in both domestic and international markets. Gross margin remained healthy at 30.2%, benefiting from our focus on higher-value mobility markets and a disciplined deployment strategy that improves operational efficiency. Operating loss narrowed by 15.5% year over year, reflecting continued efficiency gains from our shared autonomous driving platform.”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 grew 123.0% year over year to RMB314.0 million (US$44.9 million) in the fourth quarter of 2025, compared with RMB140.8 million in the same period of 2024.</w:t>
      </w:r>
    </w:p>
    <w:p>
      <w:pPr>
        <w:spacing w:after="0" w:line="162" w:lineRule="exact"/>
        <w:rPr>
          <w:sz w:val="20"/>
          <w:szCs w:val="20"/>
          <w:color w:val="auto"/>
        </w:rPr>
      </w:pPr>
    </w:p>
    <w:p>
      <w:pPr>
        <w:ind w:left="340" w:right="2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revenue increased 308.9% year over year to RMB211.4 million (US$30.2 million) in the fourth quarter of 2025 from RMB51.7 million in the same period of 2024. The increase was primarily attributable to increased revenue from robotaxi and robobus sales.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increased 15.2% year over year to RMB102.6 million (US$14.7 million) in the fourth quarter of 2025 from RMB89.1 million in the same period of 2024. The increase was primarily due to a RMB12.6 million increase in revenue from intelligent data services and a RMB4.9 million increase in autonomous driving-related operational and technical support services, partially offset by a RMB4.0 million decrease in ADAS research and development (R&amp;D) services.</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Robotaxi revenue, including product revenue and service revenue, increased 66.4% year over year to RMB50.6 million (US$7.2 million) in the fourth quarter of 2025 from RMB30.4 million in the same period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was RMB224.5 million (US$32.1 million) in the fourth quarter of 2025, compared with RMB89.5 million in the same period of 2024. The increase in cost of revenue was mainly due to (i) an increase in cost of goods sold, aligned with the increase in product sales; and (ii) an increase in costs of services, affected by an increase in costs of intelligent data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was RMB89.5 million (US$12.8 million) in the fourth quarter of 2025, compared with RMB51.4 million in the same period of 2024. Gross margin was 28.5% in the fourth quarter of 2025, compared with 36.5% in the same period of 2024. The decline in overall gross margin in the fourth quarter of 2025 was primarily due to a lower contribution from higher-margin ADAS R&amp;D services compared with the same period of 2024.</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expenses were RMB654.8 million (US$93.6 million) in the fourth quarter of 2025, compared with RMB639.8 million in the same period of 2024.</w:t>
      </w:r>
    </w:p>
    <w:p>
      <w:pPr>
        <w:spacing w:after="0" w:line="162" w:lineRule="exact"/>
        <w:rPr>
          <w:sz w:val="20"/>
          <w:szCs w:val="20"/>
          <w:color w:val="auto"/>
        </w:rPr>
      </w:pPr>
    </w:p>
    <w:p>
      <w:pPr>
        <w:jc w:val="both"/>
        <w:ind w:left="340" w:hanging="332"/>
        <w:spacing w:after="0" w:line="258"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expenses were RMB411.2 million (US$58.8 million), compared with RMB320.0 million in the same period of 2024. Excluding share-based compensation, R&amp;D expenses were RMB365.9 million, compared to RMB283.8 million in the same period of 2024, representing an increase of 28.9% as we further strengthened our global data compliance and advanced R&amp;D efforts for our pre-installed robotaxis. The increase in R&amp;D expenses was primarily due to (i) an increase of RMB23.0 million in personnel-related expenses from headcount increase; (ii) an increase of RMB33.0 million in service fees for R&amp;D projects; and (iii) an increase of RMB18.5 million in material consumption and depreciation and amortization expenses.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expenses were RMB216.8 million (US$31.0 million) in the fourth quarter of 2025, compared with RMB304.5 million in the same period of 2024. Excluding share-based compensation, administrative expenses were RMB88.2 million, compared with RMB66.1 million in the same period of 2024, representing an increase of 33.4%. The increase was primarily due to (i) an increase of RMB15.4 million in professional services fees mainly related to legal compliance services; (ii) an increase of RMB4.6 million in depreciation and amortization expenses; and (iii) an increase of RMB3.9 million in personnel costs to build necessary support functions for a growing business.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expenses were RMB26.8 million (US$3.8 million) in the fourth quarter of 2025, compared with RMB15.2 million in the same period of 2024. Excluding share-based compensation, selling expenses were RMB25.6 million, compared with RMB13.5 million in the same period of 2024, representing an increase of 89.6%, well below the pace of sales growth.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RMB556.1 million (US$79.5 million) in the fourth quarter of 2025, compared with RMB592.4 million in the same period of 2024.</w:t>
      </w:r>
    </w:p>
    <w:p>
      <w:pPr>
        <w:spacing w:after="0" w:line="228" w:lineRule="exact"/>
        <w:rPr>
          <w:rFonts w:ascii="Times New Roman" w:cs="Times New Roman" w:eastAsia="Times New Roman" w:hAnsi="Times New Roman"/>
          <w:sz w:val="18"/>
          <w:szCs w:val="18"/>
          <w:color w:val="auto"/>
        </w:rPr>
      </w:pPr>
    </w:p>
    <w:p>
      <w:pPr>
        <w:ind w:left="340" w:right="20" w:hanging="332"/>
        <w:spacing w:after="0" w:line="188" w:lineRule="auto"/>
        <w:tabs>
          <w:tab w:leader="none" w:pos="340" w:val="left"/>
        </w:tabs>
        <w:numPr>
          <w:ilvl w:val="0"/>
          <w:numId w:val="1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Non-IFRS adjusted net loss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was RMB376.0 million (US$53.8 million) in the fourth quarter of 2025, compared with RMB245.5 million in the same period of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Loss Per ADS</w:t>
      </w:r>
      <w:r>
        <w:rPr>
          <w:rFonts w:ascii="Times New Roman" w:cs="Times New Roman" w:eastAsia="Times New Roman" w:hAnsi="Times New Roman"/>
          <w:sz w:val="29"/>
          <w:szCs w:val="29"/>
          <w:b w:val="1"/>
          <w:bCs w:val="1"/>
          <w:i w:val="1"/>
          <w:iCs w:val="1"/>
          <w:color w:val="auto"/>
          <w:vertAlign w:val="superscript"/>
        </w:rPr>
        <w:t>2</w:t>
      </w:r>
    </w:p>
    <w:p>
      <w:pPr>
        <w:spacing w:after="0" w:line="139" w:lineRule="exact"/>
        <w:rPr>
          <w:sz w:val="20"/>
          <w:szCs w:val="20"/>
          <w:color w:val="auto"/>
        </w:rPr>
      </w:pPr>
    </w:p>
    <w:p>
      <w:pPr>
        <w:ind w:left="340" w:right="2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net loss per ordinary share was RMB0.57 (US$0.08) in the fourth quarter of 2025, compared with RMB0.81 in the same period of 2024.</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net loss per ADS were RMB1.71 (US$0.24) in the fourth quarter of 2025, compared with RMB2.43 in the same period of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grew 89.6% year over year to RMB684.6 million (US$97.9 million) in 2025, compared with RMB361.1 million in 2024.</w:t>
      </w:r>
    </w:p>
    <w:p>
      <w:pPr>
        <w:spacing w:after="0" w:line="225" w:lineRule="exact"/>
        <w:rPr>
          <w:sz w:val="20"/>
          <w:szCs w:val="20"/>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revenue increased 310.3% year over year to RMB359.8 million (US$51.5 million) in 2025 from RMB87.7 million in 2024. The increase was primarily attributable to increased revenue from robotaxi, robobus, and robosweeper sales.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increased 18.8% year over year to RMB324.7 million (US$46.4 million) in 2025 from RMB273.4 million in 2024. The increase was primarily due to a RMB103.8 million increase in revenue from intelligent data services and a RMB17.7 million increase in autonomous driving-related operational and technical support services, partially offset by a RMB70.1 million decrease in ADAS R&amp;D services, as certain customized R&amp;D services for specific clients were completed in the third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7" w:lineRule="exact"/>
        <w:rPr>
          <w:sz w:val="20"/>
          <w:szCs w:val="20"/>
          <w:color w:val="auto"/>
        </w:rPr>
      </w:pPr>
    </w:p>
    <w:p>
      <w:pPr>
        <w:jc w:val="both"/>
        <w:ind w:left="720" w:hanging="658"/>
        <w:spacing w:after="0" w:line="210" w:lineRule="auto"/>
        <w:tabs>
          <w:tab w:leader="none" w:pos="72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net loss is defined as net loss for the period excluding share-based compensation expenses, fair value changes of financial assets at FVTPL and changes in the carrying amounts of preferred shares and other financial instruments subject to redemption and other preferential rights.</w:t>
      </w:r>
    </w:p>
    <w:p>
      <w:pPr>
        <w:spacing w:after="0" w:line="89" w:lineRule="exact"/>
        <w:rPr>
          <w:sz w:val="20"/>
          <w:szCs w:val="20"/>
          <w:color w:val="auto"/>
        </w:rPr>
      </w:pPr>
    </w:p>
    <w:p>
      <w:pPr>
        <w:ind w:left="720" w:hanging="658"/>
        <w:spacing w:after="0"/>
        <w:tabs>
          <w:tab w:leader="none" w:pos="72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ADS-to-Class A ordinary share ratio is 1:3.</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was RMB477.8 million (US$68.3 million) in 2025, compared with RMB250.4 million in 2024. The increase in cost of revenue was mainly due to (i) an increase in cost of goods sold, aligned with the increase in product sales; and (ii) an increase in costs of services, affected by an increase in costs of intelligent data services, partially offset by a decrease in costs of ADAS R&amp;D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Gross profit was RMB206.8 million (US$29.6 million) in 2025, compared with RMB110.7 million in 2024. Gross margin was 30.2% in 2025, compared with 30.7% in 2024, remaining relatively stable.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were RMB2,041.9 million (US$292.0 million) in 2025, compared with RMB2,283.7 million in 2024.</w:t>
      </w:r>
    </w:p>
    <w:p>
      <w:pPr>
        <w:spacing w:after="0" w:line="225" w:lineRule="exact"/>
        <w:rPr>
          <w:sz w:val="20"/>
          <w:szCs w:val="20"/>
          <w:color w:val="auto"/>
        </w:rPr>
      </w:pPr>
    </w:p>
    <w:p>
      <w:pPr>
        <w:jc w:val="both"/>
        <w:ind w:left="340" w:hanging="332"/>
        <w:spacing w:after="0" w:line="258"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expenses were RMB1,372.2 million (US$196.2 million) in 2025, compared with RMB1,091.4 million in 2024. Excluding share-based compensation, R&amp;D expenses were RMB1,211.7 million, compared to RMB857.0 million in 2024, representing an increase of 41.4% as we further strengthened our global data compliance and advanced R&amp;D efforts for our pre-installed robotaxis. The increase in R&amp;D expenses was primarily due to (i) a RMB150.3 million increase in personnel-related expenses due to headcount growth; (ii) a RMB115.3 million increase in service fees for R&amp;D projects, and (iii) a RMB67.7 million increase in material consumption and depreciation and amortization expenses.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expenses were RMB596.1 million (US$85.2 million) in 2025, compared with RMB1,138.8 million in 2024. Excluding share-based compensation, administrative expenses were RMB311.7 million, compared with RMB201.1 million in 2024, representing an increase of 55.0%. The increase was primarily due to (i) a RMB76.6 million increase in professional services fees mainly related to legal compliance services; (ii) a RMB20.4 million increase in personnel costs to build necessary support functions for a growing business; and (iii) a RMB7.0 million increase in depreciation and amortization expenses.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expenses were RMB73.6 million (US$10.5 million) in 2025, compared with RMB53.6 million in 2024. Excluding share-based compensation, selling expenses were RMB68.5 million, compared with RMB44.9 million in 2024, representing an increase of 52.6%, well below the pace of sales growth.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RMB1,654.9 million (US$236.6 million) in 2025, compared with RMB2,516.8 million in 2024.</w:t>
      </w:r>
    </w:p>
    <w:p>
      <w:pPr>
        <w:spacing w:after="0" w:line="20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Non-IFRS adjusted net loss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was RMB1,246.7 million (US$178.3 million) in 2025, compared with RMB801.9 million in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Loss per ADS</w:t>
      </w:r>
    </w:p>
    <w:p>
      <w:pPr>
        <w:spacing w:after="0" w:line="223"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net loss per ordinary share was RMB1.79 (US$0.26) in 2025, compared with RMB8.54 in 2024.</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net loss per ADS were RMB5.37 (US$0.78) in 2025, compared with RMB25.62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2" w:lineRule="exact"/>
        <w:rPr>
          <w:sz w:val="20"/>
          <w:szCs w:val="20"/>
          <w:color w:val="auto"/>
        </w:rPr>
      </w:pPr>
    </w:p>
    <w:p>
      <w:pPr>
        <w:jc w:val="both"/>
        <w:ind w:left="880" w:hanging="818"/>
        <w:spacing w:after="0" w:line="210" w:lineRule="auto"/>
        <w:tabs>
          <w:tab w:leader="none" w:pos="88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net loss is defined as net loss for the period excluding share-based compensation expenses, fair value changes of financial assets at FVTPL and changes in the carrying amounts of preferred shares and other financial instruments subject to redemption and other preferential rights.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p>
      <w:pPr>
        <w:spacing w:after="0" w:line="229" w:lineRule="exact"/>
        <w:rPr>
          <w:sz w:val="20"/>
          <w:szCs w:val="20"/>
          <w:color w:val="auto"/>
        </w:rPr>
      </w:pPr>
    </w:p>
    <w:p>
      <w:pPr>
        <w:jc w:val="both"/>
        <w:ind w:left="3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WeRide held RMB6,967.7 million (US$996.4 million) in cash and cash equivalents and time deposits, RMB144.3 million (US$20.6 million) in investments in wealth management products, which were included in financial assets at FVTPL, and RMB19.4 million (US$2.8 million) in restricted cash.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announcement contains translations of certain Renminbi (“RMB”) amounts into U.S. dollars (“US$”) at specified rates solely for the convenience of the reader. Unless otherwise noted, all translations from RMB to US$ were made at a rate of RMB6.9931 to US$1.00, the exchange rate in effect as of December 31, 2025, as set forth in the H.10 statistical release of the Board of Governors of the Federal Reserve System. The Company makes no representation that any RMB or US$ amounts could have been, or could be, converted into US$ or RMB, as the case may be, at any particular rate,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Non-IFRS Financial Measures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evaluating its business, the Company considers and uses the non-IFRS financial measure of adjusted net loss as a supplemental measure to review and assess operating performance. The Company believes that adjusted net loss provides useful information to investors and others in understanding and evaluating the Company’s consolidated results of operations in the same manner as it helps the Company’s management. The Company defines adjusted net loss as net loss for the period excluding share-based compensation expenses, fair value changes of financial assets at FVTPL and changes in the carrying amounts of preferred shares and other financial instruments subject to redemption and other preferential rights.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presents the non-IFRS financial measure because it is used by its management to evaluate its operating performance and formulate business plans. Adjusted net loss enables the Company’s management to assess the Company’s operating results without considering the impact of the aforementioned non-cash adjustment items that it does not consider to be indicative of its core operations. Accordingly, the Company believes that the use of this non-IFRS financial measure provides useful information to investors and others in understanding and evaluating its operating results in the same manner as its management and board of directors.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non-IFRS financial measure is not defined under IFRS Accounting Standard and is not presented in accordance with IFRS. The non-IFRS financial measure has limitations as an analytical tool. One of the key limitations of using the adjusted net loss is that it does not reflect all items of expenses that affect the Company’s operations. Further, this non-IFRS measure may differ from the non-IFRS information used by other companies, including peer companies, and therefore its comparability may be limited.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non-IFRS financial measure should not be considered in isolation or construed as an alternative to loss for the period or any other measure of performance information prepared and presented in accordance with IFRS Accounting Standard or as an indicator of the Company’s operating performance. Investors are encouraged to review the Company’s historical non-IFRS financial measure in light of the most directly comparable IFRS measure, as shown below. The non-IFRS financial measure presented here may not be comparable to similarly titled measure presented by other companies. Other companies may calculate similarly titled measures differently, limiting the usefulness of such measures when analyzing the Company’s data comparatively. It is encouraged that you review the Company’s financial information in its entirety and not rely on a single financial measure.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will hold an earnings conference call at 8:00 A.M. U.S. Eastern Time on Monday, March 23, 2026 or 8:00 P.M. Hong Kong Time to discuss its financial results and operating performance for the fourth quarter and full year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Title: WeRide Inc. Fourth Quarter and Full Year 2025 Earnings Call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English Registration Link: </w:t>
      </w:r>
      <w:r>
        <w:rPr>
          <w:rFonts w:ascii="Times New Roman" w:cs="Times New Roman" w:eastAsia="Times New Roman" w:hAnsi="Times New Roman"/>
          <w:sz w:val="18"/>
          <w:szCs w:val="18"/>
          <w:u w:val="single" w:color="auto"/>
          <w:color w:val="auto"/>
        </w:rPr>
        <w:t>https://register-conf.media-server.com/register/BI98ad9a5da2d8418781930021448b277b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Chinese Simultaneous Interpretation Registration Link (listen-only mode):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https://register-conf.media-server.com/register/BI5cdaf73794244bef8f4e6c8a09f2a403</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All participants are required to complete the online registration in advance using the links provided above. During the registration, participants may select either the English or Chinese simultaneous interpretation options. Please note that the Chinese simultaneous interpretation line will be available in listen-only mode. Upon successful registration, each participant will receive a confirmation email containing the relevant dial-in details and a unique access PIN, which can be used to join the conference call.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a live and archived webcast of the conference call will be available at the Company's investor relations website at ir.weride.ai.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WeRide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WeRide is a global leader and a first mover in the autonomous driving industry, as well as the first publicly traded robotaxi company. Our autonomous vehicles have been tested or operated in over 40 cities across 12 countries. We are also the first and only technology company whose products have received autonomous driving permits in eight markets: China, Switzerland, the UAE, Singapore, France, Saudi Arabia, Belgium, and the U.S. Empowered by the smart, versatile, cost-effective, and highly adaptable WeRide One platform, WeRide provides autonomous driving products and services from L2 to L4, addressing transportation needs in the mobility, logistics, and sanitation industries. WeRide was named to Fortune's 2025 Change the World and 2025 Future 50 lists.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Statements that are not historical facts, including statements about WeRide’s beliefs, plans, and expectations, are forward-looking statements. Forward-looking statements involve inherent risks and uncertainties. Further information regarding these and other risks is included in WeRide’s filings with the SEC and announcements on the website of the Hong Kong Stock Exchange. All information provided in this press release is as of the date of this press release, and WeRide does not undertake any obligation to update any forward-looking statement, except as required under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 inquiries: </w:t>
      </w:r>
      <w:r>
        <w:rPr>
          <w:rFonts w:ascii="Times New Roman" w:cs="Times New Roman" w:eastAsia="Times New Roman" w:hAnsi="Times New Roman"/>
          <w:sz w:val="18"/>
          <w:szCs w:val="18"/>
          <w:u w:val="single" w:color="auto"/>
          <w:color w:val="auto"/>
        </w:rPr>
        <w:t>ir@weride.ai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Press inquiries: </w:t>
      </w:r>
      <w:r>
        <w:rPr>
          <w:rFonts w:ascii="Times New Roman" w:cs="Times New Roman" w:eastAsia="Times New Roman" w:hAnsi="Times New Roman"/>
          <w:sz w:val="18"/>
          <w:szCs w:val="18"/>
          <w:u w:val="single" w:color="auto"/>
          <w:color w:val="auto"/>
        </w:rPr>
        <w:t>pr@weride.ai</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weride@thepiacentegroup.com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WeRide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Financial Position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7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600" w:type="dxa"/>
            <w:vAlign w:val="bottom"/>
            <w:gridSpan w:val="2"/>
          </w:tcPr>
          <w:p>
            <w:pPr>
              <w:ind w:left="10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540" w:type="dxa"/>
            <w:vAlign w:val="bottom"/>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40" w:type="dxa"/>
            <w:vAlign w:val="bottom"/>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720" w:type="dxa"/>
            <w:vAlign w:val="bottom"/>
          </w:tcPr>
          <w:p>
            <w:pPr>
              <w:spacing w:after="0"/>
              <w:rPr>
                <w:sz w:val="20"/>
                <w:szCs w:val="20"/>
                <w:color w:val="auto"/>
              </w:rPr>
            </w:pPr>
          </w:p>
        </w:tc>
        <w:tc>
          <w:tcPr>
            <w:tcW w:w="33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RMB’000</w:t>
            </w:r>
          </w:p>
        </w:tc>
        <w:tc>
          <w:tcPr>
            <w:tcW w:w="34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US$’000</w:t>
            </w:r>
          </w:p>
        </w:tc>
        <w:tc>
          <w:tcPr>
            <w:tcW w:w="3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RMB’000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6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378,769</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54,163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178,179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6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65,870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9,419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73,564</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6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17,966</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2,569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21,664</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6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44,758</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44,758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non-current</w:t>
            </w:r>
          </w:p>
        </w:tc>
        <w:tc>
          <w:tcPr>
            <w:tcW w:w="36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6,487</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928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6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at FVTPL – non-current</w:t>
            </w:r>
          </w:p>
        </w:tc>
        <w:tc>
          <w:tcPr>
            <w:tcW w:w="36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188,083</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26,896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56,919</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6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23,668</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3,384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20,025</w:t>
            </w: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0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725,601</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103,759</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405,775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6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321,021</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45,905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204,705</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6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23,305</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3,333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28,005</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36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462,135</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66,084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252,607</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receivables</w:t>
            </w:r>
          </w:p>
        </w:tc>
        <w:tc>
          <w:tcPr>
            <w:tcW w:w="36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269,986</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38,608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197,652</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Prepayments to and amounts due from related parties</w:t>
            </w:r>
          </w:p>
        </w:tc>
        <w:tc>
          <w:tcPr>
            <w:tcW w:w="36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9,010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1,288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26,618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at FVTPL – current</w:t>
            </w:r>
          </w:p>
        </w:tc>
        <w:tc>
          <w:tcPr>
            <w:tcW w:w="36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144,252</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20,628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1,685,146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36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301,401</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43,100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620,148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6,666,304</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953,269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4,268,300</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 current</w:t>
            </w:r>
          </w:p>
        </w:tc>
        <w:tc>
          <w:tcPr>
            <w:tcW w:w="36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12,910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1,846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4,814</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8,210,324</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1,174,061</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7,287,995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8,935,925</w:t>
            </w: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1,277,820</w:t>
            </w:r>
          </w:p>
        </w:tc>
        <w:tc>
          <w:tcPr>
            <w:tcW w:w="3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7,693,770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6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7,900,174</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1,129,710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7,066,019</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40" w:type="dxa"/>
            <w:vAlign w:val="bottom"/>
            <w:vMerge w:val="restart"/>
          </w:tcPr>
          <w:p>
            <w:pPr>
              <w:jc w:val="right"/>
              <w:ind w:right="990"/>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7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WeRide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Financial Position (Continued)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0" w:type="dxa"/>
            <w:vAlign w:val="bottom"/>
            <w:gridSpan w:val="2"/>
          </w:tcPr>
          <w:p>
            <w:pPr>
              <w:ind w:left="10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540" w:type="dxa"/>
            <w:vAlign w:val="bottom"/>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40" w:type="dxa"/>
            <w:vAlign w:val="bottom"/>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780" w:type="dxa"/>
            <w:vAlign w:val="bottom"/>
          </w:tcPr>
          <w:p>
            <w:pPr>
              <w:spacing w:after="0"/>
              <w:rPr>
                <w:sz w:val="20"/>
                <w:szCs w:val="20"/>
                <w:color w:val="auto"/>
              </w:rPr>
            </w:pPr>
          </w:p>
        </w:tc>
        <w:tc>
          <w:tcPr>
            <w:tcW w:w="32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RMB’000</w:t>
            </w:r>
          </w:p>
        </w:tc>
        <w:tc>
          <w:tcPr>
            <w:tcW w:w="34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US$’000</w:t>
            </w:r>
          </w:p>
        </w:tc>
        <w:tc>
          <w:tcPr>
            <w:tcW w:w="3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RMB’000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35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23,241</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3,323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26,059</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Long-term bank loan</w:t>
            </w:r>
          </w:p>
        </w:tc>
        <w:tc>
          <w:tcPr>
            <w:tcW w:w="35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50,040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5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3,489</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4,486</w:t>
            </w: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5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7,720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4,677</w:t>
            </w: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9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34,450</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4,926</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85,262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Short-term bank loans</w:t>
            </w:r>
          </w:p>
        </w:tc>
        <w:tc>
          <w:tcPr>
            <w:tcW w:w="35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324,263</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46,369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30,019</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35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163,000</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23,309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20,713</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deposits received and accrued expenses</w:t>
            </w:r>
          </w:p>
        </w:tc>
        <w:tc>
          <w:tcPr>
            <w:tcW w:w="35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408,357</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58,394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397,755</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5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28,512</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4,077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4,476</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35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31,920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4,564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36,900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35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1,949</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9,450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Put option liabilities</w:t>
            </w:r>
          </w:p>
        </w:tc>
        <w:tc>
          <w:tcPr>
            <w:tcW w:w="35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43,300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6,192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41,099</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35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2,077</w:t>
            </w:r>
          </w:p>
        </w:tc>
        <w:tc>
          <w:tcPr>
            <w:tcW w:w="0" w:type="dxa"/>
            <w:vAlign w:val="bottom"/>
          </w:tcPr>
          <w:p>
            <w:pPr>
              <w:spacing w:after="0"/>
              <w:rPr>
                <w:sz w:val="1"/>
                <w:szCs w:val="1"/>
                <w:color w:val="auto"/>
              </w:rPr>
            </w:pPr>
          </w:p>
        </w:tc>
      </w:tr>
      <w:tr>
        <w:trPr>
          <w:trHeight w:val="209"/>
        </w:trPr>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98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1,001,301</w:t>
            </w:r>
          </w:p>
        </w:tc>
        <w:tc>
          <w:tcPr>
            <w:tcW w:w="3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143,184</w:t>
            </w:r>
          </w:p>
        </w:tc>
        <w:tc>
          <w:tcPr>
            <w:tcW w:w="3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542,489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9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1,035,751</w:t>
            </w: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148,110</w:t>
            </w:r>
          </w:p>
        </w:tc>
        <w:tc>
          <w:tcPr>
            <w:tcW w:w="3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627,751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35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8,935,925</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1,277,820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7,693,770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CCEEFF"/>
            </w:tcBorders>
            <w:vMerge w:val="restart"/>
          </w:tcPr>
          <w:p>
            <w:pPr>
              <w:jc w:val="right"/>
              <w:ind w:right="950"/>
              <w:spacing w:after="0"/>
              <w:rPr>
                <w:sz w:val="20"/>
                <w:szCs w:val="20"/>
                <w:color w:val="auto"/>
              </w:rPr>
            </w:pPr>
            <w:r>
              <w:rPr>
                <w:rFonts w:ascii="Times New Roman" w:cs="Times New Roman" w:eastAsia="Times New Roman" w:hAnsi="Times New Roman"/>
                <w:sz w:val="18"/>
                <w:szCs w:val="18"/>
                <w:color w:val="auto"/>
              </w:rPr>
              <w:t>10</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7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WeRide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Profit or Loss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3760" w:type="dxa"/>
            <w:vAlign w:val="bottom"/>
            <w:gridSpan w:val="7"/>
          </w:tcPr>
          <w:p>
            <w:pPr>
              <w:jc w:val="right"/>
              <w:ind w:right="90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540" w:type="dxa"/>
            <w:vAlign w:val="bottom"/>
            <w:gridSpan w:val="7"/>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r>
      <w:tr>
        <w:trPr>
          <w:trHeight w:val="223"/>
        </w:trPr>
        <w:tc>
          <w:tcPr>
            <w:tcW w:w="3940" w:type="dxa"/>
            <w:vAlign w:val="bottom"/>
          </w:tcPr>
          <w:p>
            <w:pPr>
              <w:spacing w:after="0"/>
              <w:rPr>
                <w:sz w:val="19"/>
                <w:szCs w:val="19"/>
                <w:color w:val="auto"/>
              </w:rPr>
            </w:pPr>
          </w:p>
        </w:tc>
        <w:tc>
          <w:tcPr>
            <w:tcW w:w="144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38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0"/>
        </w:trPr>
        <w:tc>
          <w:tcPr>
            <w:tcW w:w="3940" w:type="dxa"/>
            <w:vAlign w:val="bottom"/>
          </w:tcPr>
          <w:p>
            <w:pPr>
              <w:spacing w:after="0"/>
              <w:rPr>
                <w:sz w:val="18"/>
                <w:szCs w:val="18"/>
                <w:color w:val="auto"/>
              </w:rPr>
            </w:pPr>
          </w:p>
        </w:tc>
        <w:tc>
          <w:tcPr>
            <w:tcW w:w="14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i w:val="1"/>
                <w:iCs w:val="1"/>
                <w:color w:val="auto"/>
              </w:rPr>
              <w:t>RMB’000</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US$’000</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RMB’000</w:t>
            </w:r>
          </w:p>
        </w:tc>
        <w:tc>
          <w:tcPr>
            <w:tcW w:w="220" w:type="dxa"/>
            <w:vAlign w:val="bottom"/>
          </w:tcPr>
          <w:p>
            <w:pPr>
              <w:spacing w:after="0"/>
              <w:rPr>
                <w:sz w:val="18"/>
                <w:szCs w:val="18"/>
                <w:color w:val="auto"/>
              </w:rPr>
            </w:pPr>
          </w:p>
        </w:tc>
        <w:tc>
          <w:tcPr>
            <w:tcW w:w="13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i w:val="1"/>
                <w:iCs w:val="1"/>
                <w:color w:val="auto"/>
              </w:rPr>
              <w:t>RMB’000</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US$’000</w:t>
            </w: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RMB’000</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12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359,843</w:t>
            </w:r>
          </w:p>
        </w:tc>
        <w:tc>
          <w:tcPr>
            <w:tcW w:w="160" w:type="dxa"/>
            <w:vAlign w:val="bottom"/>
          </w:tcPr>
          <w:p>
            <w:pPr>
              <w:spacing w:after="0"/>
              <w:rPr>
                <w:sz w:val="18"/>
                <w:szCs w:val="18"/>
                <w:color w:val="auto"/>
              </w:rPr>
            </w:pP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51,457</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87,710</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211,377</w:t>
            </w: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30,227</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51,698</w:t>
            </w:r>
          </w:p>
        </w:tc>
      </w:tr>
      <w:tr>
        <w:trPr>
          <w:trHeight w:val="229"/>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revenue</w:t>
            </w:r>
          </w:p>
        </w:tc>
        <w:tc>
          <w:tcPr>
            <w:tcW w:w="12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324,744</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46,438</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273,424</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102,613</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14,673</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89,124</w:t>
            </w:r>
          </w:p>
        </w:tc>
      </w:tr>
      <w:tr>
        <w:trPr>
          <w:trHeight w:val="210"/>
        </w:trPr>
        <w:tc>
          <w:tcPr>
            <w:tcW w:w="394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684,587</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97,895</w:t>
            </w:r>
          </w:p>
        </w:tc>
        <w:tc>
          <w:tcPr>
            <w:tcW w:w="24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361,134</w:t>
            </w:r>
          </w:p>
        </w:tc>
        <w:tc>
          <w:tcPr>
            <w:tcW w:w="2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313,990</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44,900</w:t>
            </w:r>
          </w:p>
        </w:tc>
        <w:tc>
          <w:tcPr>
            <w:tcW w:w="2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140,822</w:t>
            </w:r>
          </w:p>
        </w:tc>
        <w:tc>
          <w:tcPr>
            <w:tcW w:w="100" w:type="dxa"/>
            <w:vAlign w:val="bottom"/>
            <w:tcBorders>
              <w:bottom w:val="single" w:sz="8" w:color="CCEEFF"/>
            </w:tcBorders>
          </w:tcPr>
          <w:p>
            <w:pPr>
              <w:spacing w:after="0"/>
              <w:rPr>
                <w:sz w:val="18"/>
                <w:szCs w:val="18"/>
                <w:color w:val="auto"/>
              </w:rPr>
            </w:pPr>
          </w:p>
        </w:tc>
      </w:tr>
      <w:tr>
        <w:trPr>
          <w:trHeight w:val="236"/>
        </w:trPr>
        <w:tc>
          <w:tcPr>
            <w:tcW w:w="394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Cost of revenue</w:t>
            </w:r>
            <w:r>
              <w:rPr>
                <w:rFonts w:ascii="Times New Roman" w:cs="Times New Roman" w:eastAsia="Times New Roman" w:hAnsi="Times New Roman"/>
                <w:sz w:val="27"/>
                <w:szCs w:val="27"/>
                <w:color w:val="auto"/>
                <w:vertAlign w:val="superscript"/>
              </w:rPr>
              <w:t>(a)</w:t>
            </w: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(253,530)</w:t>
            </w:r>
          </w:p>
        </w:tc>
        <w:tc>
          <w:tcPr>
            <w:tcW w:w="160" w:type="dxa"/>
            <w:vAlign w:val="bottom"/>
          </w:tcPr>
          <w:p>
            <w:pPr>
              <w:spacing w:after="0"/>
              <w:rPr>
                <w:sz w:val="18"/>
                <w:szCs w:val="18"/>
                <w:color w:val="auto"/>
              </w:rPr>
            </w:pPr>
          </w:p>
        </w:tc>
        <w:tc>
          <w:tcPr>
            <w:tcW w:w="11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(36,254)</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(71,716)</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(163,815)</w:t>
            </w: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(23,425)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(42,755)</w:t>
            </w:r>
          </w:p>
        </w:tc>
      </w:tr>
      <w:tr>
        <w:trPr>
          <w:trHeight w:val="229"/>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(224,235)</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(32,065)</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(178,703)</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(60,711)</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(8,682)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(46,705)</w:t>
            </w:r>
          </w:p>
        </w:tc>
      </w:tr>
      <w:tr>
        <w:trPr>
          <w:trHeight w:val="209"/>
        </w:trPr>
        <w:tc>
          <w:tcPr>
            <w:tcW w:w="394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(477,765</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(68,319</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(250,419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(224,526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(89,460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206,822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29,576</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110,715</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89,464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12,793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51,362</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39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Research and development expenses</w:t>
            </w:r>
            <w:r>
              <w:rPr>
                <w:rFonts w:ascii="Times New Roman" w:cs="Times New Roman" w:eastAsia="Times New Roman" w:hAnsi="Times New Roman"/>
                <w:sz w:val="29"/>
                <w:szCs w:val="29"/>
                <w:color w:val="auto"/>
                <w:vertAlign w:val="superscript"/>
              </w:rPr>
              <w:t>(a)</w:t>
            </w: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(1,372,191)</w:t>
            </w:r>
          </w:p>
        </w:tc>
        <w:tc>
          <w:tcPr>
            <w:tcW w:w="1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(196,221)</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(1,091,357)</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(411,188)</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(58,799)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(319,987)</w:t>
            </w:r>
          </w:p>
        </w:tc>
      </w:tr>
      <w:tr>
        <w:trPr>
          <w:trHeight w:val="256"/>
        </w:trPr>
        <w:tc>
          <w:tcPr>
            <w:tcW w:w="39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Administrative expenses</w:t>
            </w:r>
            <w:r>
              <w:rPr>
                <w:rFonts w:ascii="Times New Roman" w:cs="Times New Roman" w:eastAsia="Times New Roman" w:hAnsi="Times New Roman"/>
                <w:sz w:val="29"/>
                <w:szCs w:val="29"/>
                <w:color w:val="auto"/>
                <w:vertAlign w:val="superscript"/>
              </w:rPr>
              <w:t>(a)</w:t>
            </w: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(596,060)</w:t>
            </w:r>
          </w:p>
        </w:tc>
        <w:tc>
          <w:tcPr>
            <w:tcW w:w="160" w:type="dxa"/>
            <w:vAlign w:val="bottom"/>
          </w:tcPr>
          <w:p>
            <w:pPr>
              <w:spacing w:after="0"/>
              <w:rPr>
                <w:sz w:val="22"/>
                <w:szCs w:val="22"/>
                <w:color w:val="auto"/>
              </w:rPr>
            </w:pPr>
          </w:p>
        </w:tc>
        <w:tc>
          <w:tcPr>
            <w:tcW w:w="11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(85,235)</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(1,138,802)</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(216,751)</w:t>
            </w:r>
          </w:p>
        </w:tc>
        <w:tc>
          <w:tcPr>
            <w:tcW w:w="16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(30,995)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(304,524)</w:t>
            </w:r>
          </w:p>
        </w:tc>
      </w:tr>
      <w:tr>
        <w:trPr>
          <w:trHeight w:val="257"/>
        </w:trPr>
        <w:tc>
          <w:tcPr>
            <w:tcW w:w="39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Selling expenses</w:t>
            </w:r>
            <w:r>
              <w:rPr>
                <w:rFonts w:ascii="Times New Roman" w:cs="Times New Roman" w:eastAsia="Times New Roman" w:hAnsi="Times New Roman"/>
                <w:sz w:val="29"/>
                <w:szCs w:val="29"/>
                <w:color w:val="auto"/>
                <w:vertAlign w:val="superscript"/>
              </w:rPr>
              <w:t>(a)</w:t>
            </w: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(73,628)</w:t>
            </w:r>
          </w:p>
        </w:tc>
        <w:tc>
          <w:tcPr>
            <w:tcW w:w="1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(10,529)</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(53,566)</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(26,824)</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(3,836)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(15,249)</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 net income</w:t>
            </w:r>
          </w:p>
        </w:tc>
        <w:tc>
          <w:tcPr>
            <w:tcW w:w="12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4,912</w:t>
            </w:r>
          </w:p>
        </w:tc>
        <w:tc>
          <w:tcPr>
            <w:tcW w:w="160" w:type="dxa"/>
            <w:vAlign w:val="bottom"/>
          </w:tcPr>
          <w:p>
            <w:pPr>
              <w:spacing w:after="0"/>
              <w:rPr>
                <w:sz w:val="18"/>
                <w:szCs w:val="18"/>
                <w:color w:val="auto"/>
              </w:rPr>
            </w:pP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702</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16,491</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(798)</w:t>
            </w: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(114)</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7,776</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receivables and contract assets</w:t>
            </w: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(16,625)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(2,377)</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(28,664)</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(11,083)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(1,585)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w:t>
            </w:r>
          </w:p>
        </w:tc>
      </w:tr>
      <w:tr>
        <w:trPr>
          <w:trHeight w:val="229"/>
        </w:trPr>
        <w:tc>
          <w:tcPr>
            <w:tcW w:w="39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(1,846,770)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(264,084)</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(2,185,183)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(577,180)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(82,536)</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(587,250)</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foreign exchange gain/(loss)</w:t>
            </w: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(9,031)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(1,291)</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27,880</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(17,182)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(2,457)</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22,210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172,307</w:t>
            </w:r>
          </w:p>
        </w:tc>
        <w:tc>
          <w:tcPr>
            <w:tcW w:w="160" w:type="dxa"/>
            <w:vAlign w:val="bottom"/>
          </w:tcPr>
          <w:p>
            <w:pPr>
              <w:spacing w:after="0"/>
              <w:rPr>
                <w:sz w:val="18"/>
                <w:szCs w:val="18"/>
                <w:color w:val="auto"/>
              </w:rPr>
            </w:pP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24,640</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176,902</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45,879</w:t>
            </w: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6,561</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44,936</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of financial assets at FVTPL</w:t>
            </w:r>
          </w:p>
        </w:tc>
        <w:tc>
          <w:tcPr>
            <w:tcW w:w="12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41,822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5,980</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(61,834)</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(5,092)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(728)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 finance costs</w:t>
            </w: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(9,128)</w:t>
            </w:r>
          </w:p>
        </w:tc>
        <w:tc>
          <w:tcPr>
            <w:tcW w:w="160" w:type="dxa"/>
            <w:vAlign w:val="bottom"/>
          </w:tcPr>
          <w:p>
            <w:pPr>
              <w:spacing w:after="0"/>
              <w:rPr>
                <w:sz w:val="18"/>
                <w:szCs w:val="18"/>
                <w:color w:val="auto"/>
              </w:rPr>
            </w:pPr>
          </w:p>
        </w:tc>
        <w:tc>
          <w:tcPr>
            <w:tcW w:w="11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(1,305)</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(3,451)</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(1,856)</w:t>
            </w: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198"/>
        </w:trPr>
        <w:tc>
          <w:tcPr>
            <w:tcW w:w="3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Changes in the carrying amounts of preferred shares</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other financial instruments subject to</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and other preferential rights</w:t>
            </w:r>
          </w:p>
        </w:tc>
        <w:tc>
          <w:tcPr>
            <w:tcW w:w="12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(465,254)</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(41,079)</w:t>
            </w:r>
          </w:p>
        </w:tc>
      </w:tr>
      <w:tr>
        <w:trPr>
          <w:trHeight w:val="229"/>
        </w:trPr>
        <w:tc>
          <w:tcPr>
            <w:tcW w:w="39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taxation</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(1,650,800</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(236,060</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(2,510,940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(555,431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(79,425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(589,764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3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Income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p>
      <w:pPr>
        <w:spacing w:after="0" w:line="41" w:lineRule="exact"/>
        <w:rPr>
          <w:sz w:val="20"/>
          <w:szCs w:val="20"/>
          <w:color w:val="auto"/>
        </w:rPr>
      </w:pPr>
    </w:p>
    <w:p>
      <w:pPr>
        <w:ind w:left="180" w:hanging="161"/>
        <w:spacing w:after="0" w:line="286" w:lineRule="auto"/>
        <w:rPr>
          <w:sz w:val="20"/>
          <w:szCs w:val="20"/>
          <w:color w:val="auto"/>
        </w:rPr>
      </w:pPr>
      <w:r>
        <w:rPr>
          <w:rFonts w:ascii="Times New Roman" w:cs="Times New Roman" w:eastAsia="Times New Roman" w:hAnsi="Times New Roman"/>
          <w:sz w:val="18"/>
          <w:szCs w:val="18"/>
          <w:b w:val="1"/>
          <w:bCs w:val="1"/>
          <w:color w:val="auto"/>
        </w:rPr>
        <w:t>Loss attributable to ordinary shareholders of the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per ordinary share</w:t>
      </w:r>
    </w:p>
    <w:p>
      <w:pPr>
        <w:spacing w:after="0" w:line="31" w:lineRule="exact"/>
        <w:rPr>
          <w:sz w:val="20"/>
          <w:szCs w:val="20"/>
          <w:color w:val="auto"/>
        </w:rPr>
      </w:pPr>
    </w:p>
    <w:p>
      <w:pPr>
        <w:ind w:left="180" w:right="400" w:hanging="161"/>
        <w:spacing w:after="0" w:line="250" w:lineRule="auto"/>
        <w:rPr>
          <w:sz w:val="20"/>
          <w:szCs w:val="20"/>
          <w:color w:val="auto"/>
        </w:rPr>
      </w:pPr>
      <w:r>
        <w:rPr>
          <w:rFonts w:ascii="Times New Roman" w:cs="Times New Roman" w:eastAsia="Times New Roman" w:hAnsi="Times New Roman"/>
          <w:sz w:val="18"/>
          <w:szCs w:val="18"/>
          <w:color w:val="auto"/>
        </w:rPr>
        <w:t>Basic and diluted loss per Class A and Class B ordinary share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per ADS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loss per ADS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(4,100)</w:t>
            </w: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(586)</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(5,868)</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(695)</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(99)</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(2,677)</w:t>
            </w:r>
          </w:p>
        </w:tc>
      </w:tr>
      <w:tr>
        <w:trPr>
          <w:trHeight w:val="223"/>
        </w:trPr>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(1,654,900</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(236,646</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(2,516,808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(556,126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(79,524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(592,441</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3"/>
        </w:trPr>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(1,654,900)</w:t>
            </w: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(236,646)</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(2,516,808)</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(556,126)</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(79,524)</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(592,441)</w:t>
            </w: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29"/>
        </w:trPr>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(1.79)</w:t>
            </w: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(0.26)</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(8.54)</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(0.57)</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(0.08)</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(0.81)</w:t>
            </w:r>
          </w:p>
        </w:tc>
      </w:tr>
      <w:tr>
        <w:trPr>
          <w:trHeight w:val="432"/>
        </w:trPr>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(5.37)</w:t>
            </w: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(0.78)</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(25.62)</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(1.71)</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(0.24)</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-1165225</wp:posOffset>
            </wp:positionV>
            <wp:extent cx="713232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-702310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-273685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60" w:space="180"/>
            <w:col w:w="7300"/>
          </w:cols>
          <w:pgMar w:left="320" w:top="333"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Includes share-based compensation expenses as follows: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3940" w:type="dxa"/>
            <w:vAlign w:val="bottom"/>
          </w:tcPr>
          <w:p>
            <w:pPr>
              <w:spacing w:after="0"/>
              <w:rPr>
                <w:sz w:val="24"/>
                <w:szCs w:val="24"/>
                <w:color w:val="auto"/>
              </w:rPr>
            </w:pPr>
          </w:p>
        </w:tc>
        <w:tc>
          <w:tcPr>
            <w:tcW w:w="3760" w:type="dxa"/>
            <w:vAlign w:val="bottom"/>
            <w:gridSpan w:val="7"/>
          </w:tcPr>
          <w:p>
            <w:pPr>
              <w:jc w:val="right"/>
              <w:ind w:right="90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540" w:type="dxa"/>
            <w:vAlign w:val="bottom"/>
            <w:gridSpan w:val="7"/>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r>
      <w:tr>
        <w:trPr>
          <w:trHeight w:val="223"/>
        </w:trPr>
        <w:tc>
          <w:tcPr>
            <w:tcW w:w="3940" w:type="dxa"/>
            <w:vAlign w:val="bottom"/>
          </w:tcPr>
          <w:p>
            <w:pPr>
              <w:spacing w:after="0"/>
              <w:rPr>
                <w:sz w:val="19"/>
                <w:szCs w:val="19"/>
                <w:color w:val="auto"/>
              </w:rPr>
            </w:pPr>
          </w:p>
        </w:tc>
        <w:tc>
          <w:tcPr>
            <w:tcW w:w="140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34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0"/>
        </w:trPr>
        <w:tc>
          <w:tcPr>
            <w:tcW w:w="3940" w:type="dxa"/>
            <w:vAlign w:val="bottom"/>
          </w:tcPr>
          <w:p>
            <w:pPr>
              <w:spacing w:after="0"/>
              <w:rPr>
                <w:sz w:val="18"/>
                <w:szCs w:val="18"/>
                <w:color w:val="auto"/>
              </w:rPr>
            </w:pPr>
          </w:p>
        </w:tc>
        <w:tc>
          <w:tcPr>
            <w:tcW w:w="14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i w:val="1"/>
                <w:iCs w:val="1"/>
                <w:color w:val="auto"/>
              </w:rPr>
              <w:t>RMB’000</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US$’000</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RMB’000</w:t>
            </w:r>
          </w:p>
        </w:tc>
        <w:tc>
          <w:tcPr>
            <w:tcW w:w="220" w:type="dxa"/>
            <w:vAlign w:val="bottom"/>
          </w:tcPr>
          <w:p>
            <w:pPr>
              <w:spacing w:after="0"/>
              <w:rPr>
                <w:sz w:val="18"/>
                <w:szCs w:val="18"/>
                <w:color w:val="auto"/>
              </w:rPr>
            </w:pPr>
          </w:p>
        </w:tc>
        <w:tc>
          <w:tcPr>
            <w:tcW w:w="13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i w:val="1"/>
                <w:iCs w:val="1"/>
                <w:color w:val="auto"/>
              </w:rPr>
              <w:t>RMB’000</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US$’000</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RMB’000</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(7,161)</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(160,534)</w:t>
            </w:r>
          </w:p>
        </w:tc>
        <w:tc>
          <w:tcPr>
            <w:tcW w:w="12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(22,956)</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(234,350)</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(45,291)</w:t>
            </w:r>
          </w:p>
        </w:tc>
        <w:tc>
          <w:tcPr>
            <w:tcW w:w="1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(6,477)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(36,151)</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(284,312)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(40,656)</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(937,660)</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(128,558)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(18,384)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(238,386)</w:t>
            </w: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(5,137)</w:t>
            </w:r>
          </w:p>
        </w:tc>
        <w:tc>
          <w:tcPr>
            <w:tcW w:w="120" w:type="dxa"/>
            <w:vAlign w:val="bottom"/>
          </w:tcPr>
          <w:p>
            <w:pPr>
              <w:spacing w:after="0"/>
              <w:rPr>
                <w:sz w:val="19"/>
                <w:szCs w:val="19"/>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(735)</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(8,696)</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(1,186)</w:t>
            </w:r>
          </w:p>
        </w:tc>
        <w:tc>
          <w:tcPr>
            <w:tcW w:w="12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(1,766)</w:t>
            </w:r>
          </w:p>
        </w:tc>
      </w:tr>
      <w:tr>
        <w:trPr>
          <w:trHeight w:val="223"/>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share-based compensation expenses</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(449,983</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(64,347</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(1,187,867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(175,035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(25,031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(278,638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3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39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WeRide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Reconciliation of IFRS Measure to Non-IFRS Measure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a reconciliation of net loss to non-IFRS net loss for the periods indicated:</w:t>
      </w:r>
    </w:p>
    <w:p>
      <w:pPr>
        <w:sectPr>
          <w:pgSz w:w="11900" w:h="16838" w:orient="portrait"/>
          <w:cols w:equalWidth="0" w:num="1">
            <w:col w:w="11200"/>
          </w:cols>
          <w:pgMar w:left="320" w:top="33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for the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expenses</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Fair value changes of financial assets at FVTPL Changes in the carrying amounts of preferred shares</w:t>
      </w:r>
    </w:p>
    <w:p>
      <w:pPr>
        <w:spacing w:after="0" w:line="1" w:lineRule="exact"/>
        <w:rPr>
          <w:sz w:val="20"/>
          <w:szCs w:val="20"/>
          <w:color w:val="auto"/>
        </w:rPr>
      </w:pPr>
    </w:p>
    <w:p>
      <w:pPr>
        <w:ind w:left="180" w:right="640"/>
        <w:spacing w:after="0" w:line="265" w:lineRule="auto"/>
        <w:rPr>
          <w:sz w:val="20"/>
          <w:szCs w:val="20"/>
          <w:color w:val="auto"/>
        </w:rPr>
      </w:pPr>
      <w:r>
        <w:rPr>
          <w:rFonts w:ascii="Times New Roman" w:cs="Times New Roman" w:eastAsia="Times New Roman" w:hAnsi="Times New Roman"/>
          <w:sz w:val="17"/>
          <w:szCs w:val="17"/>
          <w:color w:val="auto"/>
        </w:rPr>
        <w:t>and other financial instruments subject to redemption and other preferential rights</w:t>
      </w:r>
    </w:p>
    <w:p>
      <w:pPr>
        <w:spacing w:after="0"/>
        <w:rPr>
          <w:sz w:val="20"/>
          <w:szCs w:val="20"/>
          <w:color w:val="auto"/>
        </w:rPr>
      </w:pPr>
      <w:r>
        <w:rPr>
          <w:rFonts w:ascii="Times New Roman" w:cs="Times New Roman" w:eastAsia="Times New Roman" w:hAnsi="Times New Roman"/>
          <w:sz w:val="18"/>
          <w:szCs w:val="18"/>
          <w:b w:val="1"/>
          <w:bCs w:val="1"/>
          <w:color w:val="auto"/>
        </w:rPr>
        <w:t>Adjusted net loss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760" w:type="dxa"/>
            <w:vAlign w:val="bottom"/>
            <w:gridSpan w:val="7"/>
          </w:tcPr>
          <w:p>
            <w:pPr>
              <w:jc w:val="right"/>
              <w:ind w:right="90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500" w:type="dxa"/>
            <w:vAlign w:val="bottom"/>
            <w:gridSpan w:val="8"/>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r>
      <w:tr>
        <w:trPr>
          <w:trHeight w:val="223"/>
        </w:trPr>
        <w:tc>
          <w:tcPr>
            <w:tcW w:w="140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34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1400" w:type="dxa"/>
            <w:vAlign w:val="bottom"/>
            <w:gridSpan w:val="3"/>
          </w:tcPr>
          <w:p>
            <w:pPr>
              <w:jc w:val="right"/>
              <w:ind w:right="520"/>
              <w:spacing w:after="0" w:line="191" w:lineRule="exact"/>
              <w:rPr>
                <w:sz w:val="20"/>
                <w:szCs w:val="20"/>
                <w:color w:val="auto"/>
              </w:rPr>
            </w:pPr>
            <w:r>
              <w:rPr>
                <w:rFonts w:ascii="Times New Roman" w:cs="Times New Roman" w:eastAsia="Times New Roman" w:hAnsi="Times New Roman"/>
                <w:sz w:val="18"/>
                <w:szCs w:val="18"/>
                <w:i w:val="1"/>
                <w:iCs w:val="1"/>
                <w:color w:val="auto"/>
              </w:rPr>
              <w:t>RMB’000</w:t>
            </w:r>
          </w:p>
        </w:tc>
        <w:tc>
          <w:tcPr>
            <w:tcW w:w="90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i w:val="1"/>
                <w:iCs w:val="1"/>
                <w:color w:val="auto"/>
              </w:rPr>
              <w:t>US$’000</w:t>
            </w:r>
          </w:p>
        </w:tc>
        <w:tc>
          <w:tcPr>
            <w:tcW w:w="240" w:type="dxa"/>
            <w:vAlign w:val="bottom"/>
          </w:tcPr>
          <w:p>
            <w:pPr>
              <w:spacing w:after="0"/>
              <w:rPr>
                <w:sz w:val="16"/>
                <w:szCs w:val="16"/>
                <w:color w:val="auto"/>
              </w:rPr>
            </w:pPr>
          </w:p>
        </w:tc>
        <w:tc>
          <w:tcPr>
            <w:tcW w:w="1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i w:val="1"/>
                <w:iCs w:val="1"/>
                <w:color w:val="auto"/>
                <w:w w:val="99"/>
              </w:rPr>
              <w:t>RMB’000</w:t>
            </w:r>
          </w:p>
        </w:tc>
        <w:tc>
          <w:tcPr>
            <w:tcW w:w="220" w:type="dxa"/>
            <w:vAlign w:val="bottom"/>
          </w:tcPr>
          <w:p>
            <w:pPr>
              <w:spacing w:after="0"/>
              <w:rPr>
                <w:sz w:val="16"/>
                <w:szCs w:val="16"/>
                <w:color w:val="auto"/>
              </w:rPr>
            </w:pPr>
          </w:p>
        </w:tc>
        <w:tc>
          <w:tcPr>
            <w:tcW w:w="1340" w:type="dxa"/>
            <w:vAlign w:val="bottom"/>
            <w:gridSpan w:val="3"/>
          </w:tcPr>
          <w:p>
            <w:pPr>
              <w:jc w:val="right"/>
              <w:ind w:right="480"/>
              <w:spacing w:after="0" w:line="191" w:lineRule="exact"/>
              <w:rPr>
                <w:sz w:val="20"/>
                <w:szCs w:val="20"/>
                <w:color w:val="auto"/>
              </w:rPr>
            </w:pPr>
            <w:r>
              <w:rPr>
                <w:rFonts w:ascii="Times New Roman" w:cs="Times New Roman" w:eastAsia="Times New Roman" w:hAnsi="Times New Roman"/>
                <w:sz w:val="18"/>
                <w:szCs w:val="18"/>
                <w:i w:val="1"/>
                <w:iCs w:val="1"/>
                <w:color w:val="auto"/>
              </w:rPr>
              <w:t>RMB’000</w:t>
            </w:r>
          </w:p>
        </w:tc>
        <w:tc>
          <w:tcPr>
            <w:tcW w:w="88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i w:val="1"/>
                <w:iCs w:val="1"/>
                <w:color w:val="auto"/>
              </w:rPr>
              <w:t>US$’000</w:t>
            </w:r>
          </w:p>
        </w:tc>
        <w:tc>
          <w:tcPr>
            <w:tcW w:w="220" w:type="dxa"/>
            <w:vAlign w:val="bottom"/>
          </w:tcPr>
          <w:p>
            <w:pPr>
              <w:spacing w:after="0"/>
              <w:rPr>
                <w:sz w:val="16"/>
                <w:szCs w:val="16"/>
                <w:color w:val="auto"/>
              </w:rPr>
            </w:pPr>
          </w:p>
        </w:tc>
        <w:tc>
          <w:tcPr>
            <w:tcW w:w="1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i w:val="1"/>
                <w:iCs w:val="1"/>
                <w:color w:val="auto"/>
                <w:w w:val="99"/>
              </w:rPr>
              <w:t>RMB’000</w:t>
            </w:r>
          </w:p>
        </w:tc>
        <w:tc>
          <w:tcPr>
            <w:tcW w:w="60" w:type="dxa"/>
            <w:vAlign w:val="bottom"/>
            <w:gridSpan w:val="2"/>
          </w:tcPr>
          <w:p>
            <w:pPr>
              <w:spacing w:after="0"/>
              <w:rPr>
                <w:sz w:val="16"/>
                <w:szCs w:val="16"/>
                <w:color w:val="auto"/>
              </w:rPr>
            </w:pPr>
          </w:p>
        </w:tc>
      </w:tr>
      <w:tr>
        <w:trPr>
          <w:trHeight w:val="234"/>
        </w:trPr>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(1,654,900)</w:t>
            </w:r>
          </w:p>
        </w:tc>
        <w:tc>
          <w:tcPr>
            <w:tcW w:w="120" w:type="dxa"/>
            <w:vAlign w:val="bottom"/>
          </w:tcPr>
          <w:p>
            <w:pPr>
              <w:spacing w:after="0"/>
              <w:rPr>
                <w:sz w:val="20"/>
                <w:szCs w:val="20"/>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(236,646)</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(2,516,808)</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(556,126)</w:t>
            </w:r>
          </w:p>
        </w:tc>
        <w:tc>
          <w:tcPr>
            <w:tcW w:w="12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(79,524)</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(592,441)</w:t>
            </w:r>
          </w:p>
        </w:tc>
      </w:tr>
      <w:tr>
        <w:trPr>
          <w:trHeight w:val="414"/>
        </w:trPr>
        <w:tc>
          <w:tcPr>
            <w:tcW w:w="12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449,983</w:t>
            </w:r>
          </w:p>
        </w:tc>
        <w:tc>
          <w:tcPr>
            <w:tcW w:w="120" w:type="dxa"/>
            <w:vAlign w:val="bottom"/>
          </w:tcPr>
          <w:p>
            <w:pPr>
              <w:spacing w:after="0"/>
              <w:rPr>
                <w:sz w:val="24"/>
                <w:szCs w:val="24"/>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64,347</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1,187,867</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175,035</w:t>
            </w:r>
          </w:p>
        </w:tc>
        <w:tc>
          <w:tcPr>
            <w:tcW w:w="120" w:type="dxa"/>
            <w:vAlign w:val="bottom"/>
          </w:tcPr>
          <w:p>
            <w:pPr>
              <w:spacing w:after="0"/>
              <w:rPr>
                <w:sz w:val="24"/>
                <w:szCs w:val="24"/>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25,031</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278,638</w:t>
            </w:r>
          </w:p>
        </w:tc>
        <w:tc>
          <w:tcPr>
            <w:tcW w:w="40" w:type="dxa"/>
            <w:vAlign w:val="bottom"/>
          </w:tcPr>
          <w:p>
            <w:pPr>
              <w:spacing w:after="0"/>
              <w:rPr>
                <w:sz w:val="24"/>
                <w:szCs w:val="24"/>
                <w:color w:val="auto"/>
              </w:rPr>
            </w:pPr>
          </w:p>
        </w:tc>
      </w:tr>
      <w:tr>
        <w:trPr>
          <w:trHeight w:val="234"/>
        </w:trPr>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(41,822)</w:t>
            </w:r>
          </w:p>
        </w:tc>
        <w:tc>
          <w:tcPr>
            <w:tcW w:w="120" w:type="dxa"/>
            <w:vAlign w:val="bottom"/>
          </w:tcPr>
          <w:p>
            <w:pPr>
              <w:spacing w:after="0"/>
              <w:rPr>
                <w:sz w:val="20"/>
                <w:szCs w:val="20"/>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(5,980)</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61,834</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5,092</w:t>
            </w:r>
          </w:p>
        </w:tc>
        <w:tc>
          <w:tcPr>
            <w:tcW w:w="12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728</w:t>
            </w:r>
          </w:p>
        </w:tc>
        <w:tc>
          <w:tcPr>
            <w:tcW w:w="10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27,270</w:t>
            </w:r>
          </w:p>
        </w:tc>
      </w:tr>
      <w:tr>
        <w:trPr>
          <w:trHeight w:val="661"/>
        </w:trPr>
        <w:tc>
          <w:tcPr>
            <w:tcW w:w="12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465,254</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41,079</w:t>
            </w:r>
          </w:p>
        </w:tc>
      </w:tr>
      <w:tr>
        <w:trPr>
          <w:trHeight w:val="223"/>
        </w:trPr>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(1,246,739</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(178,279</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(801,853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(375,999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(53,765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(245,454</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-1148080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-873760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-599440</wp:posOffset>
            </wp:positionV>
            <wp:extent cx="7132320" cy="419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19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160"/>
            <w:col w:w="7260"/>
          </w:cols>
          <w:pgMar w:left="320" w:top="333" w:right="379" w:bottom="1440" w:gutter="0" w:footer="0" w:header="0"/>
          <w:type w:val="continuous"/>
        </w:sect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type w:val="continuous"/>
        </w:sectPr>
      </w:pPr>
    </w:p>
    <w:bookmarkStart w:id="16" w:name="page17"/>
    <w:bookmarkEnd w:id="16"/>
    <w:p>
      <w:pPr>
        <w:ind w:left="103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123190</wp:posOffset>
            </wp:positionV>
            <wp:extent cx="2160270" cy="6000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6027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WeRide Inc.</w:t>
      </w:r>
    </w:p>
    <w:p>
      <w:pPr>
        <w:spacing w:after="0" w:line="31" w:lineRule="exact"/>
        <w:rPr>
          <w:sz w:val="20"/>
          <w:szCs w:val="20"/>
          <w:color w:val="auto"/>
        </w:rPr>
      </w:pPr>
    </w:p>
    <w:p>
      <w:pPr>
        <w:ind w:left="5220"/>
        <w:spacing w:after="0" w:line="219" w:lineRule="exact"/>
        <w:rPr>
          <w:sz w:val="20"/>
          <w:szCs w:val="20"/>
          <w:color w:val="auto"/>
        </w:rPr>
      </w:pPr>
      <w:r>
        <w:rPr>
          <w:rFonts w:ascii="PMingLiU" w:cs="PMingLiU" w:eastAsia="PMingLiU" w:hAnsi="PMingLiU"/>
          <w:sz w:val="18"/>
          <w:szCs w:val="18"/>
          <w:color w:val="auto"/>
          <w:highlight w:val="black"/>
        </w:rPr>
        <w:t>文遠知行</w:t>
      </w:r>
      <w:r>
        <w:rPr>
          <w:rFonts w:ascii="Times New Roman" w:cs="Times New Roman" w:eastAsia="Times New Roman" w:hAnsi="Times New Roman"/>
          <w:sz w:val="18"/>
          <w:szCs w:val="18"/>
          <w:b w:val="1"/>
          <w:bCs w:val="1"/>
          <w:color w:val="auto"/>
        </w:rPr>
        <w:t>*</w:t>
      </w:r>
    </w:p>
    <w:p>
      <w:pPr>
        <w:spacing w:after="0" w:line="1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 incorporated in the Cayman Islands with limited liability)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0800)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RESULTS ANNOUNCEMENT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board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directors (the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of WeRide Inc. (“</w:t>
      </w:r>
      <w:r>
        <w:rPr>
          <w:rFonts w:ascii="Times New Roman" w:cs="Times New Roman" w:eastAsia="Times New Roman" w:hAnsi="Times New Roman"/>
          <w:sz w:val="18"/>
          <w:szCs w:val="18"/>
          <w:b w:val="1"/>
          <w:bCs w:val="1"/>
          <w:color w:val="auto"/>
        </w:rPr>
        <w:t>WeRide</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pleased to announce the unaudited consolidated annual results of the Company and its subsidiaries (collectively, the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for the year ended December 31, 2025 (the “</w:t>
      </w:r>
      <w:r>
        <w:rPr>
          <w:rFonts w:ascii="Times New Roman" w:cs="Times New Roman" w:eastAsia="Times New Roman" w:hAnsi="Times New Roman"/>
          <w:sz w:val="18"/>
          <w:szCs w:val="18"/>
          <w:b w:val="1"/>
          <w:bCs w:val="1"/>
          <w:color w:val="auto"/>
        </w:rPr>
        <w:t>Reporting Period</w:t>
      </w:r>
      <w:r>
        <w:rPr>
          <w:rFonts w:ascii="Times New Roman" w:cs="Times New Roman" w:eastAsia="Times New Roman" w:hAnsi="Times New Roman"/>
          <w:sz w:val="18"/>
          <w:szCs w:val="18"/>
          <w:color w:val="auto"/>
        </w:rPr>
        <w:t>”), together with comparative figures for the year ended December 31, 2024.</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this announcement, “we,” “us” and “our” refer to the Company and, where the context otherwise requires, the Group. Certain amounts and percentage figures included in this announcement have been subject to rounding adjustments or have been rounded to one or two decimal places, as appropriate. Any discrepancies in any table, chart, or elsewhere between totals and sums of amounts listed therein are due to rounding. Unless otherwise defined herein, capitalized terms used in this announcement shall have the same meanings as ascribed thereto in the prospectus of the Company dated October 28, 2025 (the “</w:t>
      </w:r>
      <w:r>
        <w:rPr>
          <w:rFonts w:ascii="Times New Roman" w:cs="Times New Roman" w:eastAsia="Times New Roman" w:hAnsi="Times New Roman"/>
          <w:sz w:val="18"/>
          <w:szCs w:val="18"/>
          <w:b w:val="1"/>
          <w:bCs w:val="1"/>
          <w:color w:val="auto"/>
        </w:rPr>
        <w:t>Hong Kong Prospectus</w:t>
      </w:r>
      <w:r>
        <w:rPr>
          <w:rFonts w:ascii="Times New Roman" w:cs="Times New Roman" w:eastAsia="Times New Roman" w:hAnsi="Times New Roman"/>
          <w:sz w:val="18"/>
          <w:szCs w:val="18"/>
          <w:color w:val="auto"/>
        </w:rPr>
        <w:t>”) in connection with the listing of its Class A ordinary shares on the Main Board of The Stock Exchange of Hong Kong Limited (the “</w:t>
      </w:r>
      <w:r>
        <w:rPr>
          <w:rFonts w:ascii="Times New Roman" w:cs="Times New Roman" w:eastAsia="Times New Roman" w:hAnsi="Times New Roman"/>
          <w:sz w:val="18"/>
          <w:szCs w:val="18"/>
          <w:b w:val="1"/>
          <w:bCs w:val="1"/>
          <w:color w:val="auto"/>
        </w:rPr>
        <w:t>Stock Exchange</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HIGHLIGHTS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937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937385"/>
                    </a:xfrm>
                    <a:prstGeom prst="rect">
                      <a:avLst/>
                    </a:prstGeom>
                    <a:noFill/>
                  </pic:spPr>
                </pic:pic>
              </a:graphicData>
            </a:graphic>
          </wp:anchor>
        </w:drawing>
      </w:r>
    </w:p>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Total revenue was RMB684.6 million (US$97.9 million), representing an increase of 89.6% year over year.</w:t>
      </w:r>
    </w:p>
    <w:p>
      <w:pPr>
        <w:spacing w:after="0" w:line="225" w:lineRule="exact"/>
        <w:rPr>
          <w:sz w:val="20"/>
          <w:szCs w:val="20"/>
          <w:color w:val="auto"/>
        </w:rPr>
      </w:pPr>
    </w:p>
    <w:p>
      <w:pPr>
        <w:ind w:left="760" w:right="120" w:hanging="323"/>
        <w:spacing w:after="0" w:line="282" w:lineRule="auto"/>
        <w:rPr>
          <w:sz w:val="20"/>
          <w:szCs w:val="20"/>
          <w:color w:val="auto"/>
        </w:rPr>
      </w:pPr>
      <w:r>
        <w:rPr>
          <w:rFonts w:ascii="Times New Roman" w:cs="Times New Roman" w:eastAsia="Times New Roman" w:hAnsi="Times New Roman"/>
          <w:sz w:val="18"/>
          <w:szCs w:val="18"/>
          <w:color w:val="auto"/>
        </w:rPr>
        <w:t>·      Product revenue was RMB359.8 million (US$51.5 million), representing an increase of 310.3% year over year, primarily attributable to the broad rollout and scaling of robotaxi, robobus, and robosweeper products.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Service revenue was RMB324.7 million (US$46.4 million), representing an increase of 18.8% year over year.</w:t>
      </w:r>
    </w:p>
    <w:p>
      <w:pPr>
        <w:spacing w:after="0" w:line="225" w:lineRule="exact"/>
        <w:rPr>
          <w:sz w:val="20"/>
          <w:szCs w:val="20"/>
          <w:color w:val="auto"/>
        </w:rPr>
      </w:pPr>
    </w:p>
    <w:p>
      <w:pPr>
        <w:ind w:left="760" w:right="120" w:hanging="323"/>
        <w:spacing w:after="0" w:line="282" w:lineRule="auto"/>
        <w:rPr>
          <w:sz w:val="20"/>
          <w:szCs w:val="20"/>
          <w:color w:val="auto"/>
        </w:rPr>
      </w:pPr>
      <w:r>
        <w:rPr>
          <w:rFonts w:ascii="Times New Roman" w:cs="Times New Roman" w:eastAsia="Times New Roman" w:hAnsi="Times New Roman"/>
          <w:sz w:val="18"/>
          <w:szCs w:val="18"/>
          <w:color w:val="auto"/>
        </w:rPr>
        <w:t>·       Robotaxi revenue was RMB148.0 million (US$21.2 million), including product revenue and service revenue, representing an increase of 209.6% year over year.</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Gross profit was RMB206.8 million (US$29.6 million), representing an increase of 86.8% year over year.</w:t>
      </w:r>
    </w:p>
    <w:p>
      <w:pPr>
        <w:spacing w:after="0" w:line="200" w:lineRule="exact"/>
        <w:rPr>
          <w:sz w:val="20"/>
          <w:szCs w:val="20"/>
          <w:color w:val="auto"/>
        </w:rPr>
      </w:pPr>
    </w:p>
    <w:p>
      <w:pPr>
        <w:spacing w:after="0" w:line="253" w:lineRule="exact"/>
        <w:rPr>
          <w:sz w:val="20"/>
          <w:szCs w:val="20"/>
          <w:color w:val="auto"/>
        </w:rPr>
      </w:pPr>
    </w:p>
    <w:p>
      <w:pPr>
        <w:ind w:left="640" w:hanging="632"/>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 identification purposes only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      Gross profit margin was 30.2%, relatively stable compared with 30.7%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-127635</wp:posOffset>
            </wp:positionV>
            <wp:extent cx="7132320" cy="86582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65822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R&amp;D expenses were RMB1.4 billion (US$196.2 million), compared with RMB1.1 billion in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Operating loss was RMB1.8 billion (US$264.1 million), representing a narrowing of 15.5% year over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Net loss was RMB1.7 billion (US$236.6 million), representing a narrowing of 34.2% year over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HIGHLIGHTS FOR THE YEAR ENDED DECEMBER 31,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WeRide’s global AV fleet increased from 1,089 vehicles at the end of 2024 to 2,113 as of the date of this announcement.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WeRide’s robotaxi commercialization in China continues to accelerate:</w:t>
      </w:r>
    </w:p>
    <w:p>
      <w:pPr>
        <w:spacing w:after="0" w:line="225" w:lineRule="exact"/>
        <w:rPr>
          <w:sz w:val="20"/>
          <w:szCs w:val="20"/>
          <w:color w:val="auto"/>
        </w:rPr>
      </w:pPr>
    </w:p>
    <w:p>
      <w:pPr>
        <w:jc w:val="both"/>
        <w:ind w:left="640" w:hanging="323"/>
        <w:spacing w:after="0" w:line="282" w:lineRule="auto"/>
        <w:rPr>
          <w:sz w:val="20"/>
          <w:szCs w:val="20"/>
          <w:color w:val="auto"/>
        </w:rPr>
      </w:pPr>
      <w:r>
        <w:rPr>
          <w:rFonts w:ascii="Times New Roman" w:cs="Times New Roman" w:eastAsia="Times New Roman" w:hAnsi="Times New Roman"/>
          <w:sz w:val="18"/>
          <w:szCs w:val="18"/>
          <w:color w:val="auto"/>
        </w:rPr>
        <w:t>·       In 2025, WeRide cut total cost of ownership by up to 38% compared with 2024, through improved operating efficiency and lower vehicle bill of materials costs.</w:t>
      </w:r>
    </w:p>
    <w:p>
      <w:pPr>
        <w:spacing w:after="0" w:line="162" w:lineRule="exact"/>
        <w:rPr>
          <w:sz w:val="20"/>
          <w:szCs w:val="20"/>
          <w:color w:val="auto"/>
        </w:rPr>
      </w:pPr>
    </w:p>
    <w:p>
      <w:pPr>
        <w:jc w:val="both"/>
        <w:ind w:left="640" w:hanging="323"/>
        <w:spacing w:after="0" w:line="282" w:lineRule="auto"/>
        <w:rPr>
          <w:sz w:val="20"/>
          <w:szCs w:val="20"/>
          <w:color w:val="auto"/>
        </w:rPr>
      </w:pPr>
      <w:r>
        <w:rPr>
          <w:rFonts w:ascii="Times New Roman" w:cs="Times New Roman" w:eastAsia="Times New Roman" w:hAnsi="Times New Roman"/>
          <w:sz w:val="18"/>
          <w:szCs w:val="18"/>
          <w:color w:val="auto"/>
        </w:rPr>
        <w:t>·       WeRide’s robotaxi fleet in China has surpassed 800 robotaxis, increasing operational density and reducing passenger waiting times, with the latest “free pickup and drop off point” feature across the operating area.</w:t>
      </w:r>
    </w:p>
    <w:p>
      <w:pPr>
        <w:spacing w:after="0" w:line="162" w:lineRule="exact"/>
        <w:rPr>
          <w:sz w:val="20"/>
          <w:szCs w:val="20"/>
          <w:color w:val="auto"/>
        </w:rPr>
      </w:pPr>
    </w:p>
    <w:p>
      <w:pPr>
        <w:jc w:val="both"/>
        <w:ind w:left="640" w:hanging="323"/>
        <w:spacing w:after="0" w:line="282" w:lineRule="auto"/>
        <w:rPr>
          <w:sz w:val="20"/>
          <w:szCs w:val="20"/>
          <w:color w:val="auto"/>
        </w:rPr>
      </w:pPr>
      <w:r>
        <w:rPr>
          <w:rFonts w:ascii="Times New Roman" w:cs="Times New Roman" w:eastAsia="Times New Roman" w:hAnsi="Times New Roman"/>
          <w:sz w:val="18"/>
          <w:szCs w:val="18"/>
          <w:color w:val="auto"/>
        </w:rPr>
        <w:t>·      WeRide has expanded rollout in major metropolitan areas such as Beijing and Guangzhou, extending coverage to over 1,000 square kilometres, including key transportation hubs and high-demand areas.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In the fourth quarter of 2025, registered users of WeRide robotaxi service saw a year-over-year growth of more than 900% in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WeRide continues to advance robotaxi deployment in international markets:</w:t>
      </w:r>
    </w:p>
    <w:p>
      <w:pPr>
        <w:spacing w:after="0" w:line="225" w:lineRule="exact"/>
        <w:rPr>
          <w:sz w:val="20"/>
          <w:szCs w:val="20"/>
          <w:color w:val="auto"/>
        </w:rPr>
      </w:pPr>
    </w:p>
    <w:p>
      <w:pPr>
        <w:jc w:val="both"/>
        <w:ind w:left="640" w:hanging="323"/>
        <w:spacing w:after="0" w:line="282" w:lineRule="auto"/>
        <w:rPr>
          <w:sz w:val="20"/>
          <w:szCs w:val="20"/>
          <w:color w:val="auto"/>
        </w:rPr>
      </w:pPr>
      <w:r>
        <w:rPr>
          <w:rFonts w:ascii="Times New Roman" w:cs="Times New Roman" w:eastAsia="Times New Roman" w:hAnsi="Times New Roman"/>
          <w:sz w:val="18"/>
          <w:szCs w:val="18"/>
          <w:color w:val="auto"/>
        </w:rPr>
        <w:t>·      Currently, WeRide’s deployments span the Middle East, Europe, and developed Asia-Pacific, with a fleet of over 250 robotaxis outside China and the U.S.</w:t>
      </w:r>
    </w:p>
    <w:p>
      <w:pPr>
        <w:spacing w:after="0" w:line="162" w:lineRule="exact"/>
        <w:rPr>
          <w:sz w:val="20"/>
          <w:szCs w:val="20"/>
          <w:color w:val="auto"/>
        </w:rPr>
      </w:pPr>
    </w:p>
    <w:p>
      <w:pPr>
        <w:jc w:val="both"/>
        <w:ind w:left="640" w:hanging="323"/>
        <w:spacing w:after="0" w:line="282" w:lineRule="auto"/>
        <w:rPr>
          <w:sz w:val="20"/>
          <w:szCs w:val="20"/>
          <w:color w:val="auto"/>
        </w:rPr>
      </w:pPr>
      <w:r>
        <w:rPr>
          <w:rFonts w:ascii="Times New Roman" w:cs="Times New Roman" w:eastAsia="Times New Roman" w:hAnsi="Times New Roman"/>
          <w:sz w:val="18"/>
          <w:szCs w:val="18"/>
          <w:color w:val="auto"/>
        </w:rPr>
        <w:t>·      In October 2025, WeRide secured the world’s first city-level fully driverless robotaxi commercial permit outside the U.S., enabling unit-economics breakeven for the Abu Dhabi fleet.</w:t>
      </w:r>
    </w:p>
    <w:p>
      <w:pPr>
        <w:spacing w:after="0" w:line="162" w:lineRule="exact"/>
        <w:rPr>
          <w:sz w:val="20"/>
          <w:szCs w:val="20"/>
          <w:color w:val="auto"/>
        </w:rPr>
      </w:pPr>
    </w:p>
    <w:p>
      <w:pPr>
        <w:jc w:val="both"/>
        <w:ind w:left="640" w:hanging="323"/>
        <w:spacing w:after="0" w:line="282" w:lineRule="auto"/>
        <w:rPr>
          <w:sz w:val="20"/>
          <w:szCs w:val="20"/>
          <w:color w:val="auto"/>
        </w:rPr>
      </w:pPr>
      <w:r>
        <w:rPr>
          <w:rFonts w:ascii="Times New Roman" w:cs="Times New Roman" w:eastAsia="Times New Roman" w:hAnsi="Times New Roman"/>
          <w:sz w:val="18"/>
          <w:szCs w:val="18"/>
          <w:color w:val="auto"/>
        </w:rPr>
        <w:t>·      In November 2025, WeRide and Uber launched fully driverless robotaxi commercial operations in Abu Dhabi and expanded to cover 70% of the city’s core area over time.</w:t>
      </w:r>
    </w:p>
    <w:p>
      <w:pPr>
        <w:spacing w:after="0" w:line="162" w:lineRule="exact"/>
        <w:rPr>
          <w:sz w:val="20"/>
          <w:szCs w:val="20"/>
          <w:color w:val="auto"/>
        </w:rPr>
      </w:pPr>
    </w:p>
    <w:p>
      <w:pPr>
        <w:jc w:val="both"/>
        <w:ind w:left="640" w:hanging="323"/>
        <w:spacing w:after="0" w:line="282" w:lineRule="auto"/>
        <w:rPr>
          <w:sz w:val="20"/>
          <w:szCs w:val="20"/>
          <w:color w:val="auto"/>
        </w:rPr>
      </w:pPr>
      <w:r>
        <w:rPr>
          <w:rFonts w:ascii="Times New Roman" w:cs="Times New Roman" w:eastAsia="Times New Roman" w:hAnsi="Times New Roman"/>
          <w:sz w:val="18"/>
          <w:szCs w:val="18"/>
          <w:color w:val="auto"/>
        </w:rPr>
        <w:t>·      In December 2025, WeRide, in partnership with Uber and Dubai’s Roads and Transport Authority, launched public robotaxi passenger rides in Dubai, allowing riders to book a WeRide Robotaxi through the ‘Autonomous’ option on the Uber app.</w:t>
      </w:r>
    </w:p>
    <w:p>
      <w:pPr>
        <w:spacing w:after="0" w:line="162" w:lineRule="exact"/>
        <w:rPr>
          <w:sz w:val="20"/>
          <w:szCs w:val="20"/>
          <w:color w:val="auto"/>
        </w:rPr>
      </w:pPr>
    </w:p>
    <w:p>
      <w:pPr>
        <w:jc w:val="both"/>
        <w:ind w:left="640" w:hanging="323"/>
        <w:spacing w:after="0" w:line="266" w:lineRule="auto"/>
        <w:rPr>
          <w:sz w:val="20"/>
          <w:szCs w:val="20"/>
          <w:color w:val="auto"/>
        </w:rPr>
      </w:pPr>
      <w:r>
        <w:rPr>
          <w:rFonts w:ascii="Times New Roman" w:cs="Times New Roman" w:eastAsia="Times New Roman" w:hAnsi="Times New Roman"/>
          <w:sz w:val="18"/>
          <w:szCs w:val="18"/>
          <w:color w:val="auto"/>
        </w:rPr>
        <w:t>·      In November 2025, WeRide secured Europe’s first driverless robotaxi permit for passenger service in Switzerland, becoming the only company with autonomous driving permits in eight countries. This milestone reinforces WeRide’s first-mover advantage in Europe and lays the foundation for further expansion across the region.</w:t>
      </w:r>
    </w:p>
    <w:p>
      <w:pPr>
        <w:spacing w:after="0" w:line="176" w:lineRule="exact"/>
        <w:rPr>
          <w:sz w:val="20"/>
          <w:szCs w:val="20"/>
          <w:color w:val="auto"/>
        </w:rPr>
      </w:pPr>
    </w:p>
    <w:p>
      <w:pPr>
        <w:jc w:val="both"/>
        <w:ind w:left="640" w:hanging="323"/>
        <w:spacing w:after="0" w:line="282" w:lineRule="auto"/>
        <w:rPr>
          <w:sz w:val="20"/>
          <w:szCs w:val="20"/>
          <w:color w:val="auto"/>
        </w:rPr>
      </w:pPr>
      <w:r>
        <w:rPr>
          <w:rFonts w:ascii="Times New Roman" w:cs="Times New Roman" w:eastAsia="Times New Roman" w:hAnsi="Times New Roman"/>
          <w:sz w:val="18"/>
          <w:szCs w:val="18"/>
          <w:color w:val="auto"/>
        </w:rPr>
        <w:t>·      In November 2025, WeRide and Grab commenced autonomous vehicle testing in Singapore. WeRide’s robotaxi and robobus are expected to begin carrying public passengers by April 2026.</w:t>
      </w:r>
    </w:p>
    <w:p>
      <w:pPr>
        <w:spacing w:after="0" w:line="162" w:lineRule="exact"/>
        <w:rPr>
          <w:sz w:val="20"/>
          <w:szCs w:val="20"/>
          <w:color w:val="auto"/>
        </w:rPr>
      </w:pPr>
    </w:p>
    <w:p>
      <w:pPr>
        <w:jc w:val="both"/>
        <w:ind w:left="640" w:hanging="323"/>
        <w:spacing w:after="0" w:line="282" w:lineRule="auto"/>
        <w:rPr>
          <w:sz w:val="20"/>
          <w:szCs w:val="20"/>
          <w:color w:val="auto"/>
        </w:rPr>
      </w:pPr>
      <w:r>
        <w:rPr>
          <w:rFonts w:ascii="Times New Roman" w:cs="Times New Roman" w:eastAsia="Times New Roman" w:hAnsi="Times New Roman"/>
          <w:sz w:val="18"/>
          <w:szCs w:val="18"/>
          <w:color w:val="auto"/>
        </w:rPr>
        <w:t>·      In March 2026, WeRide entered Slovakia through a strategic partnership with ELEVATE Slovakia, extending its global footprint to more than 40 cities across 12 countries.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WeRide achieved significant progress in other autonomous driving businesses:</w:t>
      </w:r>
    </w:p>
    <w:p>
      <w:pPr>
        <w:spacing w:after="0" w:line="225" w:lineRule="exact"/>
        <w:rPr>
          <w:sz w:val="20"/>
          <w:szCs w:val="20"/>
          <w:color w:val="auto"/>
        </w:rPr>
      </w:pPr>
    </w:p>
    <w:p>
      <w:pPr>
        <w:jc w:val="both"/>
        <w:ind w:left="640" w:hanging="323"/>
        <w:spacing w:after="0" w:line="282" w:lineRule="auto"/>
        <w:rPr>
          <w:sz w:val="20"/>
          <w:szCs w:val="20"/>
          <w:color w:val="auto"/>
        </w:rPr>
      </w:pPr>
      <w:r>
        <w:rPr>
          <w:rFonts w:ascii="Times New Roman" w:cs="Times New Roman" w:eastAsia="Times New Roman" w:hAnsi="Times New Roman"/>
          <w:sz w:val="18"/>
          <w:szCs w:val="18"/>
          <w:color w:val="auto"/>
        </w:rPr>
        <w:t>·      WeRide’s Robobus business recorded revenue growth of approximately 190% year-over-year in 2025, while expanding into European markets, including Switzerland, France, Belgium, Spain and Slovakia.</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WeRide’s WePilot 3.0 has been adopted by OEMs and Tier-1 suppliers, including Chery, GAC and Bosch, across multiple vehicle models.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WeRide continues to make significant progress in technology development:</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WeRide launched WeRide GENESIS, a general-purpose simulation platform, to accelerate AI-driven development.</w:t>
      </w:r>
    </w:p>
    <w:p>
      <w:pPr>
        <w:spacing w:after="0" w:line="225" w:lineRule="exact"/>
        <w:rPr>
          <w:sz w:val="20"/>
          <w:szCs w:val="20"/>
          <w:color w:val="auto"/>
        </w:rPr>
      </w:pPr>
    </w:p>
    <w:p>
      <w:pPr>
        <w:jc w:val="both"/>
        <w:ind w:left="640" w:hanging="323"/>
        <w:spacing w:after="0" w:line="282" w:lineRule="auto"/>
        <w:rPr>
          <w:sz w:val="20"/>
          <w:szCs w:val="20"/>
          <w:color w:val="auto"/>
        </w:rPr>
      </w:pPr>
      <w:r>
        <w:rPr>
          <w:rFonts w:ascii="Times New Roman" w:cs="Times New Roman" w:eastAsia="Times New Roman" w:hAnsi="Times New Roman"/>
          <w:sz w:val="18"/>
          <w:szCs w:val="18"/>
          <w:color w:val="auto"/>
        </w:rPr>
        <w:t>·      WeRide deepened collaboration with Geely Farizon to deliver the next-generation robotaxi GXR, expected to support safer and more cost-efficient robotaxi deployment at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440" w:top="918" w:right="459" w:bottom="879"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FINANCIAL RESULTS FOR THE YEAR ENDED DECEMBER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grew 89.6% year over year to RMB684.6 million (US$97.9 million) in 2025, compared with RMB361.1 million in 2024.</w:t>
      </w:r>
    </w:p>
    <w:p>
      <w:pPr>
        <w:spacing w:after="0" w:line="225" w:lineRule="exact"/>
        <w:rPr>
          <w:sz w:val="20"/>
          <w:szCs w:val="20"/>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revenue increased 310.3% year over year to RMB359.8 million (US$51.5 million) in 2025 from RMB87.7 million in 2024. The increase was primarily attributable to increased revenue from robotaxi, robobus, and robosweeper sales.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increased 18.8% year over year to RMB324.7 million (US$46.4 million) in 2025 from RMB273.4 million in 2024. The increase was primarily due to a RMB103.8 million increase in revenue from intelligent data services and a RMB17.7 million increase in autonomous driving-related operational and technical support services, partially offset by a RMB70.1 million decrease in ADAS R&amp;D services, as certain customized R&amp;D services for specific clients were completed in the third quarter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was RMB477.8 million (US$68.3 million) in 2025, compared with RMB250.4 million in 2024. The increase in cost of revenue was mainly due to (i) an increase in cost of goods sold, aligned with the increase in product sales; and (ii) an increase in cost of services, affected by an increase in cost of intelligent data services, partially offset by a decrease in cost of ADAS research and development (R&amp;D)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Gross profit was RMB206.8 million (US$29.6 million) in 2025, compared with RMB110.7 million in 2024. Gross margin was 30.2% in 2025, compared with 30.7% in 2024, remaining relatively stable.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were RMB2,041.9 million (US$292.0 million) in 2025, compared with RMB2,283.7 million in 2024.</w:t>
      </w:r>
    </w:p>
    <w:p>
      <w:pPr>
        <w:spacing w:after="0" w:line="225" w:lineRule="exact"/>
        <w:rPr>
          <w:sz w:val="20"/>
          <w:szCs w:val="20"/>
          <w:color w:val="auto"/>
        </w:rPr>
      </w:pPr>
    </w:p>
    <w:p>
      <w:pPr>
        <w:jc w:val="both"/>
        <w:ind w:left="340" w:hanging="332"/>
        <w:spacing w:after="0" w:line="258"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expenses were RMB1,372.2 million (US$196.2 million) in 2025, compared with RMB1,091.4 million in 2024. Excluding share-based compensation expenses, R&amp;D expenses were RMB1,211.7 million, compared to RMB857.0 million in 2024, representing an increase of 41.4% as we further strengthened our global data compliance and advanced R&amp;D efforts for our pre-installed robotaxis. The increase in R&amp;D expenses was primarily due to (i) a RMB150.3 million increase in personnel-related expenses due to headcount growth; (ii) a RMB115.3 million increase in service fees for R&amp;D projects; and (iii) a RMB67.7 million increase in material consumption and depreciation and amortization expenses.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expenses were RMB596.1 million (US$85.2 million) in 2025, compared with RMB1,138.8 million in 2024. Excluding share-based compensation, administrative expenses were RMB311.7 million, compared with RMB201.1 million in 2024, representing an increase of 55.0%. The increase was primarily due to (i) a RMB76.6 million increase in professional services fees, which were mainly related to legal compliance services; (ii) a RMB20.4 million increase in personnel costs to build necessary support functions for a growing business; and (iii) a RMB7.0 million increase in depreciation and amortization expenses.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expenses were RMB73.6 million (US$10.5 million) in 2025, compared with RMB53.6 million in 2024. Excluding share-based compensation, selling expenses were RMB68.5 million, compared with RMB44.9 million in 2024, representing an increase of 52.6%, well below the pace of sales growth.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was RMB1,654.9 million (US$236.6 million) in 2025, compared to RMB2,516.8 million in 2024.</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Non-IFRS adjusted net loss was RMB1,246.7 million (US$178.3 million) in 2025, compared with RMB801.9 million in 2024. Non-IFRS adjusted net loss is defined as loss for the year excluding share-based compensation expenses, fair value changes of financial assets at fair value through profit and loss (“</w:t>
      </w:r>
      <w:r>
        <w:rPr>
          <w:rFonts w:ascii="Times New Roman" w:cs="Times New Roman" w:eastAsia="Times New Roman" w:hAnsi="Times New Roman"/>
          <w:sz w:val="18"/>
          <w:szCs w:val="18"/>
          <w:b w:val="1"/>
          <w:bCs w:val="1"/>
          <w:color w:val="auto"/>
        </w:rPr>
        <w:t>FVTPL</w:t>
      </w:r>
      <w:r>
        <w:rPr>
          <w:rFonts w:ascii="Times New Roman" w:cs="Times New Roman" w:eastAsia="Times New Roman" w:hAnsi="Times New Roman"/>
          <w:sz w:val="18"/>
          <w:szCs w:val="18"/>
          <w:color w:val="auto"/>
        </w:rPr>
        <w:t>”), and changes in the carrying amounts of preferred shares and other financial instruments subject to redemption and other preferential rights as set out below:</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Share-based compensation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changes of financial assets at FVTPL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825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ind w:left="180" w:hanging="161"/>
        <w:spacing w:after="0" w:line="250" w:lineRule="auto"/>
        <w:rPr>
          <w:sz w:val="20"/>
          <w:szCs w:val="20"/>
          <w:color w:val="auto"/>
        </w:rPr>
      </w:pPr>
      <w:r>
        <w:rPr>
          <w:rFonts w:ascii="Times New Roman" w:cs="Times New Roman" w:eastAsia="Times New Roman" w:hAnsi="Times New Roman"/>
          <w:sz w:val="18"/>
          <w:szCs w:val="18"/>
          <w:color w:val="auto"/>
        </w:rPr>
        <w:t>Changes in the carrying amounts of preferred shares and other financial instruments subject to redemption and other preferential rights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loss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 ADS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27305</wp:posOffset>
            </wp:positionV>
            <wp:extent cx="17056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8" w:lineRule="exact"/>
        <w:rPr>
          <w:sz w:val="20"/>
          <w:szCs w:val="20"/>
          <w:color w:val="auto"/>
        </w:rPr>
      </w:pPr>
    </w:p>
    <w:p>
      <w:pPr>
        <w:ind w:left="360"/>
        <w:spacing w:after="0"/>
        <w:tabs>
          <w:tab w:leader="none" w:pos="180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19685</wp:posOffset>
            </wp:positionV>
            <wp:extent cx="17056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1" w:lineRule="exact"/>
        <w:rPr>
          <w:sz w:val="20"/>
          <w:szCs w:val="20"/>
          <w:color w:val="auto"/>
        </w:rPr>
      </w:pPr>
    </w:p>
    <w:p>
      <w:pPr>
        <w:ind w:left="240"/>
        <w:spacing w:after="0"/>
        <w:tabs>
          <w:tab w:leader="none" w:pos="1680" w:val="left"/>
        </w:tabs>
        <w:rPr>
          <w:sz w:val="20"/>
          <w:szCs w:val="20"/>
          <w:color w:val="auto"/>
        </w:rPr>
      </w:pPr>
      <w:r>
        <w:rPr>
          <w:rFonts w:ascii="Times New Roman" w:cs="Times New Roman" w:eastAsia="Times New Roman" w:hAnsi="Times New Roman"/>
          <w:sz w:val="18"/>
          <w:szCs w:val="18"/>
          <w:b w:val="1"/>
          <w:bCs w:val="1"/>
          <w:i w:val="1"/>
          <w:iCs w:val="1"/>
          <w:color w:val="auto"/>
        </w:rPr>
        <w:t>RMB’000</w:t>
      </w:r>
      <w:r>
        <w:rPr>
          <w:sz w:val="20"/>
          <w:szCs w:val="20"/>
          <w:color w:val="auto"/>
        </w:rPr>
        <w:tab/>
      </w:r>
      <w:r>
        <w:rPr>
          <w:rFonts w:ascii="Times New Roman" w:cs="Times New Roman" w:eastAsia="Times New Roman" w:hAnsi="Times New Roman"/>
          <w:sz w:val="18"/>
          <w:szCs w:val="18"/>
          <w:i w:val="1"/>
          <w:iCs w:val="1"/>
          <w:color w:val="auto"/>
        </w:rPr>
        <w:t>RMB’000</w:t>
      </w:r>
    </w:p>
    <w:p>
      <w:pPr>
        <w:spacing w:after="0" w:line="23" w:lineRule="exact"/>
        <w:rPr>
          <w:sz w:val="20"/>
          <w:szCs w:val="20"/>
          <w:color w:val="auto"/>
        </w:rPr>
      </w:pPr>
    </w:p>
    <w:p>
      <w:pPr>
        <w:jc w:val="both"/>
        <w:ind w:left="38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(1,654,900)</w:t>
      </w:r>
      <w:r>
        <w:rPr>
          <w:sz w:val="20"/>
          <w:szCs w:val="20"/>
          <w:color w:val="auto"/>
        </w:rPr>
        <w:tab/>
      </w:r>
      <w:r>
        <w:rPr>
          <w:rFonts w:ascii="Times New Roman" w:cs="Times New Roman" w:eastAsia="Times New Roman" w:hAnsi="Times New Roman"/>
          <w:sz w:val="18"/>
          <w:szCs w:val="18"/>
          <w:color w:val="auto"/>
        </w:rPr>
        <w:t>(2,516,808)</w:t>
      </w:r>
    </w:p>
    <w:p>
      <w:pPr>
        <w:spacing w:after="0" w:line="203" w:lineRule="exact"/>
        <w:rPr>
          <w:sz w:val="20"/>
          <w:szCs w:val="20"/>
          <w:color w:val="auto"/>
        </w:rPr>
      </w:pPr>
    </w:p>
    <w:p>
      <w:pPr>
        <w:ind w:left="58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449,983</w:t>
      </w:r>
      <w:r>
        <w:rPr>
          <w:sz w:val="20"/>
          <w:szCs w:val="20"/>
          <w:color w:val="auto"/>
        </w:rPr>
        <w:tab/>
      </w:r>
      <w:r>
        <w:rPr>
          <w:rFonts w:ascii="Times New Roman" w:cs="Times New Roman" w:eastAsia="Times New Roman" w:hAnsi="Times New Roman"/>
          <w:sz w:val="18"/>
          <w:szCs w:val="18"/>
          <w:color w:val="auto"/>
        </w:rPr>
        <w:t>1,187,867</w:t>
      </w:r>
    </w:p>
    <w:p>
      <w:pPr>
        <w:spacing w:after="0" w:line="31" w:lineRule="exact"/>
        <w:rPr>
          <w:sz w:val="20"/>
          <w:szCs w:val="20"/>
          <w:color w:val="auto"/>
        </w:rPr>
      </w:pPr>
    </w:p>
    <w:p>
      <w:pPr>
        <w:ind w:left="620"/>
        <w:spacing w:after="0"/>
        <w:tabs>
          <w:tab w:leader="none" w:pos="2100" w:val="left"/>
        </w:tabs>
        <w:rPr>
          <w:sz w:val="20"/>
          <w:szCs w:val="20"/>
          <w:color w:val="auto"/>
        </w:rPr>
      </w:pPr>
      <w:r>
        <w:rPr>
          <w:rFonts w:ascii="Times New Roman" w:cs="Times New Roman" w:eastAsia="Times New Roman" w:hAnsi="Times New Roman"/>
          <w:sz w:val="18"/>
          <w:szCs w:val="18"/>
          <w:b w:val="1"/>
          <w:bCs w:val="1"/>
          <w:color w:val="auto"/>
        </w:rPr>
        <w:t>(41,822)</w:t>
      </w:r>
      <w:r>
        <w:rPr>
          <w:sz w:val="20"/>
          <w:szCs w:val="20"/>
          <w:color w:val="auto"/>
        </w:rPr>
        <w:tab/>
      </w:r>
      <w:r>
        <w:rPr>
          <w:rFonts w:ascii="Times New Roman" w:cs="Times New Roman" w:eastAsia="Times New Roman" w:hAnsi="Times New Roman"/>
          <w:sz w:val="18"/>
          <w:szCs w:val="18"/>
          <w:color w:val="auto"/>
        </w:rPr>
        <w:t>61,834</w:t>
      </w:r>
    </w:p>
    <w:p>
      <w:pPr>
        <w:spacing w:after="0" w:line="220" w:lineRule="exact"/>
        <w:rPr>
          <w:sz w:val="20"/>
          <w:szCs w:val="20"/>
          <w:color w:val="auto"/>
        </w:rPr>
      </w:pPr>
    </w:p>
    <w:p>
      <w:pPr>
        <w:ind w:left="2020" w:hanging="912"/>
        <w:spacing w:after="0"/>
        <w:tabs>
          <w:tab w:leader="none" w:pos="20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465,254</w:t>
      </w:r>
    </w:p>
    <w:p>
      <w:pPr>
        <w:spacing w:after="0" w:line="27"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(1,246,739)</w:t>
      </w:r>
      <w:r>
        <w:rPr>
          <w:rFonts w:ascii="Times New Roman" w:cs="Times New Roman" w:eastAsia="Times New Roman" w:hAnsi="Times New Roman"/>
          <w:sz w:val="18"/>
          <w:szCs w:val="18"/>
          <w:color w:val="auto"/>
        </w:rPr>
        <w:t>(801,853)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22860</wp:posOffset>
            </wp:positionV>
            <wp:extent cx="170561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05610" cy="2603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-130810</wp:posOffset>
            </wp:positionV>
            <wp:extent cx="17056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677" w:lineRule="exact"/>
        <w:rPr>
          <w:sz w:val="20"/>
          <w:szCs w:val="20"/>
          <w:color w:val="auto"/>
        </w:rPr>
      </w:pPr>
    </w:p>
    <w:p>
      <w:pPr>
        <w:sectPr>
          <w:pgSz w:w="11900" w:h="16838" w:orient="portrait"/>
          <w:cols w:equalWidth="0" w:num="2">
            <w:col w:w="7960" w:space="560"/>
            <w:col w:w="2720"/>
          </w:cols>
          <w:pgMar w:left="320" w:top="900" w:right="339" w:bottom="1440" w:gutter="0" w:footer="0" w:header="0"/>
          <w:type w:val="continuous"/>
        </w:sectPr>
      </w:pPr>
    </w:p>
    <w:p>
      <w:pPr>
        <w:spacing w:after="0" w:line="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and diluted net loss per ordinary share was RMB1.79 (US$0.26) in 2025, compared with RMB8.54 in 2024. Basic and diluted net loss per ADS was RMB5.37 (US$0.78) in 2025, compared with RMB25.62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Group held RMB6,967.7 million (US$996.4 million) in cash and cash equivalents and time deposits, RMB144.3 million (US$20.6 million) in investments in wealth management products, which were included in financial assets at FVTPL, and RMB19.4 million (US$2.8 million) in restricted cash. In 2025, certain wealth management products matured, resulting in the decrease of the current portion of financial assets at FVTPL.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WeRide had short-term bank borrowings of RMB324.3 million (US$46.4 million).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BUSINESS REVIEW AND OUTLOOK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review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2025 marked a milestone year in scaling the commercialization of autonomous driving and advancing our global strategy. As of the date of this announcement, our deployment footprint now extends across 12 countries globally. Our global AV fleet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spanning robotaxis, robobuses, robovans, and robosweepers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grew rapidly from 1,089 vehicles at the end of 2024 to 2,113 as of the date of this announcement.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2025, our total revenue reached RMB684.6 million (US$ 97.9 million), representing an 89.6% year-over-year increase, while our gross profit was RMB206.8 million (US$29.6 million), representing an increase of 86.8% year over year. These results clearly demonstrate the rapid progress of our commercialization in China and international markets.</w:t>
      </w:r>
    </w:p>
    <w:p>
      <w:pPr>
        <w:spacing w:after="0" w:line="172"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Robotaxi</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Robotaxi remained a key driver of our operational growth during the Reporting Period, powered by continued commercialization in China and ongoing international deployment. During the Reporting Period, we have advanced toward a more data-driven autonomy stack by incorporating end-to-end learning, leveraging large-scale data training and world model simulation, as well as improving algorithm generalization. As of the date of this announcement, our global robotaxi fleet size has reached the new height of 1,125 vehicles.</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China Operations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China, we drove meaningful gains in total cost of ownership (TCO), service coverage, user adoption, and vehicle utilization.</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achieved up to a 38% reduction in TCO. This improvement was primarily driven by improved operating efficiency and lower vehicle bill of materials (BOM) costs. The upgrade of our remote assistance system, driven by technological advancements and GENESIS's enhanced capability to resolve edge cases, improved the remote assistance human-to-vehicle ratio from 1:10 in 2024 to 1:40. This materially reduced labor cost per vehicle and supports scalable unit economics. Additionally, BOM costs dropped by 15% with the newly upgraded robotaxi GXR, powered by our cost-effective compute platform HPC 3.0.</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commercial and testing fleet in China has surpassed 800 robotaxis, increasing operational density and reducing passenger waiting times, with the latest “free pickup and drop off point” feature across the operating area. Over the past six months, average daily orders per vehicle reached 15, and rose to 26 during peak periods, reflecting stronger demand and improved utilization.</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rollout in mega-metropolitan areas such as Beijing and Guangzhou has expanded to over 1,000 square kilometers, including key transportation hubs like airports and major railway stations, with further penetration into high-demand districts such as Tianhe, a CBD area in Guangzhou.</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the WeRide Go app and the “WeRide Go” Wechat Mini Program, WeRide’s robotaxi service has been integrated into major mobility platforms like the “Tencent Mobility Service” Wechat Mini Program and Amap, and will be soon available on Tencent Maps, making our robotaxis more accessible across China. During the fourth quarter of 2025, registered users of WeRide robotaxi service saw a year-over-year growth of more than 900%, indicating that our operating performance increasingly resonates with users.</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International Operations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2025, following the approval of the first-ever driverless robotaxi permit for passenger service in Europe from Switzerland’s Federal Roads Office (FEDRO), WeRide became the world’s only company with vehicles holding autonomous driving permits in eight countries – Switzerland, China, the United Arab Emirates, Saudi Arabia, Singapore, France, Belgium, and the United States. In key overseas markets, we are leading the global expansion of robotaxis, focusing on regions with supportive regulations and strong unit economics. We adopt an asset-light approach that keeps vehicles off balance sheet by leveraging partners and leasing firms. This enables faster city launches and avoids cold-start issues through hybrid fleets, while strengthening pricing power, improving economics, and enhancing regulatory appeal.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Currently, our deployments span the Middle East, Europe, and developed Asia-Pacific, with a fleet of over 250 robotaxis outside China and the U.S. This represents the largest robotaxi fleet operated in these regions. In October 2025, we secured the world’s first city-level fully driverless robotaxi commercial permit outside the U.S., removing the requirement for an in-vehicle safety officer and enabling unit economics breakeven of the Abu Dhabi fleet. In November 2025, WeRide and Uber launched fully driverless robotaxi commercial operations in Abu Dhabi and expanded to cover 70% of the city’s core area over time. Passengers can book under Uber Comfort, UberX, or the new “Autonomous” category, Uber’s first dedicated autonomous ride option globally.</w:t>
      </w:r>
    </w:p>
    <w:p>
      <w:pPr>
        <w:spacing w:after="0" w:line="18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December 2025, WeRide, in partnership with Uber and Dubai’s Roads and Transport Authority (RTA), launched public robotaxi passenger rides in Dubai, allowing riders to book a WeRide Robotaxi through the ‘Autonomous’ option on the Uber app. In October 2025, WeRide and Uber also began offering the first public robotaxi rides in Riyadh, and WeRide launched robotaxi GXR and robobus pilot operations in Ras Al Khaimah, expanding into a third UAE emirate.</w:t>
      </w:r>
    </w:p>
    <w:p>
      <w:pPr>
        <w:spacing w:after="0" w:line="180"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In parallel, we advanced operations in Southeast Asia and Europe. In November 2025, the Company and Grab commenced autonomous vehicle testing in Singapore. WeRide's robotaxi and robobus are expected to begin carrying public passengers by April 2026, making Punggol Singapore's first residential neighborhood with an autonomous shuttle service. In Switzerland, WeRide received the first-ever driverless robotaxi permit for passenger service in Europe from Switzerland's Federal Roads Office (FEDRO), authorizing autonomous operations in the Greater Zurich across a 110-kilometer operating area. This milestone establishes WeRide's first-mover advantage in the European market and positions the Company to leverage Europe's regulatory framework to support expansion into additional European markets. In March 2026, we announced entry into Slovakia through a strategic partnership with ELEVATE Slovakia to deploy autonomous vehicles including robotaxi, robobus, robovan, and robosweeper, launching the country’s first AV program. This national-level rollout represents Europe's first large-scale, multi-product autonomous driving commercial deployment. The move marks WeRide's fourth European market after France, Belgium, and Switzerland, bringing our global footprint to over 40 cities across 12 countries.</w:t>
      </w:r>
    </w:p>
    <w:p>
      <w:pPr>
        <w:spacing w:after="0" w:line="19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In 2025, revenue from the robotaxi business reached RMB148.0 million (US$21.2 million), representing an increase of 209.6% year over year, reflecting a significant improvement in commercial monetization.</w:t>
      </w:r>
    </w:p>
    <w:p>
      <w:pPr>
        <w:spacing w:after="0" w:line="158" w:lineRule="exact"/>
        <w:rPr>
          <w:sz w:val="20"/>
          <w:szCs w:val="20"/>
          <w:color w:val="auto"/>
        </w:rPr>
      </w:pPr>
    </w:p>
    <w:p>
      <w:pPr>
        <w:ind w:left="660" w:right="8080" w:hanging="652"/>
        <w:spacing w:after="0" w:line="503" w:lineRule="auto"/>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Autonomous Applications </w:t>
      </w:r>
      <w:r>
        <w:rPr>
          <w:rFonts w:ascii="Times New Roman" w:cs="Times New Roman" w:eastAsia="Times New Roman" w:hAnsi="Times New Roman"/>
          <w:sz w:val="18"/>
          <w:szCs w:val="18"/>
          <w:b w:val="1"/>
          <w:bCs w:val="1"/>
          <w:i w:val="1"/>
          <w:iCs w:val="1"/>
          <w:color w:val="auto"/>
        </w:rPr>
        <w:t>Robobus</w:t>
      </w: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2025, the commercial deployment of our robobuses accelerated, with robobus revenue increasing by approximately 190% year over year. We expanded into European markets, including Switzerland, France, Belgium, Spain, and Slovakia, where labor shortages in public transportation systems are increasing demand for autonomous shuttles.</w:t>
      </w:r>
    </w:p>
    <w:p>
      <w:pPr>
        <w:spacing w:after="0" w:line="17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L2+ Advanced Driver Assistance System (ADAS)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L2+ advanced driver assistance system (ADAS), WePilot 3.0, has been adopted by OEMs and Tier-1 suppliers, including Chery, GAC, and Bosch, across multiple vehicle models. The system features a single-stage end-to-end architecture and vision-based perception, enabling scalable deployment and strong performance across diverse driving conditions. In the Second China Urban Intelligent Driving Competition hosted by D1EV.COM, Chery Exeed, a mass market passenger car model powered by WePilot 3.0, made history by winning first place in three competition stops.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Products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2025, we formally launched Robovan W5, and commenced on-road trials in Guangzhou’s Nansha and Huangpu Districts. Our Robosweeper was deployed across municipal sanitation projects in key domestic cities, including Beijing, Guangzhou and Shenzhen, and entered overseas markets including Singapore, the United Arab Emirates and Saudi Arabia.</w:t>
      </w:r>
    </w:p>
    <w:p>
      <w:pPr>
        <w:spacing w:after="0" w:line="172"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Technology Development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launched WeRide GENESIS, a general-purpose simulation platform that combines physical AI and generative AI to generate photorealistic virtual driving environments, including rare edge cases, in minutes rather than days. WeRide GENESIS enables unsupervised, closed-loop training at scale, accelerating model iteration and safety validation while significantly reducing on-road testing costs, and reinforcing the technological moat underpinning our L2-to-L4 product portfolio.</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hardware level, we deepened our collaboration with Geely Farizon to deliver the next-generation robotaxi GXR as a purpose-built, factory pre-installed autonomous vehicle eliminating post-production retrofitting and delivering higher safety consistency, lower unit costs, and faster assembly. The upgraded GXR will enter serial production equipped with HPC 3.0, our proprietary high-performance computing platform with a more compute-efficient architecture, reducing per-vehicle production time to under 10 minutes and further strengthening the scalability of our asset-light deployment model with fleet partners.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Looking ahead, we will deepen multi-scenario operations and pursue global market development to deliver safe, efficient and affordable autonomous mobility worldwide. Based on our current expansion pipeline, our global robotaxi fleet is projected to reach 2,600 vehicles by the end of 2026, subject to market and regulatory conditions. These developments lay the foundation for our long-term plan to deploy tens of thousands of robotaxis globally by 2030.</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MANAGEMENT DISCUSSION AND ANALYSIS</w:t>
      </w:r>
    </w:p>
    <w:p>
      <w:pPr>
        <w:spacing w:after="0" w:line="225"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2025, we primarily financed our operations through cashflow from equity financing. As of December 31, 2025, we had aggregate balances of RMB7.1 billion in cash, cash equivalents, time deposits, restricted cash, and investments in wealth management products, which were included in financial assets at FVTPL, representing an increase of 7.6% compared to RMB6.6 billion as of December 31, 2024.</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Bank borrowings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our outstanding bank borrowings amounted to RMB324.3 million, which were denominated in RMB and primarily used to supplement our working capital. The bank borrowings were repayable in one year, bearing interest rates of 2.11% to 2.30%.</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Pledge of assets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our bank balances of RMB19.4 million were held as secured amounts in certain bank accounts for the issuance of letter of guarantee, and the payment of rentals and credit card obligations.</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certain patents were pledged for certain bank loans.</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Gearing ratio</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gearing ratio increased slightly from 8% as of December 31, 2024 to 12% as of December 31, 2025, calculated by dividing total liabilities by total assets.</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investments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year ended December 31, 2025, the Group did not have any significant investments (including any investment in an investee company with a value of 5% or more of the Group’s total assets as of December 31, 2025). As of December 31, 2025, the Group did not have other plans for material investments and capital assets.</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expenditure commitments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the Group had aggregate capital expenditure commitments amounting to RMB20.5 million.</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liabilities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the Group did not have any material contingent liabilities.</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acquisitions and disposals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did not conduct any material acquisitions and disposals during the year ended December 31,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left="652" w:right="8900" w:hanging="652"/>
        <w:spacing w:after="0" w:line="532" w:lineRule="auto"/>
        <w:tabs>
          <w:tab w:leader="none" w:pos="652"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Risk management </w:t>
      </w:r>
      <w:r>
        <w:rPr>
          <w:rFonts w:ascii="Times New Roman" w:cs="Times New Roman" w:eastAsia="Times New Roman" w:hAnsi="Times New Roman"/>
          <w:sz w:val="17"/>
          <w:szCs w:val="17"/>
          <w:b w:val="1"/>
          <w:bCs w:val="1"/>
          <w:i w:val="1"/>
          <w:iCs w:val="1"/>
          <w:color w:val="auto"/>
        </w:rPr>
        <w:t>Foreign exchange risk</w:t>
      </w:r>
    </w:p>
    <w:p>
      <w:pPr>
        <w:spacing w:after="0" w:line="1" w:lineRule="exact"/>
        <w:rPr>
          <w:rFonts w:ascii="Times New Roman" w:cs="Times New Roman" w:eastAsia="Times New Roman" w:hAnsi="Times New Roman"/>
          <w:sz w:val="17"/>
          <w:szCs w:val="17"/>
          <w:b w:val="1"/>
          <w:bCs w:val="1"/>
          <w:color w:val="auto"/>
        </w:rPr>
      </w:pPr>
    </w:p>
    <w:p>
      <w:pPr>
        <w:jc w:val="both"/>
        <w:ind w:left="652"/>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Foreign exchange risk arises when future commercial transactions or recognized assets and liabilities are denominated in a currency that is not the respective functional currency of our subsidiaries. We manage our foreign exchange risks by closely monitoring the movement of foreign currency rates and would consider hedging significant foreign currency exposure should the need arise.</w:t>
      </w:r>
    </w:p>
    <w:p>
      <w:pPr>
        <w:spacing w:after="0" w:line="171" w:lineRule="exact"/>
        <w:rPr>
          <w:rFonts w:ascii="Times New Roman" w:cs="Times New Roman" w:eastAsia="Times New Roman" w:hAnsi="Times New Roman"/>
          <w:sz w:val="17"/>
          <w:szCs w:val="17"/>
          <w:b w:val="1"/>
          <w:bCs w:val="1"/>
          <w:color w:val="auto"/>
        </w:rPr>
      </w:pPr>
    </w:p>
    <w:p>
      <w:pPr>
        <w:ind w:left="65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rFonts w:ascii="Times New Roman" w:cs="Times New Roman" w:eastAsia="Times New Roman" w:hAnsi="Times New Roman"/>
          <w:sz w:val="17"/>
          <w:szCs w:val="17"/>
          <w:b w:val="1"/>
          <w:bCs w:val="1"/>
          <w:color w:val="auto"/>
        </w:rPr>
      </w:pPr>
    </w:p>
    <w:p>
      <w:pPr>
        <w:jc w:val="both"/>
        <w:ind w:left="652"/>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Interest-bearing financial instruments at variable rates and at fixed rates expose the Group to cash flow interest rate risk and fair value interest risk, respectively. We determine the appropriate weightings of fixed and floating rate interest-bearing instruments based on the current market conditions and perform regular reviews and monitoring to achieve an appropriate mix of fixed and floating rate exposure. We do not enter into financial derivatives to hedge interest rate risk.</w:t>
      </w:r>
    </w:p>
    <w:p>
      <w:pPr>
        <w:spacing w:after="0" w:line="175" w:lineRule="exact"/>
        <w:rPr>
          <w:rFonts w:ascii="Times New Roman" w:cs="Times New Roman" w:eastAsia="Times New Roman" w:hAnsi="Times New Roman"/>
          <w:sz w:val="17"/>
          <w:szCs w:val="17"/>
          <w:b w:val="1"/>
          <w:bCs w:val="1"/>
          <w:color w:val="auto"/>
        </w:rPr>
      </w:pPr>
    </w:p>
    <w:p>
      <w:pPr>
        <w:ind w:left="652" w:hanging="652"/>
        <w:spacing w:after="0"/>
        <w:tabs>
          <w:tab w:leader="none" w:pos="652"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 and remuneration policies</w:t>
      </w:r>
    </w:p>
    <w:p>
      <w:pPr>
        <w:spacing w:after="0" w:line="229" w:lineRule="exact"/>
        <w:rPr>
          <w:rFonts w:ascii="Times New Roman" w:cs="Times New Roman" w:eastAsia="Times New Roman" w:hAnsi="Times New Roman"/>
          <w:sz w:val="18"/>
          <w:szCs w:val="18"/>
          <w:b w:val="1"/>
          <w:bCs w:val="1"/>
          <w:color w:val="auto"/>
        </w:rPr>
      </w:pPr>
    </w:p>
    <w:p>
      <w:pPr>
        <w:ind w:left="65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the Group had 3,661 full-time employees and 140 temporary employees (interns) globally, among whom 3,668 employees were based in China, including in Guangzhou, Shanghai, Beijing, and 133 employees outside China.</w:t>
      </w:r>
    </w:p>
    <w:p>
      <w:pPr>
        <w:spacing w:after="0" w:line="161"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number of employees (including temporary employees) of the Group as of December 31, 2025.</w:t>
      </w:r>
    </w:p>
    <w:p>
      <w:pPr>
        <w:spacing w:after="0" w:line="221" w:lineRule="exact"/>
        <w:rPr>
          <w:sz w:val="20"/>
          <w:szCs w:val="20"/>
          <w:color w:val="auto"/>
        </w:rPr>
      </w:pPr>
    </w:p>
    <w:tbl>
      <w:tblPr>
        <w:tblLayout w:type="fixed"/>
        <w:tblInd w:w="652"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38"/>
        </w:trPr>
        <w:tc>
          <w:tcPr>
            <w:tcW w:w="7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Function</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2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200" w:type="dxa"/>
            <w:vAlign w:val="bottom"/>
            <w:tcBorders>
              <w:bottom w:val="single" w:sz="8" w:color="CCEEFF"/>
            </w:tcBorders>
            <w:gridSpan w:val="2"/>
          </w:tcPr>
          <w:p>
            <w:pPr>
              <w:spacing w:after="0"/>
              <w:rPr>
                <w:sz w:val="20"/>
                <w:szCs w:val="20"/>
                <w:color w:val="auto"/>
              </w:rPr>
            </w:pPr>
          </w:p>
        </w:tc>
      </w:tr>
      <w:tr>
        <w:trPr>
          <w:trHeight w:val="20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engineering</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21.81%</w:t>
            </w:r>
          </w:p>
        </w:tc>
      </w:tr>
      <w:tr>
        <w:trPr>
          <w:trHeight w:val="21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R&amp;D data processing</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2,694</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70.88%</w:t>
            </w:r>
          </w:p>
        </w:tc>
      </w:tr>
      <w:tr>
        <w:trPr>
          <w:trHeight w:val="216"/>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2.07%</w:t>
            </w:r>
          </w:p>
        </w:tc>
      </w:tr>
      <w:tr>
        <w:trPr>
          <w:trHeight w:val="230"/>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management and administration</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w:t>
            </w:r>
          </w:p>
        </w:tc>
      </w:tr>
      <w:tr>
        <w:trPr>
          <w:trHeight w:val="223"/>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3,801</w:t>
            </w:r>
          </w:p>
        </w:tc>
        <w:tc>
          <w:tcPr>
            <w:tcW w:w="2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7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52"/>
        <w:spacing w:after="0" w:line="258" w:lineRule="auto"/>
        <w:rPr>
          <w:sz w:val="20"/>
          <w:szCs w:val="20"/>
          <w:color w:val="auto"/>
        </w:rPr>
      </w:pPr>
      <w:r>
        <w:rPr>
          <w:rFonts w:ascii="Times New Roman" w:cs="Times New Roman" w:eastAsia="Times New Roman" w:hAnsi="Times New Roman"/>
          <w:sz w:val="18"/>
          <w:szCs w:val="18"/>
          <w:color w:val="auto"/>
        </w:rPr>
        <w:t>The Group mainly recruits its employees through on-campus job fairs, employee referrals, industry referrals and online channels including our corporate website and social networking platforms. The Group undertakes a strict interview process for recruitment purposes. The Group enters into standard employment agreements, as well as confidentiality and non-compete agreements with its employees in accordance with market practice. The Group has adopted a training protocol in Chinese Mainland, pursuant to which it provides pre-employment and ongoing management and technical training to its employees.</w:t>
      </w:r>
    </w:p>
    <w:p>
      <w:pPr>
        <w:spacing w:after="0" w:line="183"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color w:val="auto"/>
        </w:rPr>
        <w:t>The Group offers its employees competitive compensation packages, performance-based cash bonuses and other incentives. The Group participates in various employee social security plans for its PRC-based employees, including pension insurance, unemployment insurance, maternity insurance, work-related injury insurance, medical insurance, and housing provident fund.</w:t>
      </w:r>
    </w:p>
    <w:p>
      <w:pPr>
        <w:spacing w:after="0" w:line="3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committed to achieving high standards of corporate governance with a view to safeguarding the interests of its shareholders and enhancing corporate value and accountability.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the Corporate Governance Code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adopted the code provisions in the Corporate Governance Code set out in Appendix C1 to the Listing Rules as its own code to govern its corporate governance practices. From the Listing Date to December 31, 2025 (the “</w:t>
      </w:r>
      <w:r>
        <w:rPr>
          <w:rFonts w:ascii="Times New Roman" w:cs="Times New Roman" w:eastAsia="Times New Roman" w:hAnsi="Times New Roman"/>
          <w:sz w:val="18"/>
          <w:szCs w:val="18"/>
          <w:b w:val="1"/>
          <w:bCs w:val="1"/>
          <w:color w:val="auto"/>
        </w:rPr>
        <w:t>Relevant Period</w:t>
      </w:r>
      <w:r>
        <w:rPr>
          <w:rFonts w:ascii="Times New Roman" w:cs="Times New Roman" w:eastAsia="Times New Roman" w:hAnsi="Times New Roman"/>
          <w:sz w:val="18"/>
          <w:szCs w:val="18"/>
          <w:color w:val="auto"/>
        </w:rPr>
        <w:t>”), the Company has complied with all the code provisions of the Corporate Governance Code, save and except for the following.</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code provision C.2.1 in Part 2 of the Corporate Governance Code, companies listed on the Stock Exchange are expected to comply with, but may choose to deviate from, the requirement that the roles of chairman and chief executive should be separate and should not be performed by the same individual. The Company does not have separate chairman of the Board and CEO, and Dr. Tony Xu Han currently performs these two roles. The Board believes that vesting the roles of both the chairman of the Board and CEO in the same person has the benefit of ensuring consistent leadership within the Group and enabling more effective and efficient overall strategic planning and execution of strategic initiatives for the Group. The Board considers that the balance of power and authority for the present arrangement will not be impaired, and this structure will enable the Company to make and implement decisions promptly and effectively.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will continue to review and consider splitting the roles of the chairman of the Board and CEO at a time when it is appropriate taking into account the circumstances of the Group as a whole.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the Model Code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adopted the Model Code set out in Appendix C3 to the Listing Rules as its code of conduct regarding directors’ securities transactions. Specific enquiry has been made of all the Directors and the relevant employees who are likely to be in possession of inside information of the Group and they have confirmed that they have complied with the Model Code during the Relevant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of the Company comprises three independent non-executive Directors, namely Ms. Huiping Yan, Mr. David Zhang, and Dr. Tony Fan-cheong Chan, with Ms. Huiping Yan (being the independent non-executive Director with the appropriate accounting or related financial management expertise as required under Rules 3.10(2) and 3.21 of the Listing Rules) as the chairperson of the Audit Committee.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Audit Committee has reviewed the unaudited consolidated financial statements and the unaudited annual results of the Group for the Reporting Period, and there is no disagreement between the Board and the Audit Committee regarding the accounting treatment adopted by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has met with the independent auditor of the Company, KPMG. The Audit Committee has also discussed matters with respect to the accounting policies and practices adopted by the Company and risk management and internal control systems and financial reporting matters with senior management members of the Company.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financial information disclosed in this announcement is preliminary. The figures in respect of the Company’s unaudited consolidated statement of financial position, unaudited consolidated statement of profit or loss, unaudited consolidated statement of profit or loss and other comprehensive income, and the related notes thereto as of and for the year ended December 31, 2025 as set out in this announcement have been compared by the Company’s auditor, KPMG, to the amounts set out in the Company’s draft consolidated financial statements for the year and the amounts were found to be in agreement. The work performed by KPMG in this respect did not constitute an audit, review or other assurance engagement in accordance with Hong Kong Standards on Auditing, Hong Kong Standards on Review Engagements or Hong Kong Standards on Assurance Engagements issued by the Hong Kong Institute of Certified Public Accountants and consequently no assurance has been expressed by KPMG.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Global Offering Net Proceeds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6, 2025, the Class A ordinary shares of the Company were listed on the Main Board of the Stock Exchange and the Company successfully raised net proceeds, after deducting the underwriting fees and commissions, of approximately HK$2,318.0 million (the “</w:t>
      </w:r>
      <w:r>
        <w:rPr>
          <w:rFonts w:ascii="Times New Roman" w:cs="Times New Roman" w:eastAsia="Times New Roman" w:hAnsi="Times New Roman"/>
          <w:sz w:val="18"/>
          <w:szCs w:val="18"/>
          <w:b w:val="1"/>
          <w:bCs w:val="1"/>
          <w:color w:val="auto"/>
        </w:rPr>
        <w:t>Global Offering Net Proceeds</w:t>
      </w:r>
      <w:r>
        <w:rPr>
          <w:rFonts w:ascii="Times New Roman" w:cs="Times New Roman" w:eastAsia="Times New Roman" w:hAnsi="Times New Roman"/>
          <w:sz w:val="18"/>
          <w:szCs w:val="18"/>
          <w:color w:val="auto"/>
        </w:rPr>
        <w:t>”). As of December 31, 2025, the Company has not utilized any Global Offering Net Proceeds. As of the date of this announcement, there was no change in the intended use of Global Offering Net Proceeds as previously disclosed in “Future Plans and Use of Proceeds” in the Hong Kong Prospectus. The Company plans to gradually utilize the Global Offering Net Proceeds in accordance with such intended purposes depending on actual business, which is expected to be utilized within the next three to five years.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the Global Offering Net Proceeds are not immediately used for the intended purposes, and to the extent permitted by the relevant laws and regulations, the Group intends to deposit the proceeds in short-term interest-bearing accounts at licensed commercial banks and/or other authorized financial institutions (as defined under the SFO or applicable laws and regulations in the other jurisdictions).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Final Dividend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does not recommend any final dividend for the year ended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Sale and Redemption of the Company’s Listed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Neither the Company nor any of its subsidiaries purchased, sold, or redeemed any of the Company’s securities listed on the Stock Exchange (including sale or transfer of treasury shares) during the Relevant Period. As of the date of this announcement, the Company does not hold any treasury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Events after the Reporting Period</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March 13, 2026, the Company adopted the 2026 share plan to attract, incentivize and retain employees, Directors and consultants through the grant of awards. The terms of the 2026 share plan comply with the requirements of Chapter 17 of the Listing Rules. For details, please refer to the circular of the Company dated February 6, 2026.</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March 23, 2026, the Board authorized a share repurchase program, effective as of March 23, 2026, under which the Company may repurchase up to US $100 million of its Class A ordinary shares (including in the form of American depositary shares) over the next 12 months, subject to the scope and limit of the repurchase mandate granted by shareholders of the Company on March 13, 2026 and the approval of a similar repurchase mandate to be put forward to shareholders at the upcoming 2026 annual general meeting of the Company. For details, please refer to the unaudited fourth quarter and full year financial results announcement of the Company dated March 23,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Save as disclosed above, no important events affecting the Group occurred since December 31, 2025 and up to the date of this announcement.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Publication of Annual Results Announcement and Annual Report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This annual results announcement is published on the websites of the Stock Exchange at </w:t>
      </w:r>
      <w:r>
        <w:rPr>
          <w:rFonts w:ascii="Times New Roman" w:cs="Times New Roman" w:eastAsia="Times New Roman" w:hAnsi="Times New Roman"/>
          <w:sz w:val="18"/>
          <w:szCs w:val="18"/>
          <w:u w:val="single" w:color="auto"/>
          <w:color w:val="auto"/>
        </w:rPr>
        <w:t>www.hkexnews.hk</w:t>
      </w:r>
      <w:r>
        <w:rPr>
          <w:rFonts w:ascii="Times New Roman" w:cs="Times New Roman" w:eastAsia="Times New Roman" w:hAnsi="Times New Roman"/>
          <w:sz w:val="18"/>
          <w:szCs w:val="18"/>
          <w:color w:val="auto"/>
        </w:rPr>
        <w:t xml:space="preserve"> and the Company at </w:t>
      </w:r>
      <w:r>
        <w:rPr>
          <w:rFonts w:ascii="Times New Roman" w:cs="Times New Roman" w:eastAsia="Times New Roman" w:hAnsi="Times New Roman"/>
          <w:sz w:val="18"/>
          <w:szCs w:val="18"/>
          <w:u w:val="single" w:color="auto"/>
          <w:color w:val="auto"/>
        </w:rPr>
        <w:t>www.weride.ai</w:t>
      </w:r>
      <w:r>
        <w:rPr>
          <w:rFonts w:ascii="Times New Roman" w:cs="Times New Roman" w:eastAsia="Times New Roman" w:hAnsi="Times New Roman"/>
          <w:sz w:val="18"/>
          <w:szCs w:val="18"/>
          <w:color w:val="auto"/>
        </w:rPr>
        <w:t>. The annual report of the Company for the Reporting Period containing all the information required by the Listing Rules will be dispatched to the shareholders of the Company (if requested) and will be made available on the websites of the Stock Exchange and the Company in due course.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WeRide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WeRide is a global leader and a first mover in the autonomous driving industry, as well as the first publicly traded robotaxi company. Our autonomous vehicles have been tested or operated in over 40 cities across 12 countries. We are also the first and only technology company whose products have received autonomous driving permits in eight markets: China, Switzerland, the United Arab Emirates, Singapore, France, Saudi Arabia, Belgium, and the U.S. Empowered by the smart, versatile, cost-effective, and highly adaptable WeRide One platform, WeRide provides autonomous driving products and services from L2 to L4, addressing transportation needs in the mobility, logistics, and sanitation industries. WeRide was named to Fortune's 2025 Change the World and 2025 Future 50 lists.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Use of Non-IFRS Financial Measure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evaluating its business, the Company considers and uses the non-IFRS financial measure of adjusted net loss as a supplemental measure to review and assess operating performance. The Company believes that adjusted net loss provides useful information to investors and others in understanding and evaluating the Company’s consolidated results of operations in the same manner as it helps the Company’s management. The Company defines adjusted net loss as net loss for the year excluding share-based compensation expenses, fair value changes of financial assets at FVTPL and changes in the carrying amounts of preferred shares and other financial instruments subject to redemption and other preferential rights.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presents the non-IFRS financial measure because it is used by its management to evaluate its operating performance and formulate business plans. Adjusted net loss enables the Company’s management to assess the Company’s operating results without considering the impact of the aforementioned non-cash adjustment items that it does not consider to be indicative of its core operations. Accordingly, the Company believes that the use of this non-IFRS financial measure provides useful information to investors and others in understanding and evaluating its operating results in the same manner as its management and Board.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non-IFRS financial measure is not defined under IFRS Accounting Standards and is not presented in accordance with IFRS. The non-IFRS financial measure has limitations as an analytical tool. One of the key limitations of using the adjusted net loss is that it does not reflect all items of expenses that affect the Company’s operations. Further, this non-IFRS financial measure may differ from the non-IFRS information used by other companies, including peer companies, and therefore its comparability may be limited.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non-IFRS financial measure should not be considered in isolation or construed as an alternative to loss for the year or any other measure of performance information prepared and presented in accordance with IFRS Accounting Standards or as an indicator of the Company’s operating performance. Investors are encouraged to review the Company’s historical non-IFRS financial measure in light of the most directly comparable IFRS measure. The non-IFRS financial measure presented here may not be comparable to similarly titled measure presented by other companies. Other companies may calculate similarly titled measures differently, limiting the usefulness of such measures when analyzing the Company’s data comparatively. It is encouraged that you review the Company’s financial information in its entirety and not rely on a single financial measure.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announcement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Statements that are not historical facts, including statements about WeRide’s beliefs, plans, and expectations, are forward-looking statements. Forward-looking statements involve inherent risks and uncertainties. Further information regarding these and other risks is included in WeRide’s filings with the United States Securities Exchange Commission and announcements on the website of the Stock Exchange. All information provided in this announcement is as of the date of this announcement, and WeRide does not undertake any obligation to update any forward-looking statement, except as required under applicable law.</w:t>
      </w:r>
    </w:p>
    <w:p>
      <w:pPr>
        <w:spacing w:after="0" w:line="189"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b w:val="1"/>
          <w:bCs w:val="1"/>
          <w:color w:val="auto"/>
        </w:rPr>
        <w:t>WeRide Inc.</w:t>
      </w:r>
    </w:p>
    <w:p>
      <w:pPr>
        <w:spacing w:after="0" w:line="9"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b w:val="1"/>
          <w:bCs w:val="1"/>
          <w:color w:val="auto"/>
        </w:rPr>
        <w:t>Dr. Tony Xu Han</w:t>
      </w:r>
    </w:p>
    <w:p>
      <w:pPr>
        <w:spacing w:after="0" w:line="9"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i w:val="1"/>
          <w:iCs w:val="1"/>
          <w:color w:val="auto"/>
        </w:rPr>
        <w:t>Chairman of the Board, Executive Director</w:t>
      </w:r>
    </w:p>
    <w:p>
      <w:pPr>
        <w:spacing w:after="0" w:line="9"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i w:val="1"/>
          <w:iCs w:val="1"/>
          <w:color w:val="auto"/>
        </w:rPr>
        <w:t>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March 23, 2026</w:t>
      </w:r>
    </w:p>
    <w:p>
      <w:pPr>
        <w:spacing w:after="0" w:line="223"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7"/>
          <w:szCs w:val="17"/>
          <w:i w:val="1"/>
          <w:iCs w:val="1"/>
          <w:color w:val="auto"/>
        </w:rPr>
        <w:t>As of the date of this announcement, the Board comprises Dr. Tony Xu Han and Dr. Yan Li as executive Directors, Mr. Kazuhiro Doi and Mr. Jean-François Salles as non-executive Directors, and Ms. Huiping Yan, Mr. David Zhang and Dr. Tony Fan-cheong Chan as independent non-executive Directors.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PROFIT OR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(Expressed in thousands of Renminbi (“RMB”), except for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10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23"/>
        </w:trPr>
        <w:tc>
          <w:tcPr>
            <w:tcW w:w="4400" w:type="dxa"/>
            <w:vAlign w:val="bottom"/>
          </w:tcPr>
          <w:p>
            <w:pPr>
              <w:spacing w:after="0"/>
              <w:rPr>
                <w:sz w:val="19"/>
                <w:szCs w:val="19"/>
                <w:color w:val="auto"/>
              </w:rPr>
            </w:pPr>
          </w:p>
        </w:tc>
        <w:tc>
          <w:tcPr>
            <w:tcW w:w="3740" w:type="dxa"/>
            <w:vAlign w:val="bottom"/>
          </w:tcPr>
          <w:p>
            <w:pPr>
              <w:jc w:val="center"/>
              <w:ind w:left="2590"/>
              <w:spacing w:after="0"/>
              <w:rPr>
                <w:sz w:val="20"/>
                <w:szCs w:val="20"/>
                <w:color w:val="auto"/>
              </w:rPr>
            </w:pPr>
            <w:r>
              <w:rPr>
                <w:rFonts w:ascii="Times New Roman" w:cs="Times New Roman" w:eastAsia="Times New Roman" w:hAnsi="Times New Roman"/>
                <w:sz w:val="18"/>
                <w:szCs w:val="18"/>
                <w:i w:val="1"/>
                <w:iCs w:val="1"/>
                <w:color w:val="auto"/>
                <w:w w:val="99"/>
              </w:rPr>
              <w:t>Note</w:t>
            </w: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44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RMB’000</w:t>
            </w:r>
          </w:p>
        </w:tc>
        <w:tc>
          <w:tcPr>
            <w:tcW w:w="3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RMB’000</w:t>
            </w: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7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37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87,710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359,843</w:t>
            </w:r>
          </w:p>
        </w:tc>
      </w:tr>
      <w:tr>
        <w:trPr>
          <w:trHeight w:val="229"/>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revenue</w:t>
            </w:r>
          </w:p>
        </w:tc>
        <w:tc>
          <w:tcPr>
            <w:tcW w:w="37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273,424</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324,744</w:t>
            </w:r>
          </w:p>
        </w:tc>
      </w:tr>
      <w:tr>
        <w:trPr>
          <w:trHeight w:val="210"/>
        </w:trPr>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740" w:type="dxa"/>
            <w:vAlign w:val="bottom"/>
            <w:tcBorders>
              <w:bottom w:val="single" w:sz="8" w:color="CCEEFF"/>
            </w:tcBorders>
          </w:tcPr>
          <w:p>
            <w:pPr>
              <w:jc w:val="right"/>
              <w:ind w:right="390"/>
              <w:spacing w:after="0"/>
              <w:rPr>
                <w:sz w:val="20"/>
                <w:szCs w:val="20"/>
                <w:color w:val="auto"/>
              </w:rPr>
            </w:pPr>
            <w:r>
              <w:rPr>
                <w:rFonts w:ascii="Times New Roman" w:cs="Times New Roman" w:eastAsia="Times New Roman" w:hAnsi="Times New Roman"/>
                <w:sz w:val="18"/>
                <w:szCs w:val="18"/>
                <w:i w:val="1"/>
                <w:iCs w:val="1"/>
                <w:color w:val="auto"/>
              </w:rPr>
              <w:t>3</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361,134</w:t>
            </w:r>
          </w:p>
        </w:tc>
        <w:tc>
          <w:tcPr>
            <w:tcW w:w="32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684,587</w:t>
            </w:r>
          </w:p>
        </w:tc>
        <w:tc>
          <w:tcPr>
            <w:tcW w:w="100" w:type="dxa"/>
            <w:vAlign w:val="bottom"/>
            <w:tcBorders>
              <w:bottom w:val="single" w:sz="8" w:color="CCEEFF"/>
            </w:tcBorders>
          </w:tcPr>
          <w:p>
            <w:pPr>
              <w:spacing w:after="0"/>
              <w:rPr>
                <w:sz w:val="18"/>
                <w:szCs w:val="18"/>
                <w:color w:val="auto"/>
              </w:rPr>
            </w:pPr>
          </w:p>
        </w:tc>
      </w:tr>
      <w:tr>
        <w:trPr>
          <w:trHeight w:val="209"/>
        </w:trPr>
        <w:tc>
          <w:tcPr>
            <w:tcW w:w="440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Cost of goods sold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Cost of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cost of revenue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6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(71,716)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(253,530)</w:t>
            </w:r>
          </w:p>
        </w:tc>
      </w:tr>
      <w:tr>
        <w:trPr>
          <w:trHeight w:val="252"/>
        </w:trPr>
        <w:tc>
          <w:tcPr>
            <w:tcW w:w="580" w:type="dxa"/>
            <w:vAlign w:val="bottom"/>
          </w:tcPr>
          <w:p>
            <w:pPr>
              <w:spacing w:after="0"/>
              <w:rPr>
                <w:sz w:val="21"/>
                <w:szCs w:val="21"/>
                <w:color w:val="auto"/>
              </w:rPr>
            </w:pPr>
          </w:p>
        </w:tc>
        <w:tc>
          <w:tcPr>
            <w:tcW w:w="16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(178,703)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(224,235)</w:t>
            </w:r>
          </w:p>
        </w:tc>
      </w:tr>
      <w:tr>
        <w:trPr>
          <w:trHeight w:val="209"/>
        </w:trPr>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i w:val="1"/>
                <w:iCs w:val="1"/>
                <w:color w:val="auto"/>
                <w:w w:val="88"/>
              </w:rPr>
              <w:t>5</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(250,419</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(477,765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-4794885</wp:posOffset>
            </wp:positionH>
            <wp:positionV relativeFrom="paragraph">
              <wp:posOffset>-436245</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-153670</wp:posOffset>
            </wp:positionV>
            <wp:extent cx="713232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40" w:space="720"/>
            <w:col w:w="3680"/>
          </w:cols>
          <w:pgMar w:left="320" w:top="900"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110,715</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206,822</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 income</w:t>
            </w:r>
          </w:p>
        </w:tc>
        <w:tc>
          <w:tcPr>
            <w:tcW w:w="9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i w:val="1"/>
                <w:iCs w:val="1"/>
                <w:color w:val="auto"/>
              </w:rPr>
              <w:t>4</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16,491</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4,912</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i w:val="1"/>
                <w:iCs w:val="1"/>
                <w:color w:val="auto"/>
              </w:rPr>
              <w:t>5</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(1,091,357)</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(1,372,191)</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9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i w:val="1"/>
                <w:iCs w:val="1"/>
                <w:color w:val="auto"/>
              </w:rPr>
              <w:t>5</w:t>
            </w: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(1,138,802)</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(596,060)</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i w:val="1"/>
                <w:iCs w:val="1"/>
                <w:color w:val="auto"/>
              </w:rPr>
              <w:t>5</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(53,566)</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(73,628)</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receivables and contract assets</w:t>
            </w:r>
          </w:p>
        </w:tc>
        <w:tc>
          <w:tcPr>
            <w:tcW w:w="9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(28,664)</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(16,625)</w:t>
            </w:r>
          </w:p>
        </w:tc>
        <w:tc>
          <w:tcPr>
            <w:tcW w:w="0" w:type="dxa"/>
            <w:vAlign w:val="bottom"/>
          </w:tcPr>
          <w:p>
            <w:pPr>
              <w:spacing w:after="0"/>
              <w:rPr>
                <w:sz w:val="1"/>
                <w:szCs w:val="1"/>
                <w:color w:val="auto"/>
              </w:rPr>
            </w:pPr>
          </w:p>
        </w:tc>
      </w:tr>
      <w:tr>
        <w:trPr>
          <w:trHeight w:val="209"/>
        </w:trPr>
        <w:tc>
          <w:tcPr>
            <w:tcW w:w="7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9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(2,185,183)</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(1,846,770)</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foreign exchange gain/(loss)</w:t>
            </w:r>
          </w:p>
        </w:tc>
        <w:tc>
          <w:tcPr>
            <w:tcW w:w="9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27,880</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(9,031)</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176,902</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172,307</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of financial assets at fair value through profit or loss ("FVTPL”)</w:t>
            </w:r>
          </w:p>
        </w:tc>
        <w:tc>
          <w:tcPr>
            <w:tcW w:w="9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(61,834)</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41,822</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finance costs</w:t>
            </w:r>
          </w:p>
        </w:tc>
        <w:tc>
          <w:tcPr>
            <w:tcW w:w="96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(3,451)</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(9,128)</w:t>
            </w:r>
          </w:p>
        </w:tc>
        <w:tc>
          <w:tcPr>
            <w:tcW w:w="0" w:type="dxa"/>
            <w:vAlign w:val="bottom"/>
          </w:tcPr>
          <w:p>
            <w:pPr>
              <w:spacing w:after="0"/>
              <w:rPr>
                <w:sz w:val="1"/>
                <w:szCs w:val="1"/>
                <w:color w:val="auto"/>
              </w:rPr>
            </w:pPr>
          </w:p>
        </w:tc>
      </w:tr>
      <w:tr>
        <w:trPr>
          <w:trHeight w:val="198"/>
        </w:trPr>
        <w:tc>
          <w:tcPr>
            <w:tcW w:w="7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Changes in the carrying amounts of preferred shares and other financial instruments subject to</w:t>
            </w:r>
          </w:p>
        </w:tc>
        <w:tc>
          <w:tcPr>
            <w:tcW w:w="9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and other preferential rights</w:t>
            </w:r>
          </w:p>
        </w:tc>
        <w:tc>
          <w:tcPr>
            <w:tcW w:w="9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(465,254)</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7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taxation</w:t>
            </w:r>
          </w:p>
        </w:tc>
        <w:tc>
          <w:tcPr>
            <w:tcW w:w="9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(2,510,940)</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(1,650,800)</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w:t>
            </w:r>
          </w:p>
        </w:tc>
        <w:tc>
          <w:tcPr>
            <w:tcW w:w="9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i w:val="1"/>
                <w:iCs w:val="1"/>
                <w:color w:val="auto"/>
              </w:rPr>
              <w:t>6</w:t>
            </w: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(5,868)</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(4,100)</w:t>
            </w:r>
          </w:p>
        </w:tc>
        <w:tc>
          <w:tcPr>
            <w:tcW w:w="0" w:type="dxa"/>
            <w:vAlign w:val="bottom"/>
          </w:tcPr>
          <w:p>
            <w:pPr>
              <w:spacing w:after="0"/>
              <w:rPr>
                <w:sz w:val="1"/>
                <w:szCs w:val="1"/>
                <w:color w:val="auto"/>
              </w:rPr>
            </w:pPr>
          </w:p>
        </w:tc>
      </w:tr>
      <w:tr>
        <w:trPr>
          <w:trHeight w:val="210"/>
        </w:trPr>
        <w:tc>
          <w:tcPr>
            <w:tcW w:w="7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9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(2,516,808)</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(1,654,900)</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attributable to shareholders of the Company</w:t>
            </w:r>
          </w:p>
        </w:tc>
        <w:tc>
          <w:tcPr>
            <w:tcW w:w="9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(2,516,808)</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(1,654,900)</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ordinary share</w:t>
            </w:r>
          </w:p>
        </w:tc>
        <w:tc>
          <w:tcPr>
            <w:tcW w:w="9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18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Basic and diluted loss per Class A and Class B ordinary share (in RMB)</w:t>
            </w:r>
          </w:p>
        </w:tc>
        <w:tc>
          <w:tcPr>
            <w:tcW w:w="9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i w:val="1"/>
                <w:iCs w:val="1"/>
                <w:color w:val="auto"/>
              </w:rPr>
              <w:t>7</w:t>
            </w:r>
          </w:p>
        </w:tc>
        <w:tc>
          <w:tcPr>
            <w:tcW w:w="16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1"/>
        </w:trPr>
        <w:tc>
          <w:tcPr>
            <w:tcW w:w="718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660" w:type="dxa"/>
            <w:vAlign w:val="bottom"/>
            <w:gridSpan w:val="2"/>
          </w:tcPr>
          <w:p>
            <w:pPr>
              <w:jc w:val="right"/>
              <w:ind w:right="320"/>
              <w:spacing w:after="0" w:line="81" w:lineRule="exact"/>
              <w:rPr>
                <w:sz w:val="20"/>
                <w:szCs w:val="20"/>
                <w:color w:val="auto"/>
              </w:rPr>
            </w:pPr>
            <w:r>
              <w:rPr>
                <w:rFonts w:ascii="Times New Roman" w:cs="Times New Roman" w:eastAsia="Times New Roman" w:hAnsi="Times New Roman"/>
                <w:sz w:val="9"/>
                <w:szCs w:val="9"/>
                <w:color w:val="auto"/>
              </w:rPr>
              <w:t>(8.54</w:t>
            </w:r>
          </w:p>
        </w:tc>
        <w:tc>
          <w:tcPr>
            <w:tcW w:w="1440" w:type="dxa"/>
            <w:vAlign w:val="bottom"/>
            <w:gridSpan w:val="2"/>
          </w:tcPr>
          <w:p>
            <w:pPr>
              <w:jc w:val="right"/>
              <w:ind w:right="100"/>
              <w:spacing w:after="0" w:line="81" w:lineRule="exact"/>
              <w:rPr>
                <w:sz w:val="20"/>
                <w:szCs w:val="20"/>
                <w:color w:val="auto"/>
              </w:rPr>
            </w:pPr>
            <w:r>
              <w:rPr>
                <w:rFonts w:ascii="Times New Roman" w:cs="Times New Roman" w:eastAsia="Times New Roman" w:hAnsi="Times New Roman"/>
                <w:sz w:val="9"/>
                <w:szCs w:val="9"/>
                <w:b w:val="1"/>
                <w:bCs w:val="1"/>
                <w:color w:val="auto"/>
              </w:rPr>
              <w:t>(1.79</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14</w:t>
            </w:r>
          </w:p>
        </w:tc>
        <w:tc>
          <w:tcPr>
            <w:tcW w:w="9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18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type w:val="continuous"/>
        </w:sectPr>
      </w:pPr>
    </w:p>
    <w:bookmarkStart w:id="30" w:name="page31"/>
    <w:bookmarkEnd w:id="30"/>
    <w:p>
      <w:pPr>
        <w:ind w:right="20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UNAUDITED CONSOLIDATED STATEMENT OF PROFIT OR LOSS AND OTHER COMPREHENSIVE INCOME </w:t>
      </w:r>
      <w:r>
        <w:rPr>
          <w:rFonts w:ascii="Times New Roman" w:cs="Times New Roman" w:eastAsia="Times New Roman" w:hAnsi="Times New Roman"/>
          <w:sz w:val="18"/>
          <w:szCs w:val="18"/>
          <w:i w:val="1"/>
          <w:iCs w:val="1"/>
          <w:color w:val="auto"/>
        </w:rPr>
        <w:t>(Expressed in thousands of RMB)</w:t>
      </w:r>
    </w:p>
    <w:p>
      <w:pPr>
        <w:sectPr>
          <w:pgSz w:w="11900" w:h="16838" w:orient="portrait"/>
          <w:cols w:equalWidth="0" w:num="1">
            <w:col w:w="11200"/>
          </w:cols>
          <w:pgMar w:left="320" w:top="90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comprehensive income for the year (net of nil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that will not be reclassified to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7"/>
          <w:szCs w:val="17"/>
          <w:color w:val="auto"/>
        </w:rPr>
        <w:t>- Exchange differences on translation of financial statements of foreign operations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comprehensive income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 shareholders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27305</wp:posOffset>
            </wp:positionV>
            <wp:extent cx="17056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28" w:lineRule="exact"/>
        <w:rPr>
          <w:sz w:val="20"/>
          <w:szCs w:val="20"/>
          <w:color w:val="auto"/>
        </w:rPr>
      </w:pPr>
    </w:p>
    <w:p>
      <w:pPr>
        <w:ind w:left="360"/>
        <w:spacing w:after="0"/>
        <w:tabs>
          <w:tab w:leader="none" w:pos="1800" w:val="left"/>
        </w:tabs>
        <w:rPr>
          <w:sz w:val="20"/>
          <w:szCs w:val="20"/>
          <w:color w:val="auto"/>
        </w:rPr>
      </w:pPr>
      <w:r>
        <w:rPr>
          <w:rFonts w:ascii="Times New Roman" w:cs="Times New Roman" w:eastAsia="Times New Roman" w:hAnsi="Times New Roman"/>
          <w:sz w:val="18"/>
          <w:szCs w:val="18"/>
          <w:color w:val="auto"/>
        </w:rPr>
        <w:t>2024</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19685</wp:posOffset>
            </wp:positionV>
            <wp:extent cx="17056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1" w:lineRule="exact"/>
        <w:rPr>
          <w:sz w:val="20"/>
          <w:szCs w:val="20"/>
          <w:color w:val="auto"/>
        </w:rPr>
      </w:pPr>
    </w:p>
    <w:p>
      <w:pPr>
        <w:ind w:left="200"/>
        <w:spacing w:after="0"/>
        <w:tabs>
          <w:tab w:leader="none" w:pos="1620" w:val="left"/>
        </w:tabs>
        <w:rPr>
          <w:sz w:val="20"/>
          <w:szCs w:val="20"/>
          <w:color w:val="auto"/>
        </w:rPr>
      </w:pPr>
      <w:r>
        <w:rPr>
          <w:rFonts w:ascii="Times New Roman" w:cs="Times New Roman" w:eastAsia="Times New Roman" w:hAnsi="Times New Roman"/>
          <w:sz w:val="18"/>
          <w:szCs w:val="18"/>
          <w:i w:val="1"/>
          <w:iCs w:val="1"/>
          <w:color w:val="auto"/>
        </w:rPr>
        <w:t>RMB’000</w:t>
      </w:r>
      <w:r>
        <w:rPr>
          <w:sz w:val="20"/>
          <w:szCs w:val="20"/>
          <w:color w:val="auto"/>
        </w:rPr>
        <w:tab/>
      </w:r>
      <w:r>
        <w:rPr>
          <w:rFonts w:ascii="Times New Roman" w:cs="Times New Roman" w:eastAsia="Times New Roman" w:hAnsi="Times New Roman"/>
          <w:sz w:val="18"/>
          <w:szCs w:val="18"/>
          <w:b w:val="1"/>
          <w:bCs w:val="1"/>
          <w:i w:val="1"/>
          <w:iCs w:val="1"/>
          <w:color w:val="auto"/>
        </w:rPr>
        <w:t>RMB’000</w:t>
      </w:r>
    </w:p>
    <w:p>
      <w:pPr>
        <w:spacing w:after="0" w:line="23" w:lineRule="exact"/>
        <w:rPr>
          <w:sz w:val="20"/>
          <w:szCs w:val="20"/>
          <w:color w:val="auto"/>
        </w:rPr>
      </w:pPr>
    </w:p>
    <w:p>
      <w:pPr>
        <w:jc w:val="both"/>
        <w:ind w:left="380"/>
        <w:spacing w:after="0"/>
        <w:tabs>
          <w:tab w:leader="none" w:pos="1820" w:val="left"/>
        </w:tabs>
        <w:rPr>
          <w:sz w:val="20"/>
          <w:szCs w:val="20"/>
          <w:color w:val="auto"/>
        </w:rPr>
      </w:pPr>
      <w:r>
        <w:rPr>
          <w:rFonts w:ascii="Times New Roman" w:cs="Times New Roman" w:eastAsia="Times New Roman" w:hAnsi="Times New Roman"/>
          <w:sz w:val="18"/>
          <w:szCs w:val="18"/>
          <w:color w:val="auto"/>
        </w:rPr>
        <w:t>(2,516,808)</w:t>
      </w:r>
      <w:r>
        <w:rPr>
          <w:sz w:val="20"/>
          <w:szCs w:val="20"/>
          <w:color w:val="auto"/>
        </w:rPr>
        <w:tab/>
      </w:r>
      <w:r>
        <w:rPr>
          <w:rFonts w:ascii="Times New Roman" w:cs="Times New Roman" w:eastAsia="Times New Roman" w:hAnsi="Times New Roman"/>
          <w:sz w:val="18"/>
          <w:szCs w:val="18"/>
          <w:b w:val="1"/>
          <w:bCs w:val="1"/>
          <w:color w:val="auto"/>
        </w:rPr>
        <w:t>(1,654,900)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680"/>
        <w:spacing w:after="0"/>
        <w:tabs>
          <w:tab w:leader="none" w:pos="1940" w:val="left"/>
        </w:tabs>
        <w:rPr>
          <w:sz w:val="20"/>
          <w:szCs w:val="20"/>
          <w:color w:val="auto"/>
        </w:rPr>
      </w:pPr>
      <w:r>
        <w:rPr>
          <w:rFonts w:ascii="Times New Roman" w:cs="Times New Roman" w:eastAsia="Times New Roman" w:hAnsi="Times New Roman"/>
          <w:sz w:val="18"/>
          <w:szCs w:val="18"/>
          <w:color w:val="auto"/>
        </w:rPr>
        <w:t>38,364</w:t>
      </w:r>
      <w:r>
        <w:rPr>
          <w:sz w:val="20"/>
          <w:szCs w:val="20"/>
          <w:color w:val="auto"/>
        </w:rPr>
        <w:tab/>
      </w:r>
      <w:r>
        <w:rPr>
          <w:rFonts w:ascii="Times New Roman" w:cs="Times New Roman" w:eastAsia="Times New Roman" w:hAnsi="Times New Roman"/>
          <w:sz w:val="18"/>
          <w:szCs w:val="18"/>
          <w:b w:val="1"/>
          <w:bCs w:val="1"/>
          <w:color w:val="auto"/>
        </w:rPr>
        <w:t>(122,030)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28575</wp:posOffset>
            </wp:positionV>
            <wp:extent cx="17056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32" w:lineRule="exact"/>
        <w:rPr>
          <w:sz w:val="20"/>
          <w:szCs w:val="20"/>
          <w:color w:val="auto"/>
        </w:rPr>
      </w:pPr>
    </w:p>
    <w:p>
      <w:pPr>
        <w:jc w:val="both"/>
        <w:ind w:left="680"/>
        <w:spacing w:after="0"/>
        <w:tabs>
          <w:tab w:leader="none" w:pos="1940" w:val="left"/>
        </w:tabs>
        <w:rPr>
          <w:sz w:val="20"/>
          <w:szCs w:val="20"/>
          <w:color w:val="auto"/>
        </w:rPr>
      </w:pPr>
      <w:r>
        <w:rPr>
          <w:rFonts w:ascii="Times New Roman" w:cs="Times New Roman" w:eastAsia="Times New Roman" w:hAnsi="Times New Roman"/>
          <w:sz w:val="18"/>
          <w:szCs w:val="18"/>
          <w:color w:val="auto"/>
        </w:rPr>
        <w:t>38,364</w:t>
      </w:r>
      <w:r>
        <w:rPr>
          <w:sz w:val="20"/>
          <w:szCs w:val="20"/>
          <w:color w:val="auto"/>
        </w:rPr>
        <w:tab/>
      </w:r>
      <w:r>
        <w:rPr>
          <w:rFonts w:ascii="Times New Roman" w:cs="Times New Roman" w:eastAsia="Times New Roman" w:hAnsi="Times New Roman"/>
          <w:sz w:val="18"/>
          <w:szCs w:val="18"/>
          <w:b w:val="1"/>
          <w:bCs w:val="1"/>
          <w:color w:val="auto"/>
        </w:rPr>
        <w:t>(122,030)</w:t>
      </w:r>
    </w:p>
    <w:p>
      <w:pPr>
        <w:spacing w:after="0" w:line="225" w:lineRule="exact"/>
        <w:rPr>
          <w:sz w:val="20"/>
          <w:szCs w:val="20"/>
          <w:color w:val="auto"/>
        </w:rPr>
      </w:pPr>
    </w:p>
    <w:p>
      <w:pPr>
        <w:jc w:val="right"/>
        <w:spacing w:after="0"/>
        <w:tabs>
          <w:tab w:leader="none" w:pos="820" w:val="left"/>
        </w:tabs>
        <w:rPr>
          <w:sz w:val="20"/>
          <w:szCs w:val="20"/>
          <w:color w:val="auto"/>
        </w:rPr>
      </w:pPr>
      <w:r>
        <w:rPr>
          <w:rFonts w:ascii="Times New Roman" w:cs="Times New Roman" w:eastAsia="Times New Roman" w:hAnsi="Times New Roman"/>
          <w:sz w:val="18"/>
          <w:szCs w:val="18"/>
          <w:color w:val="auto"/>
        </w:rPr>
        <w:t>(2,478,444)</w:t>
      </w:r>
      <w:r>
        <w:rPr>
          <w:sz w:val="20"/>
          <w:szCs w:val="20"/>
          <w:color w:val="auto"/>
        </w:rPr>
        <w:tab/>
      </w:r>
      <w:r>
        <w:rPr>
          <w:rFonts w:ascii="Times New Roman" w:cs="Times New Roman" w:eastAsia="Times New Roman" w:hAnsi="Times New Roman"/>
          <w:sz w:val="18"/>
          <w:szCs w:val="18"/>
          <w:b w:val="1"/>
          <w:bCs w:val="1"/>
          <w:color w:val="auto"/>
        </w:rPr>
        <w:t>(1,776,930)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28575</wp:posOffset>
            </wp:positionV>
            <wp:extent cx="17056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46" w:lineRule="exact"/>
        <w:rPr>
          <w:sz w:val="20"/>
          <w:szCs w:val="20"/>
          <w:color w:val="auto"/>
        </w:rPr>
      </w:pPr>
    </w:p>
    <w:p>
      <w:pPr>
        <w:jc w:val="right"/>
        <w:spacing w:after="0"/>
        <w:tabs>
          <w:tab w:leader="none" w:pos="820" w:val="left"/>
        </w:tabs>
        <w:rPr>
          <w:sz w:val="20"/>
          <w:szCs w:val="20"/>
          <w:color w:val="auto"/>
        </w:rPr>
      </w:pPr>
      <w:r>
        <w:rPr>
          <w:rFonts w:ascii="Times New Roman" w:cs="Times New Roman" w:eastAsia="Times New Roman" w:hAnsi="Times New Roman"/>
          <w:sz w:val="18"/>
          <w:szCs w:val="18"/>
          <w:color w:val="auto"/>
        </w:rPr>
        <w:t>(2,478,444)</w:t>
      </w:r>
      <w:r>
        <w:rPr>
          <w:sz w:val="20"/>
          <w:szCs w:val="20"/>
          <w:color w:val="auto"/>
        </w:rPr>
        <w:tab/>
      </w:r>
      <w:r>
        <w:rPr>
          <w:rFonts w:ascii="Times New Roman" w:cs="Times New Roman" w:eastAsia="Times New Roman" w:hAnsi="Times New Roman"/>
          <w:sz w:val="18"/>
          <w:szCs w:val="18"/>
          <w:b w:val="1"/>
          <w:bCs w:val="1"/>
          <w:color w:val="auto"/>
        </w:rPr>
        <w:t>(1,776,930)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45720</wp:posOffset>
            </wp:positionV>
            <wp:extent cx="17056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00" w:space="720"/>
            <w:col w:w="2680"/>
          </w:cols>
          <w:pgMar w:left="320" w:top="900" w:right="379" w:bottom="1440" w:gutter="0" w:footer="0" w:header="0"/>
          <w:type w:val="continuous"/>
        </w:sect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type w:val="continuous"/>
        </w:sectPr>
      </w:pPr>
    </w:p>
    <w:bookmarkStart w:id="31" w:name="page32"/>
    <w:bookmarkEnd w:id="31"/>
    <w:p>
      <w:pPr>
        <w:ind w:right="5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UNAUDITED CONSOLIDATED STATEMENT OF FINANCIAL POSITION </w:t>
      </w:r>
      <w:r>
        <w:rPr>
          <w:rFonts w:ascii="Times New Roman" w:cs="Times New Roman" w:eastAsia="Times New Roman" w:hAnsi="Times New Roman"/>
          <w:sz w:val="18"/>
          <w:szCs w:val="18"/>
          <w:i w:val="1"/>
          <w:iCs w:val="1"/>
          <w:color w:val="auto"/>
        </w:rPr>
        <w:t>(Expressed in thousands of RMB)</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35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Note</w:t>
            </w:r>
          </w:p>
        </w:tc>
        <w:tc>
          <w:tcPr>
            <w:tcW w:w="120" w:type="dxa"/>
            <w:vAlign w:val="bottom"/>
          </w:tcPr>
          <w:p>
            <w:pPr>
              <w:spacing w:after="0"/>
              <w:rPr>
                <w:sz w:val="20"/>
                <w:szCs w:val="20"/>
                <w:color w:val="auto"/>
              </w:rPr>
            </w:pPr>
          </w:p>
        </w:tc>
        <w:tc>
          <w:tcPr>
            <w:tcW w:w="288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3560" w:type="dxa"/>
            <w:vAlign w:val="bottom"/>
            <w:vMerge w:val="continue"/>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RMB’000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8"/>
              </w:rPr>
              <w:t>RMB’000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178,179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378,769</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73,564</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65,870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21,664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17,966</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44,758</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44,758</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non-current</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9,669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6,487</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at FVTPL – non-current</w:t>
            </w:r>
          </w:p>
        </w:tc>
        <w:tc>
          <w:tcPr>
            <w:tcW w:w="3560" w:type="dxa"/>
            <w:vAlign w:val="bottom"/>
            <w:shd w:val="clear" w:color="auto" w:fill="CCEEFF"/>
          </w:tcPr>
          <w:p>
            <w:pPr>
              <w:jc w:val="center"/>
              <w:ind w:left="2650"/>
              <w:spacing w:after="0"/>
              <w:rPr>
                <w:sz w:val="20"/>
                <w:szCs w:val="20"/>
                <w:color w:val="auto"/>
              </w:rPr>
            </w:pPr>
            <w:r>
              <w:rPr>
                <w:rFonts w:ascii="Times New Roman" w:cs="Times New Roman" w:eastAsia="Times New Roman" w:hAnsi="Times New Roman"/>
                <w:sz w:val="18"/>
                <w:szCs w:val="18"/>
                <w:i w:val="1"/>
                <w:iCs w:val="1"/>
                <w:color w:val="auto"/>
                <w:w w:val="99"/>
              </w:rPr>
              <w:t>10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56,919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188,083</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20,025</w:t>
            </w:r>
          </w:p>
        </w:tc>
        <w:tc>
          <w:tcPr>
            <w:tcW w:w="1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23,668</w:t>
            </w: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bottom w:val="single" w:sz="8" w:color="CCEEFF"/>
            </w:tcBorders>
            <w:shd w:val="clear" w:color="auto" w:fill="CCEEFF"/>
          </w:tcPr>
          <w:p>
            <w:pPr>
              <w:spacing w:after="0"/>
              <w:rPr>
                <w:sz w:val="19"/>
                <w:szCs w:val="19"/>
                <w:color w:val="auto"/>
              </w:rPr>
            </w:pPr>
          </w:p>
        </w:tc>
        <w:tc>
          <w:tcPr>
            <w:tcW w:w="35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725,601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204,705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321,021</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28,005</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23,305</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3560" w:type="dxa"/>
            <w:vAlign w:val="bottom"/>
            <w:shd w:val="clear" w:color="auto" w:fill="CCEEFF"/>
          </w:tcPr>
          <w:p>
            <w:pPr>
              <w:jc w:val="center"/>
              <w:ind w:left="2670"/>
              <w:spacing w:after="0"/>
              <w:rPr>
                <w:sz w:val="20"/>
                <w:szCs w:val="20"/>
                <w:color w:val="auto"/>
              </w:rPr>
            </w:pPr>
            <w:r>
              <w:rPr>
                <w:rFonts w:ascii="Times New Roman" w:cs="Times New Roman" w:eastAsia="Times New Roman" w:hAnsi="Times New Roman"/>
                <w:sz w:val="18"/>
                <w:szCs w:val="18"/>
                <w:i w:val="1"/>
                <w:iCs w:val="1"/>
                <w:color w:val="auto"/>
                <w:w w:val="88"/>
              </w:rPr>
              <w:t>9</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252,607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462,135</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receivables</w:t>
            </w:r>
          </w:p>
        </w:tc>
        <w:tc>
          <w:tcPr>
            <w:tcW w:w="3560" w:type="dxa"/>
            <w:vAlign w:val="bottom"/>
          </w:tcPr>
          <w:p>
            <w:pPr>
              <w:jc w:val="center"/>
              <w:ind w:left="2670"/>
              <w:spacing w:after="0"/>
              <w:rPr>
                <w:sz w:val="20"/>
                <w:szCs w:val="20"/>
                <w:color w:val="auto"/>
              </w:rPr>
            </w:pPr>
            <w:r>
              <w:rPr>
                <w:rFonts w:ascii="Times New Roman" w:cs="Times New Roman" w:eastAsia="Times New Roman" w:hAnsi="Times New Roman"/>
                <w:sz w:val="18"/>
                <w:szCs w:val="18"/>
                <w:i w:val="1"/>
                <w:iCs w:val="1"/>
                <w:color w:val="auto"/>
                <w:w w:val="88"/>
              </w:rPr>
              <w:t>9</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197,652</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269,986</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to and amounts due from related parties</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26,618</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9,010</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 at FVTPL– current</w:t>
            </w:r>
          </w:p>
        </w:tc>
        <w:tc>
          <w:tcPr>
            <w:tcW w:w="3560" w:type="dxa"/>
            <w:vAlign w:val="bottom"/>
          </w:tcPr>
          <w:p>
            <w:pPr>
              <w:jc w:val="center"/>
              <w:ind w:left="2650"/>
              <w:spacing w:after="0"/>
              <w:rPr>
                <w:sz w:val="20"/>
                <w:szCs w:val="20"/>
                <w:color w:val="auto"/>
              </w:rPr>
            </w:pPr>
            <w:r>
              <w:rPr>
                <w:rFonts w:ascii="Times New Roman" w:cs="Times New Roman" w:eastAsia="Times New Roman" w:hAnsi="Times New Roman"/>
                <w:sz w:val="18"/>
                <w:szCs w:val="18"/>
                <w:i w:val="1"/>
                <w:iCs w:val="1"/>
                <w:color w:val="auto"/>
                <w:w w:val="99"/>
              </w:rPr>
              <w:t>10</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1,685,146</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144,252</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620,148</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301,401</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4,268,300</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6,666,304</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current</w:t>
            </w:r>
          </w:p>
        </w:tc>
        <w:tc>
          <w:tcPr>
            <w:tcW w:w="3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4,814</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12,910</w:t>
            </w:r>
          </w:p>
        </w:tc>
        <w:tc>
          <w:tcPr>
            <w:tcW w:w="0" w:type="dxa"/>
            <w:vAlign w:val="bottom"/>
          </w:tcPr>
          <w:p>
            <w:pPr>
              <w:spacing w:after="0"/>
              <w:rPr>
                <w:sz w:val="1"/>
                <w:szCs w:val="1"/>
                <w:color w:val="auto"/>
              </w:rPr>
            </w:pPr>
          </w:p>
        </w:tc>
      </w:tr>
      <w:tr>
        <w:trPr>
          <w:trHeight w:val="263"/>
        </w:trPr>
        <w:tc>
          <w:tcPr>
            <w:tcW w:w="4680" w:type="dxa"/>
            <w:vAlign w:val="bottom"/>
            <w:tcBorders>
              <w:bottom w:val="single" w:sz="8" w:color="CCEEFF"/>
            </w:tcBorders>
          </w:tcPr>
          <w:p>
            <w:pPr>
              <w:spacing w:after="0"/>
              <w:rPr>
                <w:sz w:val="22"/>
                <w:szCs w:val="22"/>
                <w:color w:val="auto"/>
              </w:rPr>
            </w:pPr>
          </w:p>
        </w:tc>
        <w:tc>
          <w:tcPr>
            <w:tcW w:w="3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7,287,995</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8,210,324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68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7,693,770</w:t>
            </w:r>
          </w:p>
        </w:tc>
        <w:tc>
          <w:tcPr>
            <w:tcW w:w="10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8,935,925</w:t>
            </w:r>
          </w:p>
        </w:tc>
        <w:tc>
          <w:tcPr>
            <w:tcW w:w="0" w:type="dxa"/>
            <w:vAlign w:val="bottom"/>
          </w:tcPr>
          <w:p>
            <w:pPr>
              <w:spacing w:after="0"/>
              <w:rPr>
                <w:sz w:val="1"/>
                <w:szCs w:val="1"/>
                <w:color w:val="auto"/>
              </w:rPr>
            </w:pPr>
          </w:p>
        </w:tc>
      </w:tr>
      <w:tr>
        <w:trPr>
          <w:trHeight w:val="197"/>
        </w:trPr>
        <w:tc>
          <w:tcPr>
            <w:tcW w:w="4680" w:type="dxa"/>
            <w:vAlign w:val="bottom"/>
            <w:tcBorders>
              <w:top w:val="single" w:sz="8" w:color="CCEEFF"/>
            </w:tcBorders>
            <w:shd w:val="clear" w:color="auto" w:fill="CCEEFF"/>
          </w:tcPr>
          <w:p>
            <w:pPr>
              <w:spacing w:after="0"/>
              <w:rPr>
                <w:sz w:val="17"/>
                <w:szCs w:val="17"/>
                <w:color w:val="auto"/>
              </w:rPr>
            </w:pPr>
          </w:p>
        </w:tc>
        <w:tc>
          <w:tcPr>
            <w:tcW w:w="3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69</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12,750,598</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14,962,531</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Reserves</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2,946,715</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3,223,822</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3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(8,631,352)</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(10,286,252)</w:t>
            </w: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7,066,019</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7,900,174</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6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FINANCIAL POSITION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(Expressed in thousands of RMB)</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3680" w:type="dxa"/>
            <w:vAlign w:val="bottom"/>
            <w:vMerge w:val="restart"/>
          </w:tcPr>
          <w:p>
            <w:pPr>
              <w:jc w:val="center"/>
              <w:ind w:left="2570"/>
              <w:spacing w:after="0"/>
              <w:rPr>
                <w:sz w:val="20"/>
                <w:szCs w:val="20"/>
                <w:color w:val="auto"/>
              </w:rPr>
            </w:pPr>
            <w:r>
              <w:rPr>
                <w:rFonts w:ascii="Times New Roman" w:cs="Times New Roman" w:eastAsia="Times New Roman" w:hAnsi="Times New Roman"/>
                <w:sz w:val="18"/>
                <w:szCs w:val="18"/>
                <w:i w:val="1"/>
                <w:iCs w:val="1"/>
                <w:color w:val="auto"/>
                <w:w w:val="99"/>
              </w:rPr>
              <w:t>Note</w:t>
            </w:r>
          </w:p>
        </w:tc>
        <w:tc>
          <w:tcPr>
            <w:tcW w:w="278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3680" w:type="dxa"/>
            <w:vAlign w:val="bottom"/>
            <w:vMerge w:val="continue"/>
          </w:tcPr>
          <w:p>
            <w:pPr>
              <w:spacing w:after="0"/>
              <w:rPr>
                <w:sz w:val="19"/>
                <w:szCs w:val="19"/>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RMB’000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8"/>
              </w:rPr>
              <w:t>RMB’000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3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26,059</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23,241</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Long-term bank loan</w:t>
            </w:r>
          </w:p>
        </w:tc>
        <w:tc>
          <w:tcPr>
            <w:tcW w:w="36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50,040</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4,486</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3,489</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8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4,677</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7,720</w:t>
            </w: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85,262</w:t>
            </w:r>
          </w:p>
        </w:tc>
        <w:tc>
          <w:tcPr>
            <w:tcW w:w="2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34,450</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6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bank loans</w:t>
            </w:r>
          </w:p>
        </w:tc>
        <w:tc>
          <w:tcPr>
            <w:tcW w:w="3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30,019</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324,263</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3680" w:type="dxa"/>
            <w:vAlign w:val="bottom"/>
          </w:tcPr>
          <w:p>
            <w:pPr>
              <w:jc w:val="center"/>
              <w:ind w:left="2550"/>
              <w:spacing w:after="0"/>
              <w:rPr>
                <w:sz w:val="20"/>
                <w:szCs w:val="20"/>
                <w:color w:val="auto"/>
              </w:rPr>
            </w:pPr>
            <w:r>
              <w:rPr>
                <w:rFonts w:ascii="Times New Roman" w:cs="Times New Roman" w:eastAsia="Times New Roman" w:hAnsi="Times New Roman"/>
                <w:sz w:val="18"/>
                <w:szCs w:val="18"/>
                <w:i w:val="1"/>
                <w:iCs w:val="1"/>
                <w:color w:val="auto"/>
                <w:w w:val="88"/>
              </w:rPr>
              <w:t>11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20,713</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163,000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deposits received and accrued expenses</w:t>
            </w:r>
          </w:p>
        </w:tc>
        <w:tc>
          <w:tcPr>
            <w:tcW w:w="3680" w:type="dxa"/>
            <w:vAlign w:val="bottom"/>
            <w:shd w:val="clear" w:color="auto" w:fill="CCEEFF"/>
          </w:tcPr>
          <w:p>
            <w:pPr>
              <w:jc w:val="center"/>
              <w:ind w:left="2550"/>
              <w:spacing w:after="0"/>
              <w:rPr>
                <w:sz w:val="20"/>
                <w:szCs w:val="20"/>
                <w:color w:val="auto"/>
              </w:rPr>
            </w:pPr>
            <w:r>
              <w:rPr>
                <w:rFonts w:ascii="Times New Roman" w:cs="Times New Roman" w:eastAsia="Times New Roman" w:hAnsi="Times New Roman"/>
                <w:sz w:val="18"/>
                <w:szCs w:val="18"/>
                <w:i w:val="1"/>
                <w:iCs w:val="1"/>
                <w:color w:val="auto"/>
                <w:w w:val="88"/>
              </w:rPr>
              <w:t>11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397,755</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408,357</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6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4,476</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28,512</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3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36,900</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31,920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36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9,450</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1,949</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option liabilities</w:t>
            </w:r>
          </w:p>
        </w:tc>
        <w:tc>
          <w:tcPr>
            <w:tcW w:w="3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41,099</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43,300</w:t>
            </w: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368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2,077</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780" w:type="dxa"/>
            <w:vAlign w:val="bottom"/>
            <w:shd w:val="clear" w:color="auto" w:fill="CCEEFF"/>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shd w:val="clear" w:color="auto" w:fill="CCEEFF"/>
          </w:tcPr>
          <w:p>
            <w:pPr>
              <w:spacing w:after="0"/>
              <w:rPr>
                <w:sz w:val="21"/>
                <w:szCs w:val="21"/>
                <w:color w:val="auto"/>
              </w:rPr>
            </w:pPr>
          </w:p>
        </w:tc>
        <w:tc>
          <w:tcPr>
            <w:tcW w:w="36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542,489</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1,001,301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current assets</w:t>
            </w:r>
          </w:p>
        </w:tc>
        <w:tc>
          <w:tcPr>
            <w:tcW w:w="36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6,745,506</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7,209,023</w:t>
            </w:r>
          </w:p>
        </w:tc>
        <w:tc>
          <w:tcPr>
            <w:tcW w:w="0" w:type="dxa"/>
            <w:vAlign w:val="bottom"/>
          </w:tcPr>
          <w:p>
            <w:pPr>
              <w:spacing w:after="0"/>
              <w:rPr>
                <w:sz w:val="1"/>
                <w:szCs w:val="1"/>
                <w:color w:val="auto"/>
              </w:rPr>
            </w:pPr>
          </w:p>
        </w:tc>
      </w:tr>
      <w:tr>
        <w:trPr>
          <w:trHeight w:val="209"/>
        </w:trPr>
        <w:tc>
          <w:tcPr>
            <w:tcW w:w="47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8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627,751</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1,035,751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tcBorders>
              <w:bottom w:val="single" w:sz="8" w:color="CCEEFF"/>
            </w:tcBorders>
          </w:tcPr>
          <w:p>
            <w:pPr>
              <w:spacing w:after="0"/>
              <w:rPr>
                <w:sz w:val="17"/>
                <w:szCs w:val="17"/>
                <w:color w:val="auto"/>
              </w:rPr>
            </w:pPr>
          </w:p>
        </w:tc>
        <w:tc>
          <w:tcPr>
            <w:tcW w:w="36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36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7,693,770</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8,935,925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680" w:type="dxa"/>
            <w:vAlign w:val="bottom"/>
            <w:vMerge w:val="restart"/>
          </w:tcPr>
          <w:p>
            <w:pPr>
              <w:jc w:val="right"/>
              <w:ind w:right="2650"/>
              <w:spacing w:after="0"/>
              <w:rPr>
                <w:sz w:val="20"/>
                <w:szCs w:val="20"/>
                <w:color w:val="auto"/>
              </w:rPr>
            </w:pPr>
            <w:r>
              <w:rPr>
                <w:rFonts w:ascii="Times New Roman" w:cs="Times New Roman" w:eastAsia="Times New Roman" w:hAnsi="Times New Roman"/>
                <w:sz w:val="18"/>
                <w:szCs w:val="18"/>
                <w:color w:val="auto"/>
              </w:rPr>
              <w:t>17</w:t>
            </w: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7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225"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INFORMATION AND BASIS OF PRESENTATION</w:t>
      </w:r>
    </w:p>
    <w:p>
      <w:pPr>
        <w:spacing w:after="0" w:line="225" w:lineRule="exact"/>
        <w:rPr>
          <w:rFonts w:ascii="Times New Roman" w:cs="Times New Roman" w:eastAsia="Times New Roman" w:hAnsi="Times New Roman"/>
          <w:sz w:val="18"/>
          <w:szCs w:val="18"/>
          <w:b w:val="1"/>
          <w:bCs w:val="1"/>
          <w:color w:val="auto"/>
        </w:rPr>
      </w:pPr>
    </w:p>
    <w:p>
      <w:pPr>
        <w:ind w:left="980" w:hanging="648"/>
        <w:spacing w:after="0"/>
        <w:tabs>
          <w:tab w:leader="none" w:pos="98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WeRide Inc. (the “Company”), an exempted company with limited liability, was incorporated in the Cayman Islands under the Companies Act, Cap. 22 (Law 3 of 1961, as consolidated and revised) of the Cayman Islands on March 13, 2017. The Company’s American Depositary Shares (“ADSs”) have been listed on the Nasdaq Stock Market since October 25, 2024 and the Company completed its initial public offering(“IPO”) on October 28, 2024. Each ADS of the Company represents three ordinary shares.</w:t>
      </w:r>
    </w:p>
    <w:p>
      <w:pPr>
        <w:spacing w:after="0" w:line="17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6, 2025, the Company completed its global offering (“Global Offering”) and listing of its Class A ordinary shares, including the Hong Kong Public Offering and the International Offering, on The Stock Exchange of Hong Kong Limited (“HKEX”).</w:t>
      </w:r>
    </w:p>
    <w:p>
      <w:pPr>
        <w:spacing w:after="0" w:line="161"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an investment holding company. The Company, through its wholly-owned subsidiaries (collectively referred to as the “Group”), is principally engaged in providing autonomous driving products and services. The Group’s principal operations and geographic markets are in the People’s Republic of China (the “PRC”).</w:t>
      </w:r>
    </w:p>
    <w:p>
      <w:pPr>
        <w:spacing w:after="0" w:line="171" w:lineRule="exact"/>
        <w:rPr>
          <w:rFonts w:ascii="Times New Roman" w:cs="Times New Roman" w:eastAsia="Times New Roman" w:hAnsi="Times New Roman"/>
          <w:sz w:val="18"/>
          <w:szCs w:val="18"/>
          <w:b w:val="1"/>
          <w:bCs w:val="1"/>
          <w:color w:val="auto"/>
        </w:rPr>
      </w:pPr>
    </w:p>
    <w:p>
      <w:pPr>
        <w:ind w:left="980" w:hanging="648"/>
        <w:spacing w:after="0"/>
        <w:tabs>
          <w:tab w:leader="none" w:pos="98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and presentation</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financial information set out in this announcement does not constitute the Group’s unaudited consolidated financial statements for the year ended December 31, 2025, but is derived from those unaudited financial statements. The consolidated financial statements of the Group have been prepared in accordance with all applicable International Financial Reporting Standards Accounting Standards (“IFRS” or “IFRS Accounting Standards”) as issued by the International Accounting Standards Board (“IASB”) and the disclosure requirements of the Hong Kong Companies Ordinance. These financial statements also comply with the applicable disclosure provisions of the Rules Governing the Listing of Securities on the Stock Exchange.</w:t>
      </w:r>
    </w:p>
    <w:p>
      <w:pPr>
        <w:spacing w:after="0" w:line="183"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ACCOUNTING POLICIES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has applied the amendment to IFRS Accounting Standards issued by the IASB to these financial statements for the year ended December 31, 2025:</w:t>
      </w:r>
    </w:p>
    <w:p>
      <w:pPr>
        <w:spacing w:after="0" w:line="157" w:lineRule="exact"/>
        <w:rPr>
          <w:rFonts w:ascii="Times New Roman" w:cs="Times New Roman" w:eastAsia="Times New Roman" w:hAnsi="Times New Roman"/>
          <w:sz w:val="18"/>
          <w:szCs w:val="18"/>
          <w:b w:val="1"/>
          <w:bCs w:val="1"/>
          <w:color w:val="auto"/>
        </w:rPr>
      </w:pPr>
    </w:p>
    <w:p>
      <w:pPr>
        <w:ind w:left="980" w:hanging="603"/>
        <w:spacing w:after="0"/>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 to IAS 21, Lack of exchangeability</w:t>
      </w:r>
    </w:p>
    <w:p>
      <w:pPr>
        <w:spacing w:after="0" w:line="229"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has had no material effect on how the Group’s results and financial position for the current or prior periods have been prepared or presented. The Group has not applied any new standard or interpretation that is not yet effective for the year ended December 31,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ind w:left="340" w:hanging="332"/>
        <w:spacing w:after="0"/>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29" w:lineRule="exact"/>
        <w:rPr>
          <w:rFonts w:ascii="Times New Roman" w:cs="Times New Roman" w:eastAsia="Times New Roman" w:hAnsi="Times New Roman"/>
          <w:sz w:val="18"/>
          <w:szCs w:val="18"/>
          <w:b w:val="1"/>
          <w:bCs w:val="1"/>
          <w:color w:val="auto"/>
        </w:rPr>
      </w:pPr>
    </w:p>
    <w:p>
      <w:pPr>
        <w:jc w:val="both"/>
        <w:ind w:left="34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principal activities of the Group are (i) the sales of autonomous driving vehicles, primarily including robobuses, robotaxis, robosweepers and related sensor suites; and (ii) the provision of autonomous driving-related operational and technical support services; and (iii) the provision of other technology services, including ADAS R&amp;D services and intelligent data services.</w:t>
      </w:r>
    </w:p>
    <w:p>
      <w:pPr>
        <w:spacing w:after="0" w:line="171" w:lineRule="exact"/>
        <w:rPr>
          <w:rFonts w:ascii="Times New Roman" w:cs="Times New Roman" w:eastAsia="Times New Roman" w:hAnsi="Times New Roman"/>
          <w:sz w:val="18"/>
          <w:szCs w:val="18"/>
          <w:b w:val="1"/>
          <w:bCs w:val="1"/>
          <w:color w:val="auto"/>
        </w:rPr>
      </w:pPr>
    </w:p>
    <w:p>
      <w:pPr>
        <w:ind w:left="1040" w:hanging="708"/>
        <w:spacing w:after="0"/>
        <w:tabs>
          <w:tab w:leader="none" w:pos="1040"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ind w:left="340" w:right="100"/>
        <w:spacing w:after="0" w:line="282" w:lineRule="auto"/>
        <w:rPr>
          <w:sz w:val="20"/>
          <w:szCs w:val="20"/>
          <w:color w:val="auto"/>
        </w:rPr>
      </w:pPr>
      <w:r>
        <w:rPr>
          <w:rFonts w:ascii="Times New Roman" w:cs="Times New Roman" w:eastAsia="Times New Roman" w:hAnsi="Times New Roman"/>
          <w:sz w:val="18"/>
          <w:szCs w:val="18"/>
          <w:color w:val="auto"/>
        </w:rPr>
        <w:t>The Group generally sells autonomous driving vehicles to customers with provision of accompanying operational and technical support services. The following table sets forth the breakdown of disaggregation of revenue from contracts with customers by categories of vehicles and related services: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8040" w:type="dxa"/>
            <w:vAlign w:val="bottom"/>
          </w:tcPr>
          <w:p>
            <w:pPr>
              <w:spacing w:after="0"/>
              <w:rPr>
                <w:sz w:val="20"/>
                <w:szCs w:val="20"/>
                <w:color w:val="auto"/>
              </w:rPr>
            </w:pPr>
          </w:p>
        </w:tc>
        <w:tc>
          <w:tcPr>
            <w:tcW w:w="29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23"/>
        </w:trPr>
        <w:tc>
          <w:tcPr>
            <w:tcW w:w="804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80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RMB’000</w:t>
            </w: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RMB’000</w:t>
            </w:r>
          </w:p>
        </w:tc>
        <w:tc>
          <w:tcPr>
            <w:tcW w:w="120" w:type="dxa"/>
            <w:vAlign w:val="bottom"/>
            <w:gridSpan w:val="2"/>
          </w:tcPr>
          <w:p>
            <w:pPr>
              <w:spacing w:after="0"/>
              <w:rPr>
                <w:sz w:val="18"/>
                <w:szCs w:val="18"/>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Disaggregated by major products or service lines: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Sales of robotaxis and related services</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47,832</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147,993</w:t>
            </w:r>
          </w:p>
        </w:tc>
        <w:tc>
          <w:tcPr>
            <w:tcW w:w="100" w:type="dxa"/>
            <w:vAlign w:val="bottom"/>
          </w:tcPr>
          <w:p>
            <w:pPr>
              <w:spacing w:after="0"/>
              <w:rPr>
                <w:sz w:val="18"/>
                <w:szCs w:val="18"/>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other vehicles and related services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Robobus</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79,688</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231,473</w:t>
            </w:r>
          </w:p>
        </w:tc>
        <w:tc>
          <w:tcPr>
            <w:tcW w:w="100" w:type="dxa"/>
            <w:vAlign w:val="bottom"/>
          </w:tcPr>
          <w:p>
            <w:pPr>
              <w:spacing w:after="0"/>
              <w:rPr>
                <w:sz w:val="18"/>
                <w:szCs w:val="18"/>
                <w:color w:val="auto"/>
              </w:rPr>
            </w:pPr>
          </w:p>
        </w:tc>
      </w:tr>
      <w:tr>
        <w:trPr>
          <w:trHeight w:val="216"/>
        </w:trPr>
        <w:tc>
          <w:tcPr>
            <w:tcW w:w="8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Robosweeper</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55,320</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96,083</w:t>
            </w: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Robovan</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13,393</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10,493</w:t>
            </w:r>
          </w:p>
        </w:tc>
        <w:tc>
          <w:tcPr>
            <w:tcW w:w="100" w:type="dxa"/>
            <w:vAlign w:val="bottom"/>
          </w:tcPr>
          <w:p>
            <w:pPr>
              <w:spacing w:after="0"/>
              <w:rPr>
                <w:sz w:val="18"/>
                <w:szCs w:val="18"/>
                <w:color w:val="auto"/>
              </w:rPr>
            </w:pPr>
          </w:p>
        </w:tc>
      </w:tr>
      <w:tr>
        <w:trPr>
          <w:trHeight w:val="229"/>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technology services</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164,901</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198,545</w:t>
            </w:r>
          </w:p>
        </w:tc>
        <w:tc>
          <w:tcPr>
            <w:tcW w:w="100" w:type="dxa"/>
            <w:vAlign w:val="bottom"/>
            <w:shd w:val="clear" w:color="auto" w:fill="CCEEFF"/>
          </w:tcPr>
          <w:p>
            <w:pPr>
              <w:spacing w:after="0"/>
              <w:rPr>
                <w:sz w:val="19"/>
                <w:szCs w:val="19"/>
                <w:color w:val="auto"/>
              </w:rPr>
            </w:pPr>
          </w:p>
        </w:tc>
      </w:tr>
      <w:tr>
        <w:trPr>
          <w:trHeight w:val="223"/>
        </w:trPr>
        <w:tc>
          <w:tcPr>
            <w:tcW w:w="804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361,134</w:t>
            </w:r>
          </w:p>
        </w:tc>
        <w:tc>
          <w:tcPr>
            <w:tcW w:w="2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684,587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80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Disaggregation of revenue from contracts with customers by products or service lines and timing of revenue recognition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9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RMB’000</w:t>
            </w: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RMB’000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Disaggregated by major products or service lines:</w:t>
            </w:r>
          </w:p>
        </w:tc>
        <w:tc>
          <w:tcPr>
            <w:tcW w:w="29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Autonomous driving-related operational and technical support services</w:t>
            </w:r>
          </w:p>
        </w:tc>
        <w:tc>
          <w:tcPr>
            <w:tcW w:w="4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108,523</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126,199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technology services</w:t>
            </w:r>
          </w:p>
        </w:tc>
        <w:tc>
          <w:tcPr>
            <w:tcW w:w="4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164,901</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198,545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Provision of services</w:t>
            </w:r>
          </w:p>
        </w:tc>
        <w:tc>
          <w:tcPr>
            <w:tcW w:w="2900" w:type="dxa"/>
            <w:vAlign w:val="bottom"/>
            <w:tcBorders>
              <w:bottom w:val="single" w:sz="8" w:color="CCEEFF"/>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273,424</w:t>
            </w:r>
          </w:p>
        </w:tc>
        <w:tc>
          <w:tcPr>
            <w:tcW w:w="220" w:type="dxa"/>
            <w:vAlign w:val="bottom"/>
            <w:tcBorders>
              <w:bottom w:val="single" w:sz="8" w:color="CCEEFF"/>
            </w:tcBorders>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324,744</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1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Sales of autonomous driving vehicles</w:t>
            </w:r>
          </w:p>
        </w:tc>
        <w:tc>
          <w:tcPr>
            <w:tcW w:w="290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87,710</w:t>
            </w:r>
          </w:p>
        </w:tc>
        <w:tc>
          <w:tcPr>
            <w:tcW w:w="22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359,843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5140" w:type="dxa"/>
            <w:vAlign w:val="bottom"/>
            <w:tcBorders>
              <w:bottom w:val="single" w:sz="8" w:color="CCEEFF"/>
            </w:tcBorders>
          </w:tcPr>
          <w:p>
            <w:pPr>
              <w:spacing w:after="0"/>
              <w:rPr>
                <w:sz w:val="22"/>
                <w:szCs w:val="22"/>
                <w:color w:val="auto"/>
              </w:rPr>
            </w:pPr>
          </w:p>
        </w:tc>
        <w:tc>
          <w:tcPr>
            <w:tcW w:w="29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361,134</w:t>
            </w:r>
          </w:p>
        </w:tc>
        <w:tc>
          <w:tcPr>
            <w:tcW w:w="2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684,587</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4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87,710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396,431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4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273,424</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288,156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361,134</w:t>
            </w:r>
          </w:p>
        </w:tc>
        <w:tc>
          <w:tcPr>
            <w:tcW w:w="2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684,587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900" w:type="dxa"/>
            <w:vAlign w:val="bottom"/>
            <w:vMerge w:val="restart"/>
          </w:tcPr>
          <w:p>
            <w:pPr>
              <w:jc w:val="right"/>
              <w:ind w:right="2570"/>
              <w:spacing w:after="0"/>
              <w:rPr>
                <w:sz w:val="20"/>
                <w:szCs w:val="20"/>
                <w:color w:val="auto"/>
              </w:rPr>
            </w:pPr>
            <w:r>
              <w:rPr>
                <w:rFonts w:ascii="Times New Roman" w:cs="Times New Roman" w:eastAsia="Times New Roman" w:hAnsi="Times New Roman"/>
                <w:sz w:val="18"/>
                <w:szCs w:val="18"/>
                <w:color w:val="auto"/>
              </w:rPr>
              <w:t>19</w:t>
            </w: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vMerge w:val="continue"/>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900" w:right="23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NET INCOME</w:t>
            </w: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4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96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04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RMB’000</w:t>
            </w: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RMB’000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14,132</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Net gain/(loss) on disposal of non-current assets</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1,013</w:t>
            </w: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(3,468)</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1,346</w:t>
            </w: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(4,176)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04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16,491</w:t>
            </w:r>
          </w:p>
        </w:tc>
        <w:tc>
          <w:tcPr>
            <w:tcW w:w="2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8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EXPENSES BY NATURE</w:t>
            </w: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vMerge w:val="continue"/>
          </w:tcPr>
          <w:p>
            <w:pPr>
              <w:spacing w:after="0"/>
              <w:rPr>
                <w:sz w:val="24"/>
                <w:szCs w:val="24"/>
                <w:color w:val="auto"/>
              </w:rPr>
            </w:pPr>
          </w:p>
        </w:tc>
        <w:tc>
          <w:tcPr>
            <w:tcW w:w="80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4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96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04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RMB’000</w:t>
            </w: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RMB’000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employee benefits</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1,953,723</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1,462,351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71,716</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236,167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101,131</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166,679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 fee</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80,742</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fee from a related party</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90,055</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66,805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Outsourcing service fee</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67,438</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139,771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Utilities and property management fee</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35,698</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48,100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Listing expense relating to the public offering on Nasdaq</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24,622</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Listing expense relating to the Global Offering</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1,814</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107,205</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160,605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 research and development expenses, administrative expenses and selling expenses</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2,534,144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2,519,644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 Payroll and employee benefits: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Salaries, allowances, bonus and benefits in kind</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728,373</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950,949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Contributions to defined contribution retirement plan</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37,483</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61,419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1,187,867</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449,983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04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1,953,723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1,462,351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(ii) Depreciation and amortization:</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Property and equipment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58,312</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111,356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Right-of-use assets</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38,484</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Intangible assets</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4,335</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04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166,679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40" w:type="dxa"/>
            <w:vAlign w:val="bottom"/>
            <w:vMerge w:val="restart"/>
          </w:tcPr>
          <w:p>
            <w:pPr>
              <w:ind w:left="5200"/>
              <w:spacing w:after="0"/>
              <w:rPr>
                <w:sz w:val="20"/>
                <w:szCs w:val="20"/>
                <w:color w:val="auto"/>
              </w:rPr>
            </w:pPr>
            <w:r>
              <w:rPr>
                <w:rFonts w:ascii="Times New Roman" w:cs="Times New Roman" w:eastAsia="Times New Roman" w:hAnsi="Times New Roman"/>
                <w:sz w:val="18"/>
                <w:szCs w:val="18"/>
                <w:color w:val="auto"/>
              </w:rPr>
              <w:t>20</w:t>
            </w: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0" w:type="dxa"/>
            <w:vAlign w:val="bottom"/>
            <w:tcBorders>
              <w:bottom w:val="single" w:sz="8" w:color="auto"/>
            </w:tcBorders>
          </w:tcPr>
          <w:p>
            <w:pPr>
              <w:spacing w:after="0"/>
              <w:rPr>
                <w:sz w:val="24"/>
                <w:szCs w:val="24"/>
                <w:color w:val="auto"/>
              </w:rPr>
            </w:pPr>
          </w:p>
        </w:tc>
        <w:tc>
          <w:tcPr>
            <w:tcW w:w="8040" w:type="dxa"/>
            <w:vAlign w:val="bottom"/>
            <w:tcBorders>
              <w:bottom w:val="single" w:sz="8" w:color="auto"/>
            </w:tcBorders>
            <w:vMerge w:val="continue"/>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900" w:right="239" w:bottom="1440" w:gutter="0" w:footer="0" w:header="0"/>
        </w:sectPr>
      </w:pPr>
    </w:p>
    <w:bookmarkStart w:id="36" w:name="page37"/>
    <w:bookmarkEnd w:id="36"/>
    <w:p>
      <w:pPr>
        <w:ind w:left="340" w:hanging="332"/>
        <w:spacing w:after="0"/>
        <w:tabs>
          <w:tab w:leader="none" w:pos="3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Group provided the current income tax expense of RMB5.9 million and RMB4.1 million for the years ended December 31, 2024 and 2025, respectively, which represented a withholding tax levied at 10% on interest income earned by the Company in the Cayman Islands and the Group’s subsidiary in Hong Kong which is a non-PRC resident according to the relevant rules and regulations of the Chinese Mainland, and a withholding tax levied at 30% on interest income earned by the Company in the U.S. which is a non-U.S. resident according to the relevant rules and regulations of the U.S.</w:t>
      </w:r>
    </w:p>
    <w:p>
      <w:pPr>
        <w:spacing w:after="0" w:line="179"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CLASS A AND CLASS B ORDINARY SHARE</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Basic loss per Class A and Class B ordinary share</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calculation of basic loss per Class A and Class B ordinary share is based on the loss attributable to ordinary equity shareholders of the Company divided by weighted-average number of Class A and Class B ordinary shares outstanding.</w:t>
      </w:r>
    </w:p>
    <w:p>
      <w:pPr>
        <w:spacing w:after="0" w:line="162"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In August 2024, the Company issued 12,806,568 ordinary shares to holders of Series D and Series D+ preferred shares at par value of USD0.00001 each and the Company was entitled an option to repurchase these ordinary shares if an IPO does not consummate on or before March 31, 2025. These ordinary shares were contingently returnable upon issuance; as such they were not initially treated as “outstanding” for the calculation of basic loss per ordinary share and were excluded from the calculation of loss per ordinary share amounts prior to the consummation of the IPO. However, upon the consummation of the IPO in October 2024 and consequently those shares were no longer subject to recall, the weighted average numbers of ordinary shares for the purpose of basic and diluted loss per share for the years presented have been retrospectively adjusted for the bonus element in such issuance.</w:t>
      </w:r>
    </w:p>
    <w:p>
      <w:pPr>
        <w:spacing w:after="0" w:line="18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Upon and immediately prior to the completion of the IPO in October 2024, the Company adopted a dual-class share structure and all of the Company’s issued ordinary shares before the completion of the IPO were re-designated into 149,442,793 Class A ordinary shares and 54,414,873 Class B ordinary shares. For comparability in the basic and diluted loss per share amounts for the years presented, the historical share capital structure has been re-presented to reflect the re-designation retrospectively.</w:t>
      </w:r>
    </w:p>
    <w:p>
      <w:pPr>
        <w:spacing w:after="0" w:line="180"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Holders of the Class A ordinary shares and Class B ordinary shares have the same rights except for voting and conversion rights. In respect of matters requiring the votes of shareholders, the holder of Class B ordinary shares is entitled to 40 votes per share, while the holders of Class A ordinary shares entitle to one vote per share. Each Class B ordinary share is convertible into one Class A ordinary share at any time by the holder thereof, while Class A ordinary shares are not convertible into Class B ordinary shares under any circumstances. Subsequently on March 13, 2026, the Extraordinary General Meeting approved the amendment of voting rights of Class B ordinary shares to 10 votes per share.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Weighted average number of Class A and Class B ordinary shares for the purpose of basic loss per Class A and Class B ordinary share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302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23"/>
        </w:trPr>
        <w:tc>
          <w:tcPr>
            <w:tcW w:w="82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8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Number of shares</w:t>
            </w:r>
          </w:p>
        </w:tc>
        <w:tc>
          <w:tcPr>
            <w:tcW w:w="2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97"/>
              </w:rPr>
              <w:t>Number of shares</w:t>
            </w:r>
          </w:p>
        </w:tc>
        <w:tc>
          <w:tcPr>
            <w:tcW w:w="100" w:type="dxa"/>
            <w:vAlign w:val="bottom"/>
            <w:gridSpan w:val="2"/>
          </w:tcPr>
          <w:p>
            <w:pPr>
              <w:spacing w:after="0"/>
              <w:rPr>
                <w:sz w:val="18"/>
                <w:szCs w:val="18"/>
                <w:color w:val="auto"/>
              </w:rPr>
            </w:pPr>
          </w:p>
        </w:tc>
      </w:tr>
      <w:tr>
        <w:trPr>
          <w:trHeight w:val="209"/>
        </w:trPr>
        <w:tc>
          <w:tcPr>
            <w:tcW w:w="8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’000</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6"/>
              </w:rPr>
              <w:t>’000</w:t>
            </w:r>
          </w:p>
        </w:tc>
        <w:tc>
          <w:tcPr>
            <w:tcW w:w="100" w:type="dxa"/>
            <w:vAlign w:val="bottom"/>
            <w:gridSpan w:val="2"/>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Class A and Class B ordinary shares as of January 1</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105,614</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826,214</w:t>
            </w:r>
          </w:p>
        </w:tc>
        <w:tc>
          <w:tcPr>
            <w:tcW w:w="8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Effect of bonus element in issuance of ordinary shares to Series D and Series D+ preferred shareholders</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12,807</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ordinary shares issued</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34,990</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54,484</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Effect of Class A ordinary shares issued upon IPO and exercise of the over-allotment option</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16,350</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13,540</w:t>
            </w: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Class A and Class B ordinary shares converted from preferred shares</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100,188</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Effect of Class A ordinary shares surrendered</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ordinary shares deemed to be in issue*</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24,701</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31,785</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Class A and Class B ordinary shares for the year</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294,650</w:t>
            </w:r>
          </w:p>
        </w:tc>
        <w:tc>
          <w:tcPr>
            <w:tcW w:w="2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926,023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ordinary shares deemed to be in issue represent the vested RSUs granted to qualified directors and employees.</w:t>
      </w:r>
    </w:p>
    <w:p>
      <w:pPr>
        <w:spacing w:after="0" w:line="221"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Calculations of basic loss per Class A and Class B ordinary share</w:t>
      </w:r>
    </w:p>
    <w:p>
      <w:pPr>
        <w:spacing w:after="0" w:line="239"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19685</wp:posOffset>
            </wp:positionV>
            <wp:extent cx="18427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16" w:lineRule="exact"/>
        <w:rPr>
          <w:sz w:val="20"/>
          <w:szCs w:val="20"/>
          <w:color w:val="auto"/>
        </w:rPr>
      </w:pPr>
    </w:p>
    <w:p>
      <w:pPr>
        <w:ind w:left="8720"/>
        <w:spacing w:after="0"/>
        <w:tabs>
          <w:tab w:leader="none" w:pos="10260" w:val="left"/>
        </w:tabs>
        <w:rPr>
          <w:sz w:val="20"/>
          <w:szCs w:val="20"/>
          <w:color w:val="auto"/>
        </w:rPr>
      </w:pPr>
      <w:r>
        <w:rPr>
          <w:rFonts w:ascii="Times New Roman" w:cs="Times New Roman" w:eastAsia="Times New Roman" w:hAnsi="Times New Roman"/>
          <w:sz w:val="18"/>
          <w:szCs w:val="18"/>
          <w:color w:val="auto"/>
        </w:rPr>
        <w:t>2024</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attributable to ordinary shareholders of the Company (in RMB’000)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Weighted average number of Class A and Class B ordinary shares in issue (in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loss per Class A and Class B ordinary share (in RMB)</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Diluted loss per Class A and Class B ordinary share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(2,516,808)</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294,650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40005</wp:posOffset>
            </wp:positionV>
            <wp:extent cx="8572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(1,654,900)</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926,023</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40005</wp:posOffset>
            </wp:positionV>
            <wp:extent cx="8483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677" w:lineRule="exact"/>
        <w:rPr>
          <w:sz w:val="20"/>
          <w:szCs w:val="20"/>
          <w:color w:val="auto"/>
        </w:rPr>
      </w:pPr>
    </w:p>
    <w:p>
      <w:pPr>
        <w:sectPr>
          <w:pgSz w:w="11900" w:h="16838" w:orient="portrait"/>
          <w:cols w:equalWidth="0" w:num="3">
            <w:col w:w="8080" w:space="720"/>
            <w:col w:w="840" w:space="720"/>
            <w:col w:w="880"/>
          </w:cols>
          <w:pgMar w:left="320" w:top="900" w:right="339" w:bottom="1440" w:gutter="0" w:footer="0" w:header="0"/>
          <w:type w:val="continuous"/>
        </w:sectPr>
      </w:pPr>
    </w:p>
    <w:p>
      <w:pPr>
        <w:spacing w:after="0" w:line="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no difference between basic and diluted loss per Class A and Class B ordinary share during the years ended December 31, 2024 and 2025 due to the anti-dilutive effects of: (i) preferred shares and other financial instruments subject to redemption and other preferential rights issued by the Company; (ii) non-redeemable preferred shares; and (iii) the share options.</w:t>
      </w:r>
    </w:p>
    <w:p>
      <w:pPr>
        <w:spacing w:after="0" w:line="172"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dividend has been paid or declared by the Company for the years ended December 31, 2024 and 2025, respectively.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38" w:name="page39"/>
    <w:bookmarkEnd w:id="38"/>
    <w:p>
      <w:pPr>
        <w:ind w:left="340" w:hanging="332"/>
        <w:spacing w:after="0"/>
        <w:tabs>
          <w:tab w:leader="none" w:pos="3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TRADE RECEIVABLES, PREPAYMENTS AND OTHER RECEIVABLES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02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RMB’000</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RMB’000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4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318,044</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531,930</w:t>
            </w:r>
          </w:p>
        </w:tc>
        <w:tc>
          <w:tcPr>
            <w:tcW w:w="0" w:type="dxa"/>
            <w:vAlign w:val="bottom"/>
          </w:tcPr>
          <w:p>
            <w:pPr>
              <w:spacing w:after="0"/>
              <w:rPr>
                <w:sz w:val="1"/>
                <w:szCs w:val="1"/>
                <w:color w:val="auto"/>
              </w:rPr>
            </w:pPr>
          </w:p>
        </w:tc>
      </w:tr>
      <w:tr>
        <w:trPr>
          <w:trHeight w:val="229"/>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Less: loss allowance</w:t>
            </w:r>
          </w:p>
        </w:tc>
        <w:tc>
          <w:tcPr>
            <w:tcW w:w="4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(65,437)</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(69,795)</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Trade receivables, net of loss allowance</w:t>
            </w:r>
          </w:p>
        </w:tc>
        <w:tc>
          <w:tcPr>
            <w:tcW w:w="274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252,607</w:t>
            </w:r>
          </w:p>
        </w:tc>
        <w:tc>
          <w:tcPr>
            <w:tcW w:w="2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462,135</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from payments made on behalf of customers, net of allowance</w:t>
            </w:r>
          </w:p>
        </w:tc>
        <w:tc>
          <w:tcPr>
            <w:tcW w:w="4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31,917</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19,593</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loans to employees</w:t>
            </w:r>
          </w:p>
        </w:tc>
        <w:tc>
          <w:tcPr>
            <w:tcW w:w="4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18,501</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548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receivables</w:t>
            </w:r>
          </w:p>
        </w:tc>
        <w:tc>
          <w:tcPr>
            <w:tcW w:w="4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50,418</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19,593</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and other receivables at amortized cost</w:t>
            </w:r>
          </w:p>
        </w:tc>
        <w:tc>
          <w:tcPr>
            <w:tcW w:w="4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303,025</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481,728</w:t>
            </w:r>
          </w:p>
        </w:tc>
        <w:tc>
          <w:tcPr>
            <w:tcW w:w="0" w:type="dxa"/>
            <w:vAlign w:val="bottom"/>
          </w:tcPr>
          <w:p>
            <w:pPr>
              <w:spacing w:after="0"/>
              <w:rPr>
                <w:sz w:val="1"/>
                <w:szCs w:val="1"/>
                <w:color w:val="auto"/>
              </w:rPr>
            </w:pPr>
          </w:p>
        </w:tc>
      </w:tr>
      <w:tr>
        <w:trPr>
          <w:trHeight w:val="209"/>
        </w:trPr>
        <w:tc>
          <w:tcPr>
            <w:tcW w:w="548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to suppliers</w:t>
            </w:r>
          </w:p>
        </w:tc>
        <w:tc>
          <w:tcPr>
            <w:tcW w:w="4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67,542</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109,584</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Refundable value-added tax</w:t>
            </w:r>
          </w:p>
        </w:tc>
        <w:tc>
          <w:tcPr>
            <w:tcW w:w="4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64,678</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106,946</w:t>
            </w:r>
          </w:p>
        </w:tc>
        <w:tc>
          <w:tcPr>
            <w:tcW w:w="0" w:type="dxa"/>
            <w:vAlign w:val="bottom"/>
          </w:tcPr>
          <w:p>
            <w:pPr>
              <w:spacing w:after="0"/>
              <w:rPr>
                <w:sz w:val="1"/>
                <w:szCs w:val="1"/>
                <w:color w:val="auto"/>
              </w:rPr>
            </w:pPr>
          </w:p>
        </w:tc>
      </w:tr>
      <w:tr>
        <w:trPr>
          <w:trHeight w:val="229"/>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4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15,014</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33,863</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Prepayments and others</w:t>
            </w:r>
          </w:p>
        </w:tc>
        <w:tc>
          <w:tcPr>
            <w:tcW w:w="4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147,234</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250,393</w:t>
            </w:r>
          </w:p>
        </w:tc>
        <w:tc>
          <w:tcPr>
            <w:tcW w:w="0" w:type="dxa"/>
            <w:vAlign w:val="bottom"/>
          </w:tcPr>
          <w:p>
            <w:pPr>
              <w:spacing w:after="0"/>
              <w:rPr>
                <w:sz w:val="1"/>
                <w:szCs w:val="1"/>
                <w:color w:val="auto"/>
              </w:rPr>
            </w:pPr>
          </w:p>
        </w:tc>
      </w:tr>
      <w:tr>
        <w:trPr>
          <w:trHeight w:val="209"/>
        </w:trPr>
        <w:tc>
          <w:tcPr>
            <w:tcW w:w="548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Prepayments and other receivables</w:t>
            </w:r>
          </w:p>
        </w:tc>
        <w:tc>
          <w:tcPr>
            <w:tcW w:w="4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197,652</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269,986</w:t>
            </w:r>
          </w:p>
        </w:tc>
        <w:tc>
          <w:tcPr>
            <w:tcW w:w="0" w:type="dxa"/>
            <w:vAlign w:val="bottom"/>
          </w:tcPr>
          <w:p>
            <w:pPr>
              <w:spacing w:after="0"/>
              <w:rPr>
                <w:sz w:val="1"/>
                <w:szCs w:val="1"/>
                <w:color w:val="auto"/>
              </w:rPr>
            </w:pPr>
          </w:p>
        </w:tc>
      </w:tr>
      <w:tr>
        <w:trPr>
          <w:trHeight w:val="209"/>
        </w:trPr>
        <w:tc>
          <w:tcPr>
            <w:tcW w:w="548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trade receivables, prepayments and other receivables</w:t>
            </w:r>
          </w:p>
        </w:tc>
        <w:tc>
          <w:tcPr>
            <w:tcW w:w="4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450,259</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732,121</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740" w:type="dxa"/>
            <w:vAlign w:val="bottom"/>
            <w:vMerge w:val="restart"/>
          </w:tcPr>
          <w:p>
            <w:pPr>
              <w:jc w:val="right"/>
              <w:ind w:right="2410"/>
              <w:spacing w:after="0"/>
              <w:rPr>
                <w:sz w:val="20"/>
                <w:szCs w:val="20"/>
                <w:color w:val="auto"/>
              </w:rPr>
            </w:pPr>
            <w:r>
              <w:rPr>
                <w:rFonts w:ascii="Times New Roman" w:cs="Times New Roman" w:eastAsia="Times New Roman" w:hAnsi="Times New Roman"/>
                <w:sz w:val="18"/>
                <w:szCs w:val="18"/>
                <w:color w:val="auto"/>
              </w:rPr>
              <w:t>23</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4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vMerge w:val="continue"/>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Aging analysis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end of each reporting period, the aging analysis of trade receivables based on the invoice date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302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82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RMB’000</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RMB’000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179,986</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378,383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More than 1 year</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138,058</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153,547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531,930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FINANCIAL ASSETS AT FVTPL</w:t>
            </w: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2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220" w:type="dxa"/>
            <w:vAlign w:val="bottom"/>
          </w:tcPr>
          <w:p>
            <w:pPr>
              <w:spacing w:after="0"/>
              <w:rPr>
                <w:sz w:val="24"/>
                <w:szCs w:val="24"/>
                <w:color w:val="auto"/>
              </w:rPr>
            </w:pPr>
          </w:p>
        </w:tc>
        <w:tc>
          <w:tcPr>
            <w:tcW w:w="302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82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RMB’000</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RMB’000</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 Investment in a listed company</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56,919</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36,774</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Investments in private investment funds</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151,309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2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56,919</w:t>
            </w:r>
          </w:p>
        </w:tc>
        <w:tc>
          <w:tcPr>
            <w:tcW w:w="22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188,083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Non-equity investments*</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1,685,146</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144,252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1,742,065</w:t>
            </w:r>
          </w:p>
        </w:tc>
        <w:tc>
          <w:tcPr>
            <w:tcW w:w="2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332,335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non-equity investments represent wealth management products issued by banks with variable returns. The variable returns of these wealth management products are determined by the performance of underlying assets including government bonds and money market funds. These financial assets are measured at fair value with changes recorded through profit or loss.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TRADE AND OTHER PAYABLES, DEPOSITS RECEIVED AND ACCRUED EXPENSES</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8220" w:type="dxa"/>
            <w:vAlign w:val="bottom"/>
          </w:tcPr>
          <w:p>
            <w:pPr>
              <w:spacing w:after="0"/>
              <w:rPr>
                <w:sz w:val="24"/>
                <w:szCs w:val="24"/>
                <w:color w:val="auto"/>
              </w:rPr>
            </w:pPr>
          </w:p>
        </w:tc>
        <w:tc>
          <w:tcPr>
            <w:tcW w:w="302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82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8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RMB’000</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RMB’000</w:t>
            </w: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20,713</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163,000</w:t>
            </w:r>
          </w:p>
        </w:tc>
      </w:tr>
      <w:tr>
        <w:trPr>
          <w:trHeight w:val="216"/>
        </w:trPr>
        <w:tc>
          <w:tcPr>
            <w:tcW w:w="8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 received with conditions*</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184,542</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192,019</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social insurance</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96,593</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118,413</w:t>
            </w: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for professional services</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27,134</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49,413</w:t>
            </w: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 and others</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89,486</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48,512</w:t>
            </w:r>
          </w:p>
        </w:tc>
      </w:tr>
      <w:tr>
        <w:trPr>
          <w:trHeight w:val="210"/>
        </w:trPr>
        <w:tc>
          <w:tcPr>
            <w:tcW w:w="8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payables, deposits received and accrued expenses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397,755</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408,357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Trade and other payables, deposits received and accrued expenses measured at amortized cost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418,468</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571,357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current portion of government grants received with conditions mainly represent the grants received with certain requirements of operation performance and tax contribution in a specified region.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Aging analysis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end of each reporting period, the aging analysis of trade payables based on the invoice date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302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RMB’000</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RMB’000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6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20,713</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154,930</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More than 1 year</w:t>
            </w:r>
          </w:p>
        </w:tc>
        <w:tc>
          <w:tcPr>
            <w:tcW w:w="6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8,070</w:t>
            </w:r>
          </w:p>
        </w:tc>
        <w:tc>
          <w:tcPr>
            <w:tcW w:w="0" w:type="dxa"/>
            <w:vAlign w:val="bottom"/>
          </w:tcPr>
          <w:p>
            <w:pPr>
              <w:spacing w:after="0"/>
              <w:rPr>
                <w:sz w:val="1"/>
                <w:szCs w:val="1"/>
                <w:color w:val="auto"/>
              </w:rPr>
            </w:pPr>
          </w:p>
        </w:tc>
      </w:tr>
      <w:tr>
        <w:trPr>
          <w:trHeight w:val="223"/>
        </w:trPr>
        <w:tc>
          <w:tcPr>
            <w:tcW w:w="3380" w:type="dxa"/>
            <w:vAlign w:val="bottom"/>
            <w:tcBorders>
              <w:top w:val="single" w:sz="8" w:color="CCEEFF"/>
              <w:bottom w:val="single" w:sz="8" w:color="CCEEFF"/>
            </w:tcBorders>
            <w:shd w:val="clear" w:color="auto" w:fill="CCEEFF"/>
          </w:tcPr>
          <w:p>
            <w:pPr>
              <w:spacing w:after="0"/>
              <w:rPr>
                <w:sz w:val="19"/>
                <w:szCs w:val="19"/>
                <w:color w:val="auto"/>
              </w:rPr>
            </w:pPr>
          </w:p>
        </w:tc>
        <w:tc>
          <w:tcPr>
            <w:tcW w:w="484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840" w:type="dxa"/>
            <w:vAlign w:val="bottom"/>
            <w:vMerge w:val="restart"/>
          </w:tcPr>
          <w:p>
            <w:pPr>
              <w:jc w:val="right"/>
              <w:ind w:right="2410"/>
              <w:spacing w:after="0"/>
              <w:rPr>
                <w:sz w:val="20"/>
                <w:szCs w:val="20"/>
                <w:color w:val="auto"/>
              </w:rPr>
            </w:pPr>
            <w:r>
              <w:rPr>
                <w:rFonts w:ascii="Times New Roman" w:cs="Times New Roman" w:eastAsia="Times New Roman" w:hAnsi="Times New Roman"/>
                <w:sz w:val="18"/>
                <w:szCs w:val="18"/>
                <w:color w:val="auto"/>
              </w:rPr>
              <w:t>24</w:t>
            </w: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3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vMerge w:val="continue"/>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lvl w:ilvl="1">
      <w:lvlJc w:val="left"/>
      <w:lvlText w:val="·"/>
      <w:numFmt w:val="bullet"/>
      <w:start w:val="1"/>
    </w:lvl>
  </w:abstractNum>
  <w:abstractNum w:abstractNumId="1">
    <w:nsid w:val="257130A3"/>
    <w:multiLevelType w:val="hybridMultilevel"/>
    <w:lvl w:ilvl="0">
      <w:lvlJc w:val="left"/>
      <w:lvlText w:val="·"/>
      <w:numFmt w:val="bullet"/>
      <w:start w:val="1"/>
    </w:lvl>
    <w:lvl w:ilvl="1">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bullet"/>
      <w:start w:val="1"/>
    </w:lvl>
  </w:abstractNum>
  <w:abstractNum w:abstractNumId="13">
    <w:nsid w:val="4353D0CD"/>
    <w:multiLevelType w:val="hybridMultilevel"/>
    <w:lvl w:ilvl="0">
      <w:lvlJc w:val="left"/>
      <w:lvlText w:val="2"/>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3"/>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2"/>
    </w:lvl>
  </w:abstractNum>
  <w:abstractNum w:abstractNumId="25">
    <w:nsid w:val="737B8DDC"/>
    <w:multiLevelType w:val="hybridMultilevel"/>
    <w:lvl w:ilvl="0">
      <w:lvlJc w:val="left"/>
      <w:lvlText w:val="%1."/>
      <w:numFmt w:val="decimal"/>
      <w:start w:val="3"/>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9"/>
    </w:lvl>
  </w:abstractNum>
  <w:abstractNum w:abstractNumId="28">
    <w:nsid w:val="4516DDE9"/>
    <w:multiLevelType w:val="hybridMultilevel"/>
    <w:lvl w:ilvl="0">
      <w:lvlJc w:val="left"/>
      <w:lvlText w:val="1"/>
      <w:numFmt w:val="bullet"/>
      <w:start w:val="1"/>
    </w:lvl>
    <w:lvl w:ilvl="1">
      <w:lvlJc w:val="left"/>
      <w:lvlText w:val="(%2)"/>
      <w:numFmt w:val="lowerLetter"/>
      <w:start w:val="1"/>
    </w:lvl>
  </w:abstractNum>
  <w:abstractNum w:abstractNumId="29">
    <w:nsid w:val="3006C83E"/>
    <w:multiLevelType w:val="hybridMultilevel"/>
    <w:lvl w:ilvl="0">
      <w:lvlJc w:val="left"/>
      <w:lvlText w:val="2"/>
      <w:numFmt w:val="bullet"/>
      <w:start w:val="1"/>
    </w:lvl>
    <w:lvl w:ilvl="1">
      <w:lvlJc w:val="left"/>
      <w:lvlText w:val="·"/>
      <w:numFmt w:val="bullet"/>
      <w:start w:val="1"/>
    </w:lvl>
  </w:abstractNum>
  <w:abstractNum w:abstractNumId="30">
    <w:nsid w:val="614FD4A1"/>
    <w:multiLevelType w:val="hybridMultilevel"/>
    <w:lvl w:ilvl="0">
      <w:lvlJc w:val="left"/>
      <w:lvlText w:val="3"/>
      <w:numFmt w:val="bullet"/>
      <w:start w:val="1"/>
    </w:lvl>
    <w:lvl w:ilvl="1">
      <w:lvlJc w:val="left"/>
      <w:lvlText w:val="(%2)"/>
      <w:numFmt w:val="lowerRoman"/>
      <w:start w:val="1"/>
    </w:lvl>
  </w:abstractNum>
  <w:abstractNum w:abstractNumId="31">
    <w:nsid w:val="419AC241"/>
    <w:multiLevelType w:val="hybridMultilevel"/>
    <w:lvl w:ilvl="0">
      <w:lvlJc w:val="left"/>
      <w:lvlText w:val="6"/>
      <w:numFmt w:val="bullet"/>
      <w:start w:val="1"/>
    </w:lvl>
  </w:abstractNum>
  <w:abstractNum w:abstractNumId="32">
    <w:nsid w:val="5577F8E1"/>
    <w:multiLevelType w:val="hybridMultilevel"/>
    <w:lvl w:ilvl="0">
      <w:lvlJc w:val="left"/>
      <w:lvlText w:val="7"/>
      <w:numFmt w:val="bullet"/>
      <w:start w:val="1"/>
    </w:lvl>
  </w:abstractNum>
  <w:abstractNum w:abstractNumId="33">
    <w:nsid w:val="440BADFC"/>
    <w:multiLevelType w:val="hybridMultilevel"/>
    <w:lvl w:ilvl="0">
      <w:lvlJc w:val="left"/>
      <w:lvlText w:val="(%1)"/>
      <w:numFmt w:val="lowerRoman"/>
      <w:start w:val="1"/>
    </w:lvl>
  </w:abstractNum>
  <w:abstractNum w:abstractNumId="34">
    <w:nsid w:val="5072367"/>
    <w:multiLevelType w:val="hybridMultilevel"/>
    <w:lvl w:ilvl="0">
      <w:lvlJc w:val="left"/>
      <w:lvlText w:val="(%1)"/>
      <w:numFmt w:val="lowerRoman"/>
      <w:start w:val="2"/>
    </w:lvl>
  </w:abstractNum>
  <w:abstractNum w:abstractNumId="35">
    <w:nsid w:val="3804823E"/>
    <w:multiLevelType w:val="hybridMultilevel"/>
    <w:lvl w:ilvl="0">
      <w:lvlJc w:val="left"/>
      <w:lvlText w:val="8"/>
      <w:numFmt w:val="bullet"/>
      <w:start w:val="1"/>
    </w:lvl>
  </w:abstractNum>
  <w:abstractNum w:abstractNumId="36">
    <w:nsid w:val="77465F01"/>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2026-03-23T07:37:46Z</dcterms:created>
  <dcterms:modified xsi:type="dcterms:W3CDTF">2026-03-23T07:37:46Z</dcterms:modified>
</cp:coreProperties>
</file>