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189865</wp:posOffset>
            </wp:positionH>
            <wp:positionV relativeFrom="page">
              <wp:posOffset>351155</wp:posOffset>
            </wp:positionV>
            <wp:extent cx="716978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375920</wp:posOffset>
            </wp:positionV>
            <wp:extent cx="71697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6350"/>
                    </a:xfrm>
                    <a:prstGeom prst="rect">
                      <a:avLst/>
                    </a:prstGeom>
                    <a:noFill/>
                  </pic:spPr>
                </pic:pic>
              </a:graphicData>
            </a:graphic>
          </wp:anchor>
        </w:drawing>
        <w:t>UNITED STATES</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697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7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697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PURSUANT TO RULE 13a-16 OR 15d-16</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 the month of November 2026</w:t>
      </w:r>
    </w:p>
    <w:p>
      <w:pPr>
        <w:spacing w:after="0" w:line="16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697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9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1"/>
          <w:szCs w:val="31"/>
          <w:b w:val="1"/>
          <w:bCs w:val="1"/>
          <w:color w:val="auto"/>
        </w:rPr>
        <w:t>WeRide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697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21st Floor, Tower A, Guanzhou Life Science Innovation Center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 51, Luoxuan Road, Guangzhou International Biotech Island</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Guangzhou 510005</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People’s Republic of China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697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36" w:lineRule="exact"/>
        <w:rPr>
          <w:sz w:val="24"/>
          <w:szCs w:val="24"/>
          <w:color w:val="auto"/>
        </w:rPr>
      </w:pPr>
    </w:p>
    <w:p>
      <w:pPr>
        <w:ind w:left="4900"/>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697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716978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474345</wp:posOffset>
            </wp:positionV>
            <wp:extent cx="71697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59"/>
          </w:cols>
          <w:pgMar w:left="300" w:top="7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6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submitted a monthly return form dated November 5, 2026 in relation to the movements in our authorized share capital and issued shares in October 2026 to The Stock Exchange of Hong Kong Limited.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697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7"/>
        </w:trPr>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3260" w:type="dxa"/>
            <w:vAlign w:val="bottom"/>
          </w:tcPr>
          <w:p>
            <w:pPr>
              <w:spacing w:after="0"/>
              <w:rPr>
                <w:sz w:val="15"/>
                <w:szCs w:val="15"/>
                <w:color w:val="auto"/>
              </w:rPr>
            </w:pPr>
          </w:p>
        </w:tc>
        <w:tc>
          <w:tcPr>
            <w:tcW w:w="7000" w:type="dxa"/>
            <w:vAlign w:val="bottom"/>
          </w:tcPr>
          <w:p>
            <w:pPr>
              <w:spacing w:after="0"/>
              <w:rPr>
                <w:sz w:val="15"/>
                <w:szCs w:val="15"/>
                <w:color w:val="auto"/>
              </w:rPr>
            </w:pPr>
          </w:p>
        </w:tc>
      </w:tr>
      <w:tr>
        <w:trPr>
          <w:trHeight w:val="279"/>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EE"/>
              </w:rPr>
              <w:t>99.</w:t>
            </w:r>
            <w:r>
              <w:rPr>
                <w:rFonts w:ascii="Times New Roman" w:cs="Times New Roman" w:eastAsia="Times New Roman" w:hAnsi="Times New Roman"/>
                <w:sz w:val="13"/>
                <w:szCs w:val="13"/>
                <w:u w:val="single" w:color="auto"/>
                <w:color w:val="0000EE"/>
              </w:rPr>
              <w:t>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EE"/>
              </w:rPr>
              <w:t>Monthly Return for Equity Issuer on Movements in Securities</w:t>
            </w:r>
          </w:p>
        </w:tc>
      </w:tr>
      <w:tr>
        <w:trPr>
          <w:trHeight w:val="501"/>
        </w:trPr>
        <w:tc>
          <w:tcPr>
            <w:tcW w:w="2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top w:val="single" w:sz="8" w:color="0000EE"/>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9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WeRide Inc.</w:t>
      </w:r>
    </w:p>
    <w:p>
      <w:pPr>
        <w:spacing w:after="0" w:line="165" w:lineRule="exact"/>
        <w:rPr>
          <w:sz w:val="20"/>
          <w:szCs w:val="20"/>
          <w:color w:val="auto"/>
        </w:rPr>
      </w:pPr>
    </w:p>
    <w:tbl>
      <w:tblPr>
        <w:tblLayout w:type="fixed"/>
        <w:tblInd w:w="564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Jennifer Li</w:t>
            </w:r>
          </w:p>
        </w:tc>
      </w:tr>
      <w:tr>
        <w:trPr>
          <w:trHeight w:val="134"/>
        </w:trPr>
        <w:tc>
          <w:tcPr>
            <w:tcW w:w="5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Jennifer Li</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4" w:name="page5"/>
    <w:bookmarkEnd w:id="4"/>
    <w:p>
      <w:pPr>
        <w:ind w:left="948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40640</wp:posOffset>
            </wp:positionV>
            <wp:extent cx="6863715" cy="556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3715" cy="556006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2026-11-05T05:46:51Z</dcterms:created>
  <dcterms:modified xsi:type="dcterms:W3CDTF">2026-11-05T05:46:51Z</dcterms:modified>
</cp:coreProperties>
</file>