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259080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40" w:right="140" w:hanging="424"/>
        <w:spacing w:after="0" w:line="237" w:lineRule="auto"/>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REGISTRATION STATEMENT PURSUANT TO SECTION 12(b) OR (g) OF THE SECURITIES EXCHANGE ACT OF 1934</w:t>
      </w:r>
    </w:p>
    <w:p>
      <w:pPr>
        <w:spacing w:after="0" w:line="18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24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540" w:right="40" w:hanging="424"/>
        <w:spacing w:after="0" w:line="262" w:lineRule="auto"/>
        <w:tabs>
          <w:tab w:leader="none" w:pos="540" w:val="left"/>
        </w:tabs>
        <w:numPr>
          <w:ilvl w:val="0"/>
          <w:numId w:val="3"/>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jc w:val="center"/>
        <w:ind w:right="-19"/>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 xml:space="preserve">For the transition period from              </w:t>
        <w:tab/>
        <w:t xml:space="preserve">to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540" w:right="400" w:hanging="424"/>
        <w:spacing w:after="0" w:line="262" w:lineRule="auto"/>
        <w:tabs>
          <w:tab w:leader="none" w:pos="540" w:val="left"/>
        </w:tabs>
        <w:numPr>
          <w:ilvl w:val="0"/>
          <w:numId w:val="4"/>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SHELL COMPANY REPORT PURSUANT TO SECTION 13 OR 15(d) OF THE SECURITIES EXCHANGE ACT OF 1934</w:t>
      </w:r>
    </w:p>
    <w:p>
      <w:pPr>
        <w:spacing w:after="0" w:line="1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Date of event requiring this shell company report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4498975</wp:posOffset>
            </wp:positionH>
            <wp:positionV relativeFrom="paragraph">
              <wp:posOffset>-5080</wp:posOffset>
            </wp:positionV>
            <wp:extent cx="571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Commission file number: 001-42213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WeRide Inc.</w:t>
      </w:r>
    </w:p>
    <w:p>
      <w:pPr>
        <w:spacing w:after="0" w:line="5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(Translation of Registrant’s Name into English)</w:t>
      </w:r>
    </w:p>
    <w:p>
      <w:pPr>
        <w:spacing w:after="0" w:line="18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(Jurisdiction of Incorporation or Organization)</w:t>
      </w:r>
    </w:p>
    <w:p>
      <w:pPr>
        <w:spacing w:after="0" w:line="17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21</w:t>
      </w:r>
      <w:r>
        <w:rPr>
          <w:rFonts w:ascii="Times New Roman" w:cs="Times New Roman" w:eastAsia="Times New Roman" w:hAnsi="Times New Roman"/>
          <w:sz w:val="22"/>
          <w:szCs w:val="22"/>
          <w:b w:val="1"/>
          <w:bCs w:val="1"/>
          <w:color w:val="auto"/>
          <w:vertAlign w:val="superscript"/>
        </w:rPr>
        <w:t>st</w:t>
      </w:r>
      <w:r>
        <w:rPr>
          <w:rFonts w:ascii="Times New Roman" w:cs="Times New Roman" w:eastAsia="Times New Roman" w:hAnsi="Times New Roman"/>
          <w:sz w:val="18"/>
          <w:szCs w:val="18"/>
          <w:b w:val="1"/>
          <w:bCs w:val="1"/>
          <w:color w:val="auto"/>
        </w:rPr>
        <w:t xml:space="preserve"> Floor, Tower A, Guanzhou Life Science Innovation Center,</w:t>
      </w: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 51, Luoxuan Road, Guangzhou International Biotech Island,</w:t>
      </w:r>
    </w:p>
    <w:p>
      <w:pPr>
        <w:spacing w:after="0" w:line="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Guangzhou 510005</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Jennifer Xuan Li</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WeRide Inc.</w:t>
      </w:r>
    </w:p>
    <w:p>
      <w:pPr>
        <w:jc w:val="center"/>
        <w:ind w:right="-159"/>
        <w:spacing w:after="0" w:line="215" w:lineRule="auto"/>
        <w:rPr>
          <w:sz w:val="20"/>
          <w:szCs w:val="20"/>
          <w:color w:val="auto"/>
        </w:rPr>
      </w:pPr>
      <w:r>
        <w:rPr>
          <w:rFonts w:ascii="Times New Roman" w:cs="Times New Roman" w:eastAsia="Times New Roman" w:hAnsi="Times New Roman"/>
          <w:sz w:val="18"/>
          <w:szCs w:val="18"/>
          <w:b w:val="1"/>
          <w:bCs w:val="1"/>
          <w:color w:val="auto"/>
        </w:rPr>
        <w:t>21</w:t>
      </w:r>
      <w:r>
        <w:rPr>
          <w:rFonts w:ascii="Times New Roman" w:cs="Times New Roman" w:eastAsia="Times New Roman" w:hAnsi="Times New Roman"/>
          <w:sz w:val="22"/>
          <w:szCs w:val="22"/>
          <w:b w:val="1"/>
          <w:bCs w:val="1"/>
          <w:color w:val="auto"/>
          <w:vertAlign w:val="superscript"/>
        </w:rPr>
        <w:t>st</w:t>
      </w:r>
      <w:r>
        <w:rPr>
          <w:rFonts w:ascii="Times New Roman" w:cs="Times New Roman" w:eastAsia="Times New Roman" w:hAnsi="Times New Roman"/>
          <w:sz w:val="18"/>
          <w:szCs w:val="18"/>
          <w:b w:val="1"/>
          <w:bCs w:val="1"/>
          <w:color w:val="auto"/>
        </w:rPr>
        <w:t xml:space="preserve"> Floor, Tower A, Guanzhou Life Science Innovation Center,</w:t>
      </w: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 51, Luoxuan Road, Guangzhou International Biotech Island,</w:t>
      </w:r>
    </w:p>
    <w:p>
      <w:pPr>
        <w:spacing w:after="0" w:line="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Guangzhou 510005</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Phone: +86 (20) 2909-3388</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Email: jennifer.li@weride.ai</w:t>
      </w:r>
    </w:p>
    <w:p>
      <w:pPr>
        <w:spacing w:after="0" w:line="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(Name, Telephone, E-mail and/or Facsimile number and Address of Company Contact Person)</w:t>
      </w:r>
    </w:p>
    <w:p>
      <w:pPr>
        <w:spacing w:after="0" w:line="18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ectPr>
          <w:pgSz w:w="11900" w:h="16838" w:orient="portrait"/>
          <w:cols w:equalWidth="0" w:num="1">
            <w:col w:w="11100"/>
          </w:cols>
          <w:pgMar w:left="320" w:top="225" w:right="479" w:bottom="0" w:gutter="0" w:footer="0" w:header="0"/>
        </w:sectPr>
      </w:pPr>
    </w:p>
    <w:p>
      <w:pPr>
        <w:spacing w:after="0" w:line="237" w:lineRule="exact"/>
        <w:rPr>
          <w:sz w:val="24"/>
          <w:szCs w:val="24"/>
          <w:color w:val="auto"/>
        </w:rPr>
      </w:pPr>
    </w:p>
    <w:tbl>
      <w:tblPr>
        <w:tblLayout w:type="fixed"/>
        <w:tblInd w:w="1440" w:type="dxa"/>
        <w:tblCellMar>
          <w:top w:w="0" w:type="dxa"/>
          <w:left w:w="0" w:type="dxa"/>
          <w:bottom w:w="0" w:type="dxa"/>
          <w:right w:w="0" w:type="dxa"/>
        </w:tblCellMar>
      </w:tblPr>
      <w:tr>
        <w:trPr>
          <w:trHeight w:val="161"/>
        </w:trPr>
        <w:tc>
          <w:tcPr>
            <w:tcW w:w="1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900" w:type="dxa"/>
            <w:vAlign w:val="bottom"/>
          </w:tcPr>
          <w:p>
            <w:pPr>
              <w:spacing w:after="0"/>
              <w:rPr>
                <w:sz w:val="13"/>
                <w:szCs w:val="13"/>
                <w:color w:val="auto"/>
              </w:rPr>
            </w:pPr>
          </w:p>
        </w:tc>
        <w:tc>
          <w:tcPr>
            <w:tcW w:w="3200" w:type="dxa"/>
            <w:vAlign w:val="bottom"/>
            <w:gridSpan w:val="2"/>
          </w:tcPr>
          <w:p>
            <w:pPr>
              <w:jc w:val="center"/>
              <w:ind w:right="26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1100" w:type="dxa"/>
            <w:vAlign w:val="bottom"/>
            <w:vMerge w:val="continue"/>
          </w:tcPr>
          <w:p>
            <w:pPr>
              <w:spacing w:after="0"/>
              <w:rPr>
                <w:sz w:val="16"/>
                <w:szCs w:val="16"/>
                <w:color w:val="auto"/>
              </w:rPr>
            </w:pPr>
          </w:p>
        </w:tc>
        <w:tc>
          <w:tcPr>
            <w:tcW w:w="6100" w:type="dxa"/>
            <w:vAlign w:val="bottom"/>
            <w:gridSpan w:val="3"/>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00"/>
          </w:cols>
          <w:pgMar w:left="320" w:top="225" w:right="479" w:bottom="0" w:gutter="0" w:footer="0" w:header="0"/>
          <w:type w:val="continuous"/>
        </w:sectPr>
      </w:pPr>
    </w:p>
    <w:bookmarkStart w:id="1" w:name="page2"/>
    <w:bookmarkEnd w:id="1"/>
    <w:p>
      <w:pPr>
        <w:spacing w:after="0" w:line="12" w:lineRule="exact"/>
        <w:rPr>
          <w:sz w:val="20"/>
          <w:szCs w:val="20"/>
          <w:color w:val="auto"/>
        </w:rPr>
      </w:pPr>
    </w:p>
    <w:p>
      <w:pPr>
        <w:jc w:val="center"/>
        <w:ind w:right="956"/>
        <w:spacing w:after="0"/>
        <w:rPr>
          <w:sz w:val="20"/>
          <w:szCs w:val="20"/>
          <w:color w:val="auto"/>
        </w:rPr>
      </w:pPr>
      <w:r>
        <w:rPr>
          <w:rFonts w:ascii="Times New Roman" w:cs="Times New Roman" w:eastAsia="Times New Roman" w:hAnsi="Times New Roman"/>
          <w:sz w:val="18"/>
          <w:szCs w:val="18"/>
          <w:b w:val="1"/>
          <w:bCs w:val="1"/>
          <w:color w:val="auto"/>
        </w:rPr>
        <w:t>American Depositary Shares, each</w:t>
      </w:r>
    </w:p>
    <w:p>
      <w:pPr>
        <w:spacing w:after="0" w:line="31" w:lineRule="exact"/>
        <w:rPr>
          <w:sz w:val="20"/>
          <w:szCs w:val="20"/>
          <w:color w:val="auto"/>
        </w:rPr>
      </w:pPr>
    </w:p>
    <w:p>
      <w:pPr>
        <w:jc w:val="center"/>
        <w:ind w:right="956"/>
        <w:spacing w:after="0"/>
        <w:rPr>
          <w:sz w:val="20"/>
          <w:szCs w:val="20"/>
          <w:color w:val="auto"/>
        </w:rPr>
      </w:pPr>
      <w:r>
        <w:rPr>
          <w:rFonts w:ascii="Times New Roman" w:cs="Times New Roman" w:eastAsia="Times New Roman" w:hAnsi="Times New Roman"/>
          <w:sz w:val="17"/>
          <w:szCs w:val="17"/>
          <w:b w:val="1"/>
          <w:bCs w:val="1"/>
          <w:color w:val="auto"/>
        </w:rPr>
        <w:t>representing three Class A ordinary shares</w:t>
      </w:r>
    </w:p>
    <w:p>
      <w:pPr>
        <w:spacing w:after="0" w:line="20" w:lineRule="exact"/>
        <w:rPr>
          <w:sz w:val="20"/>
          <w:szCs w:val="20"/>
          <w:color w:val="auto"/>
        </w:rPr>
      </w:pPr>
      <w:r>
        <w:rPr>
          <w:sz w:val="20"/>
          <w:szCs w:val="20"/>
          <w:color w:val="auto"/>
        </w:rPr>
        <w:br w:type="column"/>
      </w:r>
    </w:p>
    <w:p>
      <w:pPr>
        <w:jc w:val="center"/>
        <w:ind w:right="1320"/>
        <w:spacing w:after="0"/>
        <w:rPr>
          <w:sz w:val="20"/>
          <w:szCs w:val="20"/>
          <w:color w:val="auto"/>
        </w:rPr>
      </w:pPr>
      <w:r>
        <w:rPr>
          <w:rFonts w:ascii="Times New Roman" w:cs="Times New Roman" w:eastAsia="Times New Roman" w:hAnsi="Times New Roman"/>
          <w:sz w:val="18"/>
          <w:szCs w:val="18"/>
          <w:b w:val="1"/>
          <w:bCs w:val="1"/>
          <w:color w:val="auto"/>
        </w:rPr>
        <w:t>WRD</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p>
      <w:pPr>
        <w:spacing w:after="0" w:line="3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p>
      <w:pPr>
        <w:spacing w:after="0" w:line="9" w:lineRule="exact"/>
        <w:rPr>
          <w:sz w:val="20"/>
          <w:szCs w:val="20"/>
          <w:color w:val="auto"/>
        </w:rPr>
      </w:pPr>
    </w:p>
    <w:p>
      <w:pPr>
        <w:sectPr>
          <w:pgSz w:w="11900" w:h="16850" w:orient="portrait"/>
          <w:cols w:equalWidth="0" w:num="3">
            <w:col w:w="4684" w:space="720"/>
            <w:col w:w="1760" w:space="720"/>
            <w:col w:w="3080"/>
          </w:cols>
          <w:pgMar w:left="436" w:top="117" w:right="499" w:bottom="0" w:gutter="0" w:footer="0" w:header="0"/>
        </w:sectPr>
      </w:pPr>
    </w:p>
    <w:p>
      <w:pPr>
        <w:ind w:left="644"/>
        <w:spacing w:after="0"/>
        <w:rPr>
          <w:sz w:val="20"/>
          <w:szCs w:val="20"/>
          <w:color w:val="auto"/>
        </w:rPr>
      </w:pPr>
      <w:r>
        <w:rPr>
          <w:rFonts w:ascii="Times New Roman" w:cs="Times New Roman" w:eastAsia="Times New Roman" w:hAnsi="Times New Roman"/>
          <w:sz w:val="17"/>
          <w:szCs w:val="17"/>
          <w:b w:val="1"/>
          <w:bCs w:val="1"/>
          <w:color w:val="auto"/>
        </w:rPr>
        <w:t>par value US$0.00001 per share</w:t>
      </w:r>
    </w:p>
    <w:p>
      <w:pPr>
        <w:sectPr>
          <w:pgSz w:w="11900" w:h="16850" w:orient="portrait"/>
          <w:cols w:equalWidth="0" w:num="1">
            <w:col w:w="10964"/>
          </w:cols>
          <w:pgMar w:left="436" w:top="117" w:right="499" w:bottom="0" w:gutter="0" w:footer="0" w:header="0"/>
          <w:type w:val="continuous"/>
        </w:sectPr>
      </w:pPr>
    </w:p>
    <w:p>
      <w:pPr>
        <w:spacing w:after="0" w:line="21" w:lineRule="exact"/>
        <w:rPr>
          <w:sz w:val="20"/>
          <w:szCs w:val="20"/>
          <w:color w:val="auto"/>
        </w:rPr>
      </w:pPr>
    </w:p>
    <w:p>
      <w:pPr>
        <w:jc w:val="center"/>
        <w:ind w:right="3416"/>
        <w:spacing w:after="0"/>
        <w:rPr>
          <w:sz w:val="20"/>
          <w:szCs w:val="20"/>
          <w:color w:val="auto"/>
        </w:rPr>
      </w:pPr>
      <w:r>
        <w:rPr>
          <w:rFonts w:ascii="Times New Roman" w:cs="Times New Roman" w:eastAsia="Times New Roman" w:hAnsi="Times New Roman"/>
          <w:sz w:val="18"/>
          <w:szCs w:val="18"/>
          <w:b w:val="1"/>
          <w:bCs w:val="1"/>
          <w:color w:val="auto"/>
        </w:rPr>
        <w:t>Class A ordinary shares,</w:t>
      </w:r>
    </w:p>
    <w:p>
      <w:pPr>
        <w:spacing w:after="0" w:line="23" w:lineRule="exact"/>
        <w:rPr>
          <w:sz w:val="20"/>
          <w:szCs w:val="20"/>
          <w:color w:val="auto"/>
        </w:rPr>
      </w:pPr>
    </w:p>
    <w:p>
      <w:pPr>
        <w:jc w:val="center"/>
        <w:ind w:right="3416"/>
        <w:spacing w:after="0"/>
        <w:rPr>
          <w:sz w:val="20"/>
          <w:szCs w:val="20"/>
          <w:color w:val="auto"/>
        </w:rPr>
      </w:pPr>
      <w:r>
        <w:rPr>
          <w:rFonts w:ascii="Times New Roman" w:cs="Times New Roman" w:eastAsia="Times New Roman" w:hAnsi="Times New Roman"/>
          <w:sz w:val="18"/>
          <w:szCs w:val="18"/>
          <w:b w:val="1"/>
          <w:bCs w:val="1"/>
          <w:color w:val="auto"/>
        </w:rPr>
        <w:t>par value US$0.00001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7715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p>
      <w:pPr>
        <w:spacing w:after="0" w:line="2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p>
      <w:pPr>
        <w:spacing w:after="0" w:line="200" w:lineRule="exact"/>
        <w:rPr>
          <w:sz w:val="20"/>
          <w:szCs w:val="20"/>
          <w:color w:val="auto"/>
        </w:rPr>
      </w:pPr>
    </w:p>
    <w:p>
      <w:pPr>
        <w:sectPr>
          <w:pgSz w:w="11900" w:h="16850" w:orient="portrait"/>
          <w:cols w:equalWidth="0" w:num="2">
            <w:col w:w="7164" w:space="720"/>
            <w:col w:w="3080"/>
          </w:cols>
          <w:pgMar w:left="436" w:top="117" w:right="499" w:bottom="0" w:gutter="0" w:footer="0" w:header="0"/>
          <w:type w:val="continuous"/>
        </w:sectPr>
      </w:pPr>
    </w:p>
    <w:p>
      <w:pPr>
        <w:spacing w:after="0" w:line="7" w:lineRule="exact"/>
        <w:rPr>
          <w:sz w:val="20"/>
          <w:szCs w:val="20"/>
          <w:color w:val="auto"/>
        </w:rPr>
      </w:pPr>
    </w:p>
    <w:p>
      <w:pPr>
        <w:ind w:left="544" w:right="8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  *</w:t>
        <w:tab/>
        <w:t>Not for trading, but only in connection with the listing on The Nasdaq Global Select Market of our American depositary shares, each representing three Class A ordinary shares.</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12(g) of the Act.</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18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Securities for which there is a reporting obligation pursuant to Section 15(d) of the Act.</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4" w:right="200" w:firstLine="440"/>
        <w:spacing w:after="0" w:line="282"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w:t>
      </w:r>
    </w:p>
    <w:p>
      <w:pPr>
        <w:spacing w:after="0" w:line="162" w:lineRule="exact"/>
        <w:rPr>
          <w:sz w:val="20"/>
          <w:szCs w:val="20"/>
          <w:color w:val="auto"/>
        </w:rPr>
      </w:pPr>
    </w:p>
    <w:p>
      <w:pPr>
        <w:ind w:left="4" w:right="56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2024, there were 826,214,105 ordinary shares outstanding, being the sum of 771,399,682 Class A ordinary shares and 54,814,423 Class B ordinary shares.</w:t>
      </w:r>
    </w:p>
    <w:p>
      <w:pPr>
        <w:spacing w:after="0" w:line="121" w:lineRule="exact"/>
        <w:rPr>
          <w:sz w:val="20"/>
          <w:szCs w:val="20"/>
          <w:color w:val="auto"/>
        </w:rPr>
      </w:pPr>
    </w:p>
    <w:p>
      <w:pPr>
        <w:ind w:left="444"/>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66" w:lineRule="exact"/>
        <w:rPr>
          <w:sz w:val="20"/>
          <w:szCs w:val="20"/>
          <w:color w:val="auto"/>
        </w:rPr>
      </w:pPr>
    </w:p>
    <w:p>
      <w:pPr>
        <w:ind w:left="4" w:right="4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this report is an annual or transition report, indicate by check mark if the registrant is not required to file reports pursuant to Section 13 or 15(d) of the Securities Exchange Act of 1934. 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0" w:lineRule="exact"/>
        <w:rPr>
          <w:sz w:val="20"/>
          <w:szCs w:val="20"/>
          <w:color w:val="auto"/>
        </w:rPr>
      </w:pPr>
    </w:p>
    <w:p>
      <w:pPr>
        <w:jc w:val="both"/>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Note – Checking the box above will not relieve any registrant required to file reports pursuant to Section 13 or 15(d) of the Securities Exchange Act of 1934 from their obligations under those Sections.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w:t>
      </w:r>
    </w:p>
    <w:p>
      <w:pPr>
        <w:spacing w:after="0" w:line="39" w:lineRule="exact"/>
        <w:rPr>
          <w:sz w:val="20"/>
          <w:szCs w:val="20"/>
          <w:color w:val="auto"/>
        </w:rPr>
      </w:pPr>
    </w:p>
    <w:p>
      <w:pPr>
        <w:ind w:left="4" w:right="22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1" w:lineRule="exact"/>
        <w:rPr>
          <w:sz w:val="20"/>
          <w:szCs w:val="20"/>
          <w:color w:val="auto"/>
        </w:rPr>
      </w:pPr>
    </w:p>
    <w:p>
      <w:pPr>
        <w:jc w:val="both"/>
        <w:ind w:left="4" w:right="160" w:firstLine="4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1" w:lineRule="exact"/>
        <w:rPr>
          <w:sz w:val="20"/>
          <w:szCs w:val="20"/>
          <w:color w:val="auto"/>
        </w:rPr>
      </w:pPr>
    </w:p>
    <w:p>
      <w:pPr>
        <w:ind w:left="4" w:right="480" w:firstLine="440"/>
        <w:spacing w:after="0" w:line="312"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pacing w:after="0" w:line="126" w:lineRule="exact"/>
        <w:rPr>
          <w:sz w:val="20"/>
          <w:szCs w:val="20"/>
          <w:color w:val="auto"/>
        </w:rPr>
      </w:pPr>
    </w:p>
    <w:p>
      <w:pPr>
        <w:ind w:left="4"/>
        <w:spacing w:after="0" w:line="207" w:lineRule="exact"/>
        <w:tabs>
          <w:tab w:leader="none" w:pos="2984" w:val="left"/>
          <w:tab w:leader="none" w:pos="5204" w:val="left"/>
          <w:tab w:leader="none" w:pos="7464" w:val="left"/>
          <w:tab w:leader="none" w:pos="10224"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          </w:t>
      </w:r>
    </w:p>
    <w:p>
      <w:pPr>
        <w:spacing w:after="0" w:line="266" w:lineRule="exact"/>
        <w:rPr>
          <w:sz w:val="20"/>
          <w:szCs w:val="20"/>
          <w:color w:val="auto"/>
        </w:rPr>
      </w:pPr>
    </w:p>
    <w:p>
      <w:pPr>
        <w:ind w:left="4" w:right="60" w:firstLine="44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8" w:lineRule="exact"/>
        <w:rPr>
          <w:sz w:val="20"/>
          <w:szCs w:val="20"/>
          <w:color w:val="auto"/>
        </w:rPr>
      </w:pPr>
    </w:p>
    <w:p>
      <w:pPr>
        <w:ind w:left="224" w:right="100" w:hanging="224"/>
        <w:spacing w:after="0" w:line="282" w:lineRule="auto"/>
        <w:tabs>
          <w:tab w:leader="none" w:pos="2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162" w:lineRule="exact"/>
        <w:rPr>
          <w:sz w:val="20"/>
          <w:szCs w:val="20"/>
          <w:color w:val="auto"/>
        </w:rPr>
      </w:pPr>
    </w:p>
    <w:p>
      <w:pPr>
        <w:ind w:left="4" w:right="180" w:firstLine="4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ind w:left="4" w:right="4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0" w:lineRule="exact"/>
        <w:rPr>
          <w:sz w:val="20"/>
          <w:szCs w:val="20"/>
          <w:color w:val="auto"/>
        </w:rPr>
      </w:pPr>
    </w:p>
    <w:p>
      <w:pPr>
        <w:ind w:left="4" w:right="4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7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ectPr>
          <w:pgSz w:w="11900" w:h="16850" w:orient="portrait"/>
          <w:cols w:equalWidth="0" w:num="1">
            <w:col w:w="10964"/>
          </w:cols>
          <w:pgMar w:left="436" w:top="117" w:right="499" w:bottom="0" w:gutter="0" w:footer="0" w:header="0"/>
          <w:type w:val="continuous"/>
        </w:sectPr>
      </w:pPr>
    </w:p>
    <w:p>
      <w:pPr>
        <w:spacing w:after="0" w:line="211" w:lineRule="exact"/>
        <w:rPr>
          <w:sz w:val="20"/>
          <w:szCs w:val="20"/>
          <w:color w:val="auto"/>
        </w:rPr>
      </w:pPr>
    </w:p>
    <w:p>
      <w:pPr>
        <w:ind w:left="4"/>
        <w:spacing w:after="0" w:line="184" w:lineRule="exact"/>
        <w:rPr>
          <w:sz w:val="20"/>
          <w:szCs w:val="20"/>
          <w:color w:val="auto"/>
        </w:rPr>
      </w:pPr>
      <w:r>
        <w:rPr>
          <w:rFonts w:ascii="Times New Roman" w:cs="Times New Roman" w:eastAsia="Times New Roman" w:hAnsi="Times New Roman"/>
          <w:sz w:val="16"/>
          <w:szCs w:val="16"/>
          <w:color w:val="auto"/>
        </w:rPr>
        <w:t xml:space="preserve">U.S. GAAP 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International Financial Reporting Standards as issued</w:t>
      </w:r>
    </w:p>
    <w:p>
      <w:pPr>
        <w:spacing w:after="0" w:line="39" w:lineRule="exact"/>
        <w:rPr>
          <w:sz w:val="20"/>
          <w:szCs w:val="20"/>
          <w:color w:val="auto"/>
        </w:rPr>
      </w:pPr>
    </w:p>
    <w:p>
      <w:pPr>
        <w:ind w:left="40"/>
        <w:spacing w:after="0" w:line="196" w:lineRule="exact"/>
        <w:rPr>
          <w:sz w:val="20"/>
          <w:szCs w:val="20"/>
          <w:color w:val="auto"/>
        </w:rPr>
      </w:pPr>
      <w:r>
        <w:rPr>
          <w:rFonts w:ascii="Times New Roman" w:cs="Times New Roman" w:eastAsia="Times New Roman" w:hAnsi="Times New Roman"/>
          <w:sz w:val="17"/>
          <w:szCs w:val="17"/>
          <w:color w:val="auto"/>
        </w:rPr>
        <w:t xml:space="preserve">by the International Accounting Standards Board 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Other  </w:t>
      </w:r>
      <w:r>
        <w:rPr>
          <w:rFonts w:ascii="MS PGothic" w:cs="MS PGothic" w:eastAsia="MS PGothic" w:hAnsi="MS PGothic"/>
          <w:sz w:val="16"/>
          <w:szCs w:val="16"/>
          <w:color w:val="auto"/>
        </w:rPr>
        <w:t>☐</w:t>
      </w:r>
    </w:p>
    <w:p>
      <w:pPr>
        <w:spacing w:after="0" w:line="486" w:lineRule="exact"/>
        <w:rPr>
          <w:sz w:val="20"/>
          <w:szCs w:val="20"/>
          <w:color w:val="auto"/>
        </w:rPr>
      </w:pPr>
    </w:p>
    <w:p>
      <w:pPr>
        <w:sectPr>
          <w:pgSz w:w="11900" w:h="16850" w:orient="portrait"/>
          <w:cols w:equalWidth="0" w:num="3">
            <w:col w:w="3144" w:space="720"/>
            <w:col w:w="5660" w:space="720"/>
            <w:col w:w="720"/>
          </w:cols>
          <w:pgMar w:left="436" w:top="117" w:right="499" w:bottom="0" w:gutter="0" w:footer="0" w:header="0"/>
          <w:type w:val="continuous"/>
        </w:sectPr>
      </w:pPr>
    </w:p>
    <w:p>
      <w:pPr>
        <w:spacing w:after="0" w:line="32" w:lineRule="exact"/>
        <w:rPr>
          <w:sz w:val="20"/>
          <w:szCs w:val="20"/>
          <w:color w:val="auto"/>
        </w:rPr>
      </w:pPr>
    </w:p>
    <w:p>
      <w:pPr>
        <w:ind w:left="4"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18</w:t>
      </w:r>
    </w:p>
    <w:p>
      <w:pPr>
        <w:spacing w:after="0" w:line="130" w:lineRule="exact"/>
        <w:rPr>
          <w:sz w:val="20"/>
          <w:szCs w:val="20"/>
          <w:color w:val="auto"/>
        </w:rPr>
      </w:pPr>
    </w:p>
    <w:p>
      <w:pPr>
        <w:ind w:left="4" w:right="160" w:firstLine="440"/>
        <w:spacing w:after="0" w:line="259" w:lineRule="exact"/>
        <w:rPr>
          <w:sz w:val="20"/>
          <w:szCs w:val="20"/>
          <w:color w:val="auto"/>
        </w:rPr>
      </w:pPr>
      <w:r>
        <w:rPr>
          <w:rFonts w:ascii="Times New Roman" w:cs="Times New Roman" w:eastAsia="Times New Roman" w:hAnsi="Times New Roman"/>
          <w:sz w:val="18"/>
          <w:szCs w:val="18"/>
          <w:color w:val="auto"/>
        </w:rPr>
        <w:t xml:space="preserve">If this is an annual report, 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(APPLICABLE ONLY TO ISSUERS INVOLVED IN BANKRUPTCY PROCEEDINGS DURING THE PAST FIVE YEARS)</w:t>
      </w:r>
    </w:p>
    <w:p>
      <w:pPr>
        <w:sectPr>
          <w:pgSz w:w="11900" w:h="16850" w:orient="portrait"/>
          <w:cols w:equalWidth="0" w:num="1">
            <w:col w:w="10964"/>
          </w:cols>
          <w:pgMar w:left="436" w:top="117" w:right="499" w:bottom="0" w:gutter="0" w:footer="0" w:header="0"/>
          <w:type w:val="continuous"/>
        </w:sectPr>
      </w:pPr>
    </w:p>
    <w:bookmarkStart w:id="2" w:name="page3"/>
    <w:bookmarkEnd w:id="2"/>
    <w:p>
      <w:pPr>
        <w:ind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20"/>
          </w:cols>
          <w:pgMar w:left="440" w:top="121" w:right="5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4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0" w:type="dxa"/>
            <w:vAlign w:val="bottom"/>
            <w:gridSpan w:val="18"/>
          </w:tcPr>
          <w:p>
            <w:pPr>
              <w:jc w:val="center"/>
              <w:ind w:right="34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13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INTRODUCTION</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120" w:type="dxa"/>
            <w:vAlign w:val="bottom"/>
          </w:tcPr>
          <w:p>
            <w:pPr>
              <w:spacing w:after="0"/>
              <w:rPr>
                <w:sz w:val="24"/>
                <w:szCs w:val="24"/>
                <w:color w:val="auto"/>
              </w:rPr>
            </w:pPr>
          </w:p>
        </w:tc>
        <w:tc>
          <w:tcPr>
            <w:tcW w:w="10140" w:type="dxa"/>
            <w:vAlign w:val="bottom"/>
            <w:gridSpan w:val="37"/>
          </w:tcPr>
          <w:p>
            <w:pPr>
              <w:spacing w:after="0"/>
              <w:rPr>
                <w:sz w:val="20"/>
                <w:szCs w:val="20"/>
                <w:color w:val="auto"/>
              </w:rPr>
            </w:pPr>
            <w:r>
              <w:rPr>
                <w:rFonts w:ascii="Times New Roman" w:cs="Times New Roman" w:eastAsia="Times New Roman" w:hAnsi="Times New Roman"/>
                <w:sz w:val="18"/>
                <w:szCs w:val="18"/>
                <w:color w:val="0000EE"/>
              </w:rPr>
              <w:t>FORWARD-LOOKING INFORMATION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04"/>
        </w:trPr>
        <w:tc>
          <w:tcPr>
            <w:tcW w:w="120" w:type="dxa"/>
            <w:vAlign w:val="bottom"/>
          </w:tcPr>
          <w:p>
            <w:pPr>
              <w:spacing w:after="0"/>
              <w:rPr>
                <w:sz w:val="24"/>
                <w:szCs w:val="24"/>
                <w:color w:val="auto"/>
              </w:rPr>
            </w:pPr>
          </w:p>
        </w:tc>
        <w:tc>
          <w:tcPr>
            <w:tcW w:w="5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1"/>
              </w:rPr>
              <w:t>PART I.</w:t>
            </w:r>
          </w:p>
        </w:tc>
        <w:tc>
          <w:tcPr>
            <w:tcW w:w="780" w:type="dxa"/>
            <w:vAlign w:val="bottom"/>
            <w:tcBorders>
              <w:top w:val="single" w:sz="8" w:color="0000EE"/>
            </w:tcBorders>
            <w:gridSpan w:val="5"/>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04"/>
        </w:trPr>
        <w:tc>
          <w:tcPr>
            <w:tcW w:w="120" w:type="dxa"/>
            <w:vAlign w:val="bottom"/>
          </w:tcPr>
          <w:p>
            <w:pPr>
              <w:spacing w:after="0"/>
              <w:rPr>
                <w:sz w:val="24"/>
                <w:szCs w:val="24"/>
                <w:color w:val="auto"/>
              </w:rPr>
            </w:pPr>
          </w:p>
        </w:tc>
        <w:tc>
          <w:tcPr>
            <w:tcW w:w="136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ITEM 1.</w:t>
            </w:r>
          </w:p>
        </w:tc>
        <w:tc>
          <w:tcPr>
            <w:tcW w:w="380" w:type="dxa"/>
            <w:vAlign w:val="bottom"/>
          </w:tcPr>
          <w:p>
            <w:pPr>
              <w:spacing w:after="0"/>
              <w:rPr>
                <w:sz w:val="24"/>
                <w:szCs w:val="24"/>
                <w:color w:val="auto"/>
              </w:rPr>
            </w:pPr>
          </w:p>
        </w:tc>
        <w:tc>
          <w:tcPr>
            <w:tcW w:w="560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9"/>
              </w:rPr>
              <w:t>IDENTITY OF DIRECTORS, SENIOR MANAGEMENT AND ADVISERS</w:t>
            </w:r>
          </w:p>
        </w:tc>
        <w:tc>
          <w:tcPr>
            <w:tcW w:w="2800" w:type="dxa"/>
            <w:vAlign w:val="bottom"/>
            <w:gridSpan w:val="6"/>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50"/>
        </w:trPr>
        <w:tc>
          <w:tcPr>
            <w:tcW w:w="120" w:type="dxa"/>
            <w:vAlign w:val="bottom"/>
          </w:tcPr>
          <w:p>
            <w:pPr>
              <w:spacing w:after="0"/>
              <w:rPr>
                <w:sz w:val="21"/>
                <w:szCs w:val="21"/>
                <w:color w:val="auto"/>
              </w:rPr>
            </w:pPr>
          </w:p>
        </w:tc>
        <w:tc>
          <w:tcPr>
            <w:tcW w:w="136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ITEM 2.</w:t>
            </w:r>
          </w:p>
        </w:tc>
        <w:tc>
          <w:tcPr>
            <w:tcW w:w="380" w:type="dxa"/>
            <w:vAlign w:val="bottom"/>
          </w:tcPr>
          <w:p>
            <w:pPr>
              <w:spacing w:after="0"/>
              <w:rPr>
                <w:sz w:val="21"/>
                <w:szCs w:val="21"/>
                <w:color w:val="auto"/>
              </w:rPr>
            </w:pPr>
          </w:p>
        </w:tc>
        <w:tc>
          <w:tcPr>
            <w:tcW w:w="40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8"/>
              </w:rPr>
              <w:t>OFFER STATISTICS AND EXPECTED TIMETABLE</w:t>
            </w:r>
          </w:p>
        </w:tc>
        <w:tc>
          <w:tcPr>
            <w:tcW w:w="4380" w:type="dxa"/>
            <w:vAlign w:val="bottom"/>
            <w:gridSpan w:val="13"/>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50"/>
        </w:trPr>
        <w:tc>
          <w:tcPr>
            <w:tcW w:w="120" w:type="dxa"/>
            <w:vAlign w:val="bottom"/>
          </w:tcPr>
          <w:p>
            <w:pPr>
              <w:spacing w:after="0"/>
              <w:rPr>
                <w:sz w:val="21"/>
                <w:szCs w:val="21"/>
                <w:color w:val="auto"/>
              </w:rPr>
            </w:pPr>
          </w:p>
        </w:tc>
        <w:tc>
          <w:tcPr>
            <w:tcW w:w="136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ITEM 3.</w:t>
            </w:r>
          </w:p>
        </w:tc>
        <w:tc>
          <w:tcPr>
            <w:tcW w:w="380" w:type="dxa"/>
            <w:vAlign w:val="bottom"/>
          </w:tcPr>
          <w:p>
            <w:pPr>
              <w:spacing w:after="0"/>
              <w:rPr>
                <w:sz w:val="21"/>
                <w:szCs w:val="21"/>
                <w:color w:val="auto"/>
              </w:rPr>
            </w:pPr>
          </w:p>
        </w:tc>
        <w:tc>
          <w:tcPr>
            <w:tcW w:w="16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7"/>
              </w:rPr>
              <w:t>KEY INFORMATION</w:t>
            </w:r>
          </w:p>
        </w:tc>
        <w:tc>
          <w:tcPr>
            <w:tcW w:w="6740" w:type="dxa"/>
            <w:vAlign w:val="bottom"/>
            <w:gridSpan w:val="25"/>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50"/>
        </w:trPr>
        <w:tc>
          <w:tcPr>
            <w:tcW w:w="120" w:type="dxa"/>
            <w:vAlign w:val="bottom"/>
          </w:tcPr>
          <w:p>
            <w:pPr>
              <w:spacing w:after="0"/>
              <w:rPr>
                <w:sz w:val="21"/>
                <w:szCs w:val="21"/>
                <w:color w:val="auto"/>
              </w:rPr>
            </w:pPr>
          </w:p>
        </w:tc>
        <w:tc>
          <w:tcPr>
            <w:tcW w:w="136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ITEM 4.</w:t>
            </w:r>
          </w:p>
        </w:tc>
        <w:tc>
          <w:tcPr>
            <w:tcW w:w="380" w:type="dxa"/>
            <w:vAlign w:val="bottom"/>
          </w:tcPr>
          <w:p>
            <w:pPr>
              <w:spacing w:after="0"/>
              <w:rPr>
                <w:sz w:val="21"/>
                <w:szCs w:val="21"/>
                <w:color w:val="auto"/>
              </w:rPr>
            </w:pPr>
          </w:p>
        </w:tc>
        <w:tc>
          <w:tcPr>
            <w:tcW w:w="84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INFORMATION ON THE COMPANY</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50"/>
        </w:trPr>
        <w:tc>
          <w:tcPr>
            <w:tcW w:w="120" w:type="dxa"/>
            <w:vAlign w:val="bottom"/>
          </w:tcPr>
          <w:p>
            <w:pPr>
              <w:spacing w:after="0"/>
              <w:rPr>
                <w:sz w:val="21"/>
                <w:szCs w:val="21"/>
                <w:color w:val="auto"/>
              </w:rPr>
            </w:pPr>
          </w:p>
        </w:tc>
        <w:tc>
          <w:tcPr>
            <w:tcW w:w="136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ITEM 4A.</w:t>
            </w:r>
          </w:p>
        </w:tc>
        <w:tc>
          <w:tcPr>
            <w:tcW w:w="380" w:type="dxa"/>
            <w:vAlign w:val="bottom"/>
          </w:tcPr>
          <w:p>
            <w:pPr>
              <w:spacing w:after="0"/>
              <w:rPr>
                <w:sz w:val="21"/>
                <w:szCs w:val="21"/>
                <w:color w:val="auto"/>
              </w:rPr>
            </w:pPr>
          </w:p>
        </w:tc>
        <w:tc>
          <w:tcPr>
            <w:tcW w:w="2820" w:type="dxa"/>
            <w:vAlign w:val="bottom"/>
            <w:tcBorders>
              <w:top w:val="single" w:sz="8" w:color="0000EE"/>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8"/>
              </w:rPr>
              <w:t>UNRESOLVED STAFF COMMENTS</w:t>
            </w:r>
          </w:p>
        </w:tc>
        <w:tc>
          <w:tcPr>
            <w:tcW w:w="40" w:type="dxa"/>
            <w:vAlign w:val="bottom"/>
            <w:tcBorders>
              <w:top w:val="single" w:sz="8" w:color="0000EE"/>
            </w:tcBorders>
          </w:tcPr>
          <w:p>
            <w:pPr>
              <w:spacing w:after="0"/>
              <w:rPr>
                <w:sz w:val="21"/>
                <w:szCs w:val="21"/>
                <w:color w:val="auto"/>
              </w:rPr>
            </w:pPr>
          </w:p>
        </w:tc>
        <w:tc>
          <w:tcPr>
            <w:tcW w:w="5540" w:type="dxa"/>
            <w:vAlign w:val="bottom"/>
            <w:gridSpan w:val="16"/>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50"/>
        </w:trPr>
        <w:tc>
          <w:tcPr>
            <w:tcW w:w="120" w:type="dxa"/>
            <w:vAlign w:val="bottom"/>
          </w:tcPr>
          <w:p>
            <w:pPr>
              <w:spacing w:after="0"/>
              <w:rPr>
                <w:sz w:val="21"/>
                <w:szCs w:val="21"/>
                <w:color w:val="auto"/>
              </w:rPr>
            </w:pPr>
          </w:p>
        </w:tc>
        <w:tc>
          <w:tcPr>
            <w:tcW w:w="136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ITEM 5.</w:t>
            </w:r>
          </w:p>
        </w:tc>
        <w:tc>
          <w:tcPr>
            <w:tcW w:w="380" w:type="dxa"/>
            <w:vAlign w:val="bottom"/>
          </w:tcPr>
          <w:p>
            <w:pPr>
              <w:spacing w:after="0"/>
              <w:rPr>
                <w:sz w:val="21"/>
                <w:szCs w:val="21"/>
                <w:color w:val="auto"/>
              </w:rPr>
            </w:pPr>
          </w:p>
        </w:tc>
        <w:tc>
          <w:tcPr>
            <w:tcW w:w="84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OPERATING AND FINANCIAL REVIEW AND PROSPECTS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50"/>
        </w:trPr>
        <w:tc>
          <w:tcPr>
            <w:tcW w:w="120" w:type="dxa"/>
            <w:vAlign w:val="bottom"/>
          </w:tcPr>
          <w:p>
            <w:pPr>
              <w:spacing w:after="0"/>
              <w:rPr>
                <w:sz w:val="21"/>
                <w:szCs w:val="21"/>
                <w:color w:val="auto"/>
              </w:rPr>
            </w:pPr>
          </w:p>
        </w:tc>
        <w:tc>
          <w:tcPr>
            <w:tcW w:w="136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ITEM 6.</w:t>
            </w:r>
          </w:p>
        </w:tc>
        <w:tc>
          <w:tcPr>
            <w:tcW w:w="380" w:type="dxa"/>
            <w:vAlign w:val="bottom"/>
          </w:tcPr>
          <w:p>
            <w:pPr>
              <w:spacing w:after="0"/>
              <w:rPr>
                <w:sz w:val="21"/>
                <w:szCs w:val="21"/>
                <w:color w:val="auto"/>
              </w:rPr>
            </w:pPr>
          </w:p>
        </w:tc>
        <w:tc>
          <w:tcPr>
            <w:tcW w:w="4620" w:type="dxa"/>
            <w:vAlign w:val="bottom"/>
            <w:tcBorders>
              <w:top w:val="single" w:sz="8" w:color="0000EE"/>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DIRECTORS, SENIOR MANAGEMENT AND EMPLOYEES</w:t>
            </w:r>
          </w:p>
        </w:tc>
        <w:tc>
          <w:tcPr>
            <w:tcW w:w="40" w:type="dxa"/>
            <w:vAlign w:val="bottom"/>
            <w:tcBorders>
              <w:top w:val="single" w:sz="8" w:color="0000EE"/>
            </w:tcBorders>
          </w:tcPr>
          <w:p>
            <w:pPr>
              <w:spacing w:after="0"/>
              <w:rPr>
                <w:sz w:val="21"/>
                <w:szCs w:val="21"/>
                <w:color w:val="auto"/>
              </w:rPr>
            </w:pPr>
          </w:p>
        </w:tc>
        <w:tc>
          <w:tcPr>
            <w:tcW w:w="3740" w:type="dxa"/>
            <w:vAlign w:val="bottom"/>
            <w:gridSpan w:val="11"/>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50"/>
        </w:trPr>
        <w:tc>
          <w:tcPr>
            <w:tcW w:w="120" w:type="dxa"/>
            <w:vAlign w:val="bottom"/>
          </w:tcPr>
          <w:p>
            <w:pPr>
              <w:spacing w:after="0"/>
              <w:rPr>
                <w:sz w:val="21"/>
                <w:szCs w:val="21"/>
                <w:color w:val="auto"/>
              </w:rPr>
            </w:pPr>
          </w:p>
        </w:tc>
        <w:tc>
          <w:tcPr>
            <w:tcW w:w="136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ITEM 7.</w:t>
            </w:r>
          </w:p>
        </w:tc>
        <w:tc>
          <w:tcPr>
            <w:tcW w:w="380" w:type="dxa"/>
            <w:vAlign w:val="bottom"/>
          </w:tcPr>
          <w:p>
            <w:pPr>
              <w:spacing w:after="0"/>
              <w:rPr>
                <w:sz w:val="21"/>
                <w:szCs w:val="21"/>
                <w:color w:val="auto"/>
              </w:rPr>
            </w:pPr>
          </w:p>
        </w:tc>
        <w:tc>
          <w:tcPr>
            <w:tcW w:w="538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8"/>
              </w:rPr>
              <w:t>MAJOR SHAREHOLDERS AND RELATED PARTY TRANSACTIONS</w:t>
            </w:r>
          </w:p>
        </w:tc>
        <w:tc>
          <w:tcPr>
            <w:tcW w:w="3020" w:type="dxa"/>
            <w:vAlign w:val="bottom"/>
            <w:gridSpan w:val="8"/>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50"/>
        </w:trPr>
        <w:tc>
          <w:tcPr>
            <w:tcW w:w="120" w:type="dxa"/>
            <w:vAlign w:val="bottom"/>
          </w:tcPr>
          <w:p>
            <w:pPr>
              <w:spacing w:after="0"/>
              <w:rPr>
                <w:sz w:val="21"/>
                <w:szCs w:val="21"/>
                <w:color w:val="auto"/>
              </w:rPr>
            </w:pPr>
          </w:p>
        </w:tc>
        <w:tc>
          <w:tcPr>
            <w:tcW w:w="136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ITEM 8.</w:t>
            </w:r>
          </w:p>
        </w:tc>
        <w:tc>
          <w:tcPr>
            <w:tcW w:w="380" w:type="dxa"/>
            <w:vAlign w:val="bottom"/>
          </w:tcPr>
          <w:p>
            <w:pPr>
              <w:spacing w:after="0"/>
              <w:rPr>
                <w:sz w:val="21"/>
                <w:szCs w:val="21"/>
                <w:color w:val="auto"/>
              </w:rPr>
            </w:pPr>
          </w:p>
        </w:tc>
        <w:tc>
          <w:tcPr>
            <w:tcW w:w="22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FINANCIAL INFORMATION</w:t>
            </w:r>
          </w:p>
        </w:tc>
        <w:tc>
          <w:tcPr>
            <w:tcW w:w="6140" w:type="dxa"/>
            <w:vAlign w:val="bottom"/>
            <w:gridSpan w:val="22"/>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50"/>
        </w:trPr>
        <w:tc>
          <w:tcPr>
            <w:tcW w:w="120" w:type="dxa"/>
            <w:vAlign w:val="bottom"/>
          </w:tcPr>
          <w:p>
            <w:pPr>
              <w:spacing w:after="0"/>
              <w:rPr>
                <w:sz w:val="21"/>
                <w:szCs w:val="21"/>
                <w:color w:val="auto"/>
              </w:rPr>
            </w:pPr>
          </w:p>
        </w:tc>
        <w:tc>
          <w:tcPr>
            <w:tcW w:w="136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ITEM 9.</w:t>
            </w:r>
          </w:p>
        </w:tc>
        <w:tc>
          <w:tcPr>
            <w:tcW w:w="380" w:type="dxa"/>
            <w:vAlign w:val="bottom"/>
          </w:tcPr>
          <w:p>
            <w:pPr>
              <w:spacing w:after="0"/>
              <w:rPr>
                <w:sz w:val="21"/>
                <w:szCs w:val="21"/>
                <w:color w:val="auto"/>
              </w:rPr>
            </w:pPr>
          </w:p>
        </w:tc>
        <w:tc>
          <w:tcPr>
            <w:tcW w:w="21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THE OFFER AND LISTING</w:t>
            </w:r>
          </w:p>
        </w:tc>
        <w:tc>
          <w:tcPr>
            <w:tcW w:w="6260" w:type="dxa"/>
            <w:vAlign w:val="bottom"/>
            <w:gridSpan w:val="24"/>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50"/>
        </w:trPr>
        <w:tc>
          <w:tcPr>
            <w:tcW w:w="120" w:type="dxa"/>
            <w:vAlign w:val="bottom"/>
          </w:tcPr>
          <w:p>
            <w:pPr>
              <w:spacing w:after="0"/>
              <w:rPr>
                <w:sz w:val="21"/>
                <w:szCs w:val="21"/>
                <w:color w:val="auto"/>
              </w:rPr>
            </w:pPr>
          </w:p>
        </w:tc>
        <w:tc>
          <w:tcPr>
            <w:tcW w:w="136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ITEM 10.</w:t>
            </w:r>
          </w:p>
        </w:tc>
        <w:tc>
          <w:tcPr>
            <w:tcW w:w="380" w:type="dxa"/>
            <w:vAlign w:val="bottom"/>
          </w:tcPr>
          <w:p>
            <w:pPr>
              <w:spacing w:after="0"/>
              <w:rPr>
                <w:sz w:val="21"/>
                <w:szCs w:val="21"/>
                <w:color w:val="auto"/>
              </w:rPr>
            </w:pPr>
          </w:p>
        </w:tc>
        <w:tc>
          <w:tcPr>
            <w:tcW w:w="24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ADDITIONAL INFORMATION</w:t>
            </w:r>
          </w:p>
        </w:tc>
        <w:tc>
          <w:tcPr>
            <w:tcW w:w="5980" w:type="dxa"/>
            <w:vAlign w:val="bottom"/>
            <w:gridSpan w:val="19"/>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50"/>
        </w:trPr>
        <w:tc>
          <w:tcPr>
            <w:tcW w:w="120" w:type="dxa"/>
            <w:vAlign w:val="bottom"/>
          </w:tcPr>
          <w:p>
            <w:pPr>
              <w:spacing w:after="0"/>
              <w:rPr>
                <w:sz w:val="21"/>
                <w:szCs w:val="21"/>
                <w:color w:val="auto"/>
              </w:rPr>
            </w:pPr>
          </w:p>
        </w:tc>
        <w:tc>
          <w:tcPr>
            <w:tcW w:w="136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ITEM 11.</w:t>
            </w:r>
          </w:p>
        </w:tc>
        <w:tc>
          <w:tcPr>
            <w:tcW w:w="380" w:type="dxa"/>
            <w:vAlign w:val="bottom"/>
          </w:tcPr>
          <w:p>
            <w:pPr>
              <w:spacing w:after="0"/>
              <w:rPr>
                <w:sz w:val="21"/>
                <w:szCs w:val="21"/>
                <w:color w:val="auto"/>
              </w:rPr>
            </w:pPr>
          </w:p>
        </w:tc>
        <w:tc>
          <w:tcPr>
            <w:tcW w:w="614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8"/>
              </w:rPr>
              <w:t>QUANTITATIVE AND QUALITATIVE DISCLOSURES ABOUT MARKET RISK</w:t>
            </w:r>
          </w:p>
        </w:tc>
        <w:tc>
          <w:tcPr>
            <w:tcW w:w="2260" w:type="dxa"/>
            <w:vAlign w:val="bottom"/>
            <w:gridSpan w:val="5"/>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50"/>
        </w:trPr>
        <w:tc>
          <w:tcPr>
            <w:tcW w:w="120" w:type="dxa"/>
            <w:vAlign w:val="bottom"/>
          </w:tcPr>
          <w:p>
            <w:pPr>
              <w:spacing w:after="0"/>
              <w:rPr>
                <w:sz w:val="21"/>
                <w:szCs w:val="21"/>
                <w:color w:val="auto"/>
              </w:rPr>
            </w:pPr>
          </w:p>
        </w:tc>
        <w:tc>
          <w:tcPr>
            <w:tcW w:w="136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ITEM 12.</w:t>
            </w:r>
          </w:p>
        </w:tc>
        <w:tc>
          <w:tcPr>
            <w:tcW w:w="380" w:type="dxa"/>
            <w:vAlign w:val="bottom"/>
          </w:tcPr>
          <w:p>
            <w:pPr>
              <w:spacing w:after="0"/>
              <w:rPr>
                <w:sz w:val="21"/>
                <w:szCs w:val="21"/>
                <w:color w:val="auto"/>
              </w:rPr>
            </w:pPr>
          </w:p>
        </w:tc>
        <w:tc>
          <w:tcPr>
            <w:tcW w:w="84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DESCRIPTION OF SECURITIES OTHER THAN EQUITY SECURITIES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304"/>
        </w:trPr>
        <w:tc>
          <w:tcPr>
            <w:tcW w:w="120" w:type="dxa"/>
            <w:vAlign w:val="bottom"/>
          </w:tcPr>
          <w:p>
            <w:pPr>
              <w:spacing w:after="0"/>
              <w:rPr>
                <w:sz w:val="24"/>
                <w:szCs w:val="24"/>
                <w:color w:val="auto"/>
              </w:rPr>
            </w:pPr>
          </w:p>
        </w:tc>
        <w:tc>
          <w:tcPr>
            <w:tcW w:w="6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2"/>
              </w:rPr>
              <w:t>PART II.</w:t>
            </w:r>
          </w:p>
        </w:tc>
        <w:tc>
          <w:tcPr>
            <w:tcW w:w="720" w:type="dxa"/>
            <w:vAlign w:val="bottom"/>
            <w:gridSpan w:val="4"/>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304"/>
        </w:trPr>
        <w:tc>
          <w:tcPr>
            <w:tcW w:w="120" w:type="dxa"/>
            <w:vAlign w:val="bottom"/>
          </w:tcPr>
          <w:p>
            <w:pPr>
              <w:spacing w:after="0"/>
              <w:rPr>
                <w:sz w:val="24"/>
                <w:szCs w:val="24"/>
                <w:color w:val="auto"/>
              </w:rPr>
            </w:pPr>
          </w:p>
        </w:tc>
        <w:tc>
          <w:tcPr>
            <w:tcW w:w="136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ITEM 13.</w:t>
            </w:r>
          </w:p>
        </w:tc>
        <w:tc>
          <w:tcPr>
            <w:tcW w:w="380" w:type="dxa"/>
            <w:vAlign w:val="bottom"/>
          </w:tcPr>
          <w:p>
            <w:pPr>
              <w:spacing w:after="0"/>
              <w:rPr>
                <w:sz w:val="24"/>
                <w:szCs w:val="24"/>
                <w:color w:val="auto"/>
              </w:rPr>
            </w:pPr>
          </w:p>
        </w:tc>
        <w:tc>
          <w:tcPr>
            <w:tcW w:w="502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DEFAULTS, DIVIDEND ARREARAGES AND DELINQUENCIES</w:t>
            </w:r>
          </w:p>
        </w:tc>
        <w:tc>
          <w:tcPr>
            <w:tcW w:w="3380" w:type="dxa"/>
            <w:vAlign w:val="bottom"/>
            <w:gridSpan w:val="9"/>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50"/>
        </w:trPr>
        <w:tc>
          <w:tcPr>
            <w:tcW w:w="120" w:type="dxa"/>
            <w:vAlign w:val="bottom"/>
          </w:tcPr>
          <w:p>
            <w:pPr>
              <w:spacing w:after="0"/>
              <w:rPr>
                <w:sz w:val="21"/>
                <w:szCs w:val="21"/>
                <w:color w:val="auto"/>
              </w:rPr>
            </w:pPr>
          </w:p>
        </w:tc>
        <w:tc>
          <w:tcPr>
            <w:tcW w:w="136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ITEM 14.</w:t>
            </w:r>
          </w:p>
        </w:tc>
        <w:tc>
          <w:tcPr>
            <w:tcW w:w="380" w:type="dxa"/>
            <w:vAlign w:val="bottom"/>
          </w:tcPr>
          <w:p>
            <w:pPr>
              <w:spacing w:after="0"/>
              <w:rPr>
                <w:sz w:val="21"/>
                <w:szCs w:val="21"/>
                <w:color w:val="auto"/>
              </w:rPr>
            </w:pPr>
          </w:p>
        </w:tc>
        <w:tc>
          <w:tcPr>
            <w:tcW w:w="786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w w:val="99"/>
              </w:rPr>
              <w:t>MATERIAL MODIFICATIONS TO THE RIGHTS OF SECURITY HOLDERS AND USE OF PROCEEDS</w:t>
            </w:r>
          </w:p>
        </w:tc>
        <w:tc>
          <w:tcPr>
            <w:tcW w:w="5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50"/>
        </w:trPr>
        <w:tc>
          <w:tcPr>
            <w:tcW w:w="120" w:type="dxa"/>
            <w:vAlign w:val="bottom"/>
          </w:tcPr>
          <w:p>
            <w:pPr>
              <w:spacing w:after="0"/>
              <w:rPr>
                <w:sz w:val="21"/>
                <w:szCs w:val="21"/>
                <w:color w:val="auto"/>
              </w:rPr>
            </w:pPr>
          </w:p>
        </w:tc>
        <w:tc>
          <w:tcPr>
            <w:tcW w:w="136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ITEM 15.</w:t>
            </w:r>
          </w:p>
        </w:tc>
        <w:tc>
          <w:tcPr>
            <w:tcW w:w="380" w:type="dxa"/>
            <w:vAlign w:val="bottom"/>
          </w:tcPr>
          <w:p>
            <w:pPr>
              <w:spacing w:after="0"/>
              <w:rPr>
                <w:sz w:val="21"/>
                <w:szCs w:val="21"/>
                <w:color w:val="auto"/>
              </w:rPr>
            </w:pPr>
          </w:p>
        </w:tc>
        <w:tc>
          <w:tcPr>
            <w:tcW w:w="26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CONTROLS AND PROCEDURES</w:t>
            </w:r>
          </w:p>
        </w:tc>
        <w:tc>
          <w:tcPr>
            <w:tcW w:w="5800" w:type="dxa"/>
            <w:vAlign w:val="bottom"/>
            <w:gridSpan w:val="18"/>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50"/>
        </w:trPr>
        <w:tc>
          <w:tcPr>
            <w:tcW w:w="120" w:type="dxa"/>
            <w:vAlign w:val="bottom"/>
          </w:tcPr>
          <w:p>
            <w:pPr>
              <w:spacing w:after="0"/>
              <w:rPr>
                <w:sz w:val="21"/>
                <w:szCs w:val="21"/>
                <w:color w:val="auto"/>
              </w:rPr>
            </w:pPr>
          </w:p>
        </w:tc>
        <w:tc>
          <w:tcPr>
            <w:tcW w:w="136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ITEM 16A.</w:t>
            </w:r>
          </w:p>
        </w:tc>
        <w:tc>
          <w:tcPr>
            <w:tcW w:w="380" w:type="dxa"/>
            <w:vAlign w:val="bottom"/>
          </w:tcPr>
          <w:p>
            <w:pPr>
              <w:spacing w:after="0"/>
              <w:rPr>
                <w:sz w:val="21"/>
                <w:szCs w:val="21"/>
                <w:color w:val="auto"/>
              </w:rPr>
            </w:pPr>
          </w:p>
        </w:tc>
        <w:tc>
          <w:tcPr>
            <w:tcW w:w="84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AUDIT COMMITTEE FINANCIAL EXPERT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50"/>
        </w:trPr>
        <w:tc>
          <w:tcPr>
            <w:tcW w:w="120" w:type="dxa"/>
            <w:vAlign w:val="bottom"/>
          </w:tcPr>
          <w:p>
            <w:pPr>
              <w:spacing w:after="0"/>
              <w:rPr>
                <w:sz w:val="21"/>
                <w:szCs w:val="21"/>
                <w:color w:val="auto"/>
              </w:rPr>
            </w:pPr>
          </w:p>
        </w:tc>
        <w:tc>
          <w:tcPr>
            <w:tcW w:w="136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ITEM 16B.</w:t>
            </w:r>
          </w:p>
        </w:tc>
        <w:tc>
          <w:tcPr>
            <w:tcW w:w="380" w:type="dxa"/>
            <w:vAlign w:val="bottom"/>
          </w:tcPr>
          <w:p>
            <w:pPr>
              <w:spacing w:after="0"/>
              <w:rPr>
                <w:sz w:val="21"/>
                <w:szCs w:val="21"/>
                <w:color w:val="auto"/>
              </w:rPr>
            </w:pPr>
          </w:p>
        </w:tc>
        <w:tc>
          <w:tcPr>
            <w:tcW w:w="144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CODE OF ETHICS</w:t>
            </w:r>
          </w:p>
        </w:tc>
        <w:tc>
          <w:tcPr>
            <w:tcW w:w="1960" w:type="dxa"/>
            <w:vAlign w:val="bottom"/>
            <w:tcBorders>
              <w:top w:val="single" w:sz="8" w:color="0000EE"/>
            </w:tcBorders>
            <w:gridSpan w:val="12"/>
          </w:tcPr>
          <w:p>
            <w:pPr>
              <w:spacing w:after="0"/>
              <w:rPr>
                <w:sz w:val="21"/>
                <w:szCs w:val="21"/>
                <w:color w:val="auto"/>
              </w:rPr>
            </w:pPr>
          </w:p>
        </w:tc>
        <w:tc>
          <w:tcPr>
            <w:tcW w:w="5000" w:type="dxa"/>
            <w:vAlign w:val="bottom"/>
            <w:gridSpan w:val="15"/>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50"/>
        </w:trPr>
        <w:tc>
          <w:tcPr>
            <w:tcW w:w="120" w:type="dxa"/>
            <w:vAlign w:val="bottom"/>
          </w:tcPr>
          <w:p>
            <w:pPr>
              <w:spacing w:after="0"/>
              <w:rPr>
                <w:sz w:val="21"/>
                <w:szCs w:val="21"/>
                <w:color w:val="auto"/>
              </w:rPr>
            </w:pPr>
          </w:p>
        </w:tc>
        <w:tc>
          <w:tcPr>
            <w:tcW w:w="136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ITEM 16C.</w:t>
            </w:r>
          </w:p>
        </w:tc>
        <w:tc>
          <w:tcPr>
            <w:tcW w:w="380" w:type="dxa"/>
            <w:vAlign w:val="bottom"/>
          </w:tcPr>
          <w:p>
            <w:pPr>
              <w:spacing w:after="0"/>
              <w:rPr>
                <w:sz w:val="21"/>
                <w:szCs w:val="21"/>
                <w:color w:val="auto"/>
              </w:rPr>
            </w:pPr>
          </w:p>
        </w:tc>
        <w:tc>
          <w:tcPr>
            <w:tcW w:w="84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PRINCIPAL ACCOUNTANT FEES AND SERVICES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0"/>
        </w:trPr>
        <w:tc>
          <w:tcPr>
            <w:tcW w:w="1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136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ITEM 16D.</w:t>
            </w:r>
          </w:p>
        </w:tc>
        <w:tc>
          <w:tcPr>
            <w:tcW w:w="380" w:type="dxa"/>
            <w:vAlign w:val="bottom"/>
          </w:tcPr>
          <w:p>
            <w:pPr>
              <w:spacing w:after="0"/>
              <w:rPr>
                <w:sz w:val="21"/>
                <w:szCs w:val="21"/>
                <w:color w:val="auto"/>
              </w:rPr>
            </w:pPr>
          </w:p>
        </w:tc>
        <w:tc>
          <w:tcPr>
            <w:tcW w:w="616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w w:val="99"/>
              </w:rPr>
              <w:t>EXEMPTIONS FROM THE LISTING STANDARDS FOR AUDIT COMMITTEES</w:t>
            </w:r>
          </w:p>
        </w:tc>
        <w:tc>
          <w:tcPr>
            <w:tcW w:w="2240" w:type="dxa"/>
            <w:vAlign w:val="bottom"/>
            <w:gridSpan w:val="4"/>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50"/>
        </w:trPr>
        <w:tc>
          <w:tcPr>
            <w:tcW w:w="120" w:type="dxa"/>
            <w:vAlign w:val="bottom"/>
          </w:tcPr>
          <w:p>
            <w:pPr>
              <w:spacing w:after="0"/>
              <w:rPr>
                <w:sz w:val="21"/>
                <w:szCs w:val="21"/>
                <w:color w:val="auto"/>
              </w:rPr>
            </w:pPr>
          </w:p>
        </w:tc>
        <w:tc>
          <w:tcPr>
            <w:tcW w:w="136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ITEM 16E.</w:t>
            </w:r>
          </w:p>
        </w:tc>
        <w:tc>
          <w:tcPr>
            <w:tcW w:w="380" w:type="dxa"/>
            <w:vAlign w:val="bottom"/>
          </w:tcPr>
          <w:p>
            <w:pPr>
              <w:spacing w:after="0"/>
              <w:rPr>
                <w:sz w:val="21"/>
                <w:szCs w:val="21"/>
                <w:color w:val="auto"/>
              </w:rPr>
            </w:pPr>
          </w:p>
        </w:tc>
        <w:tc>
          <w:tcPr>
            <w:tcW w:w="716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w w:val="99"/>
              </w:rPr>
              <w:t>PURCHASES OF EQUITY SECURITIES BY THE ISSUER AND AFFILIATED PURCHASERS</w:t>
            </w:r>
          </w:p>
        </w:tc>
        <w:tc>
          <w:tcPr>
            <w:tcW w:w="1240" w:type="dxa"/>
            <w:vAlign w:val="bottom"/>
            <w:gridSpan w:val="2"/>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50"/>
        </w:trPr>
        <w:tc>
          <w:tcPr>
            <w:tcW w:w="120" w:type="dxa"/>
            <w:vAlign w:val="bottom"/>
          </w:tcPr>
          <w:p>
            <w:pPr>
              <w:spacing w:after="0"/>
              <w:rPr>
                <w:sz w:val="21"/>
                <w:szCs w:val="21"/>
                <w:color w:val="auto"/>
              </w:rPr>
            </w:pPr>
          </w:p>
        </w:tc>
        <w:tc>
          <w:tcPr>
            <w:tcW w:w="136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ITEM 16F.</w:t>
            </w:r>
          </w:p>
        </w:tc>
        <w:tc>
          <w:tcPr>
            <w:tcW w:w="380" w:type="dxa"/>
            <w:vAlign w:val="bottom"/>
          </w:tcPr>
          <w:p>
            <w:pPr>
              <w:spacing w:after="0"/>
              <w:rPr>
                <w:sz w:val="21"/>
                <w:szCs w:val="21"/>
                <w:color w:val="auto"/>
              </w:rPr>
            </w:pPr>
          </w:p>
        </w:tc>
        <w:tc>
          <w:tcPr>
            <w:tcW w:w="84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CHANGE IN REGISTRANT’S CERTIFYING ACCOUNTANT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50"/>
        </w:trPr>
        <w:tc>
          <w:tcPr>
            <w:tcW w:w="120" w:type="dxa"/>
            <w:vAlign w:val="bottom"/>
          </w:tcPr>
          <w:p>
            <w:pPr>
              <w:spacing w:after="0"/>
              <w:rPr>
                <w:sz w:val="21"/>
                <w:szCs w:val="21"/>
                <w:color w:val="auto"/>
              </w:rPr>
            </w:pPr>
          </w:p>
        </w:tc>
        <w:tc>
          <w:tcPr>
            <w:tcW w:w="136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ITEM 16G.</w:t>
            </w:r>
          </w:p>
        </w:tc>
        <w:tc>
          <w:tcPr>
            <w:tcW w:w="380" w:type="dxa"/>
            <w:vAlign w:val="bottom"/>
          </w:tcPr>
          <w:p>
            <w:pPr>
              <w:spacing w:after="0"/>
              <w:rPr>
                <w:sz w:val="21"/>
                <w:szCs w:val="21"/>
                <w:color w:val="auto"/>
              </w:rPr>
            </w:pPr>
          </w:p>
        </w:tc>
        <w:tc>
          <w:tcPr>
            <w:tcW w:w="234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CORPORATE GOVERNANCE</w:t>
            </w:r>
          </w:p>
        </w:tc>
        <w:tc>
          <w:tcPr>
            <w:tcW w:w="2340" w:type="dxa"/>
            <w:vAlign w:val="bottom"/>
            <w:tcBorders>
              <w:top w:val="single" w:sz="8" w:color="0000EE"/>
            </w:tcBorders>
            <w:gridSpan w:val="11"/>
          </w:tcPr>
          <w:p>
            <w:pPr>
              <w:spacing w:after="0"/>
              <w:rPr>
                <w:sz w:val="21"/>
                <w:szCs w:val="21"/>
                <w:color w:val="auto"/>
              </w:rPr>
            </w:pPr>
          </w:p>
        </w:tc>
        <w:tc>
          <w:tcPr>
            <w:tcW w:w="3720" w:type="dxa"/>
            <w:vAlign w:val="bottom"/>
            <w:gridSpan w:val="10"/>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50"/>
        </w:trPr>
        <w:tc>
          <w:tcPr>
            <w:tcW w:w="120" w:type="dxa"/>
            <w:vAlign w:val="bottom"/>
          </w:tcPr>
          <w:p>
            <w:pPr>
              <w:spacing w:after="0"/>
              <w:rPr>
                <w:sz w:val="21"/>
                <w:szCs w:val="21"/>
                <w:color w:val="auto"/>
              </w:rPr>
            </w:pPr>
          </w:p>
        </w:tc>
        <w:tc>
          <w:tcPr>
            <w:tcW w:w="136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ITEM 16H.</w:t>
            </w:r>
          </w:p>
        </w:tc>
        <w:tc>
          <w:tcPr>
            <w:tcW w:w="380" w:type="dxa"/>
            <w:vAlign w:val="bottom"/>
          </w:tcPr>
          <w:p>
            <w:pPr>
              <w:spacing w:after="0"/>
              <w:rPr>
                <w:sz w:val="21"/>
                <w:szCs w:val="21"/>
                <w:color w:val="auto"/>
              </w:rPr>
            </w:pPr>
          </w:p>
        </w:tc>
        <w:tc>
          <w:tcPr>
            <w:tcW w:w="23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MINE SAFETY DISCLOSURE</w:t>
            </w:r>
          </w:p>
        </w:tc>
        <w:tc>
          <w:tcPr>
            <w:tcW w:w="6060" w:type="dxa"/>
            <w:vAlign w:val="bottom"/>
            <w:gridSpan w:val="21"/>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50"/>
        </w:trPr>
        <w:tc>
          <w:tcPr>
            <w:tcW w:w="120" w:type="dxa"/>
            <w:vAlign w:val="bottom"/>
          </w:tcPr>
          <w:p>
            <w:pPr>
              <w:spacing w:after="0"/>
              <w:rPr>
                <w:sz w:val="21"/>
                <w:szCs w:val="21"/>
                <w:color w:val="auto"/>
              </w:rPr>
            </w:pPr>
          </w:p>
        </w:tc>
        <w:tc>
          <w:tcPr>
            <w:tcW w:w="136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ITEM 16I.</w:t>
            </w:r>
          </w:p>
        </w:tc>
        <w:tc>
          <w:tcPr>
            <w:tcW w:w="380" w:type="dxa"/>
            <w:vAlign w:val="bottom"/>
          </w:tcPr>
          <w:p>
            <w:pPr>
              <w:spacing w:after="0"/>
              <w:rPr>
                <w:sz w:val="21"/>
                <w:szCs w:val="21"/>
                <w:color w:val="auto"/>
              </w:rPr>
            </w:pPr>
          </w:p>
        </w:tc>
        <w:tc>
          <w:tcPr>
            <w:tcW w:w="696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w w:val="99"/>
              </w:rPr>
              <w:t>DISCLOSURE REGARDING FOREIGN JURISDICTIONS THAT PREVENT INSPECTIONS</w:t>
            </w:r>
          </w:p>
        </w:tc>
        <w:tc>
          <w:tcPr>
            <w:tcW w:w="1440" w:type="dxa"/>
            <w:vAlign w:val="bottom"/>
            <w:gridSpan w:val="3"/>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50"/>
        </w:trPr>
        <w:tc>
          <w:tcPr>
            <w:tcW w:w="120" w:type="dxa"/>
            <w:vAlign w:val="bottom"/>
          </w:tcPr>
          <w:p>
            <w:pPr>
              <w:spacing w:after="0"/>
              <w:rPr>
                <w:sz w:val="21"/>
                <w:szCs w:val="21"/>
                <w:color w:val="auto"/>
              </w:rPr>
            </w:pPr>
          </w:p>
        </w:tc>
        <w:tc>
          <w:tcPr>
            <w:tcW w:w="136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ITEM 16J.</w:t>
            </w:r>
          </w:p>
        </w:tc>
        <w:tc>
          <w:tcPr>
            <w:tcW w:w="380" w:type="dxa"/>
            <w:vAlign w:val="bottom"/>
          </w:tcPr>
          <w:p>
            <w:pPr>
              <w:spacing w:after="0"/>
              <w:rPr>
                <w:sz w:val="21"/>
                <w:szCs w:val="21"/>
                <w:color w:val="auto"/>
              </w:rPr>
            </w:pPr>
          </w:p>
        </w:tc>
        <w:tc>
          <w:tcPr>
            <w:tcW w:w="24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INSIDER TRADING POLICIES</w:t>
            </w:r>
          </w:p>
        </w:tc>
        <w:tc>
          <w:tcPr>
            <w:tcW w:w="6000" w:type="dxa"/>
            <w:vAlign w:val="bottom"/>
            <w:gridSpan w:val="20"/>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50"/>
        </w:trPr>
        <w:tc>
          <w:tcPr>
            <w:tcW w:w="120" w:type="dxa"/>
            <w:vAlign w:val="bottom"/>
          </w:tcPr>
          <w:p>
            <w:pPr>
              <w:spacing w:after="0"/>
              <w:rPr>
                <w:sz w:val="21"/>
                <w:szCs w:val="21"/>
                <w:color w:val="auto"/>
              </w:rPr>
            </w:pPr>
          </w:p>
        </w:tc>
        <w:tc>
          <w:tcPr>
            <w:tcW w:w="136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ITEM 16K.</w:t>
            </w:r>
          </w:p>
        </w:tc>
        <w:tc>
          <w:tcPr>
            <w:tcW w:w="380" w:type="dxa"/>
            <w:vAlign w:val="bottom"/>
          </w:tcPr>
          <w:p>
            <w:pPr>
              <w:spacing w:after="0"/>
              <w:rPr>
                <w:sz w:val="21"/>
                <w:szCs w:val="21"/>
                <w:color w:val="auto"/>
              </w:rPr>
            </w:pPr>
          </w:p>
        </w:tc>
        <w:tc>
          <w:tcPr>
            <w:tcW w:w="84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CYBERSECURITY</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304"/>
        </w:trPr>
        <w:tc>
          <w:tcPr>
            <w:tcW w:w="120" w:type="dxa"/>
            <w:vAlign w:val="bottom"/>
          </w:tcPr>
          <w:p>
            <w:pPr>
              <w:spacing w:after="0"/>
              <w:rPr>
                <w:sz w:val="24"/>
                <w:szCs w:val="24"/>
                <w:color w:val="auto"/>
              </w:rPr>
            </w:pPr>
          </w:p>
        </w:tc>
        <w:tc>
          <w:tcPr>
            <w:tcW w:w="6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3"/>
              </w:rPr>
              <w:t>PART III</w:t>
            </w:r>
          </w:p>
        </w:tc>
        <w:tc>
          <w:tcPr>
            <w:tcW w:w="700" w:type="dxa"/>
            <w:vAlign w:val="bottom"/>
            <w:gridSpan w:val="3"/>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304"/>
        </w:trPr>
        <w:tc>
          <w:tcPr>
            <w:tcW w:w="120" w:type="dxa"/>
            <w:vAlign w:val="bottom"/>
          </w:tcPr>
          <w:p>
            <w:pPr>
              <w:spacing w:after="0"/>
              <w:rPr>
                <w:sz w:val="24"/>
                <w:szCs w:val="24"/>
                <w:color w:val="auto"/>
              </w:rPr>
            </w:pPr>
          </w:p>
        </w:tc>
        <w:tc>
          <w:tcPr>
            <w:tcW w:w="136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ITEM 17.</w:t>
            </w:r>
          </w:p>
        </w:tc>
        <w:tc>
          <w:tcPr>
            <w:tcW w:w="380" w:type="dxa"/>
            <w:vAlign w:val="bottom"/>
          </w:tcPr>
          <w:p>
            <w:pPr>
              <w:spacing w:after="0"/>
              <w:rPr>
                <w:sz w:val="24"/>
                <w:szCs w:val="24"/>
                <w:color w:val="auto"/>
              </w:rPr>
            </w:pPr>
          </w:p>
        </w:tc>
        <w:tc>
          <w:tcPr>
            <w:tcW w:w="21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7"/>
              </w:rPr>
              <w:t>FINANCIAL STATEMENTS</w:t>
            </w:r>
          </w:p>
        </w:tc>
        <w:tc>
          <w:tcPr>
            <w:tcW w:w="6240" w:type="dxa"/>
            <w:vAlign w:val="bottom"/>
            <w:gridSpan w:val="23"/>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50"/>
        </w:trPr>
        <w:tc>
          <w:tcPr>
            <w:tcW w:w="120" w:type="dxa"/>
            <w:vAlign w:val="bottom"/>
          </w:tcPr>
          <w:p>
            <w:pPr>
              <w:spacing w:after="0"/>
              <w:rPr>
                <w:sz w:val="21"/>
                <w:szCs w:val="21"/>
                <w:color w:val="auto"/>
              </w:rPr>
            </w:pPr>
          </w:p>
        </w:tc>
        <w:tc>
          <w:tcPr>
            <w:tcW w:w="136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ITEM 18.</w:t>
            </w:r>
          </w:p>
        </w:tc>
        <w:tc>
          <w:tcPr>
            <w:tcW w:w="380" w:type="dxa"/>
            <w:vAlign w:val="bottom"/>
          </w:tcPr>
          <w:p>
            <w:pPr>
              <w:spacing w:after="0"/>
              <w:rPr>
                <w:sz w:val="21"/>
                <w:szCs w:val="21"/>
                <w:color w:val="auto"/>
              </w:rPr>
            </w:pPr>
          </w:p>
        </w:tc>
        <w:tc>
          <w:tcPr>
            <w:tcW w:w="84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50"/>
        </w:trPr>
        <w:tc>
          <w:tcPr>
            <w:tcW w:w="120" w:type="dxa"/>
            <w:vAlign w:val="bottom"/>
          </w:tcPr>
          <w:p>
            <w:pPr>
              <w:spacing w:after="0"/>
              <w:rPr>
                <w:sz w:val="21"/>
                <w:szCs w:val="21"/>
                <w:color w:val="auto"/>
              </w:rPr>
            </w:pPr>
          </w:p>
        </w:tc>
        <w:tc>
          <w:tcPr>
            <w:tcW w:w="136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ITEM 19.</w:t>
            </w:r>
          </w:p>
        </w:tc>
        <w:tc>
          <w:tcPr>
            <w:tcW w:w="380" w:type="dxa"/>
            <w:vAlign w:val="bottom"/>
          </w:tcPr>
          <w:p>
            <w:pPr>
              <w:spacing w:after="0"/>
              <w:rPr>
                <w:sz w:val="21"/>
                <w:szCs w:val="21"/>
                <w:color w:val="auto"/>
              </w:rPr>
            </w:pPr>
          </w:p>
        </w:tc>
        <w:tc>
          <w:tcPr>
            <w:tcW w:w="214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EXHIBITS</w:t>
            </w:r>
          </w:p>
        </w:tc>
        <w:tc>
          <w:tcPr>
            <w:tcW w:w="6260" w:type="dxa"/>
            <w:vAlign w:val="bottom"/>
            <w:gridSpan w:val="24"/>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304"/>
        </w:trPr>
        <w:tc>
          <w:tcPr>
            <w:tcW w:w="12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38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385"/>
        </w:trPr>
        <w:tc>
          <w:tcPr>
            <w:tcW w:w="12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0" w:type="dxa"/>
            <w:vAlign w:val="bottom"/>
            <w:gridSpan w:val="15"/>
          </w:tcPr>
          <w:p>
            <w:pPr>
              <w:jc w:val="center"/>
              <w:ind w:right="4280"/>
              <w:spacing w:after="0"/>
              <w:rPr>
                <w:sz w:val="20"/>
                <w:szCs w:val="20"/>
                <w:color w:val="auto"/>
              </w:rPr>
            </w:pPr>
            <w:r>
              <w:rPr>
                <w:rFonts w:ascii="Times New Roman" w:cs="Times New Roman" w:eastAsia="Times New Roman" w:hAnsi="Times New Roman"/>
                <w:sz w:val="18"/>
                <w:szCs w:val="18"/>
                <w:color w:val="auto"/>
                <w:w w:val="78"/>
              </w:rPr>
              <w:t>i</w:t>
            </w:r>
          </w:p>
        </w:tc>
        <w:tc>
          <w:tcPr>
            <w:tcW w:w="8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73"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 otherwise indicated and except where the context otherwise requires, references in this annual report to:</w:t>
      </w:r>
    </w:p>
    <w:p>
      <w:pPr>
        <w:spacing w:after="0" w:line="131"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“ADAS” are to advanced driver-assistance system;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“ADRs” are to the American depositary receipts that may evidence the ADSs;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are to the American depositary shares, each of which represents three Class A ordinary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are to the Class A ordinary shares of WeRide Inc., par value US$0.00001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are to the Class B ordinary shares of WeRide Inc., par value US$0.00001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“commercialization revenue” are to revenue generated from products and services which have been commercially deployed;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“CSRC” are to China Securities Regulatory Commission;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“GNSS” are to global navigation satellite system;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 are to integrated development environment;</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are to International Financial Reporting Standards Accounting Standards as issued by the International Accounting Standards Board;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“IMU” are to inertial measurement unit;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“LiDAR” are to light detection and ranging;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“OEM” are to original equipment manufacturer;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are to the Class A ordinary shares and Class B ordinary shares of WeRide Inc., par value US$0.00001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WFOE” or “the WFOE” are to Guangzhou Wenyuan Zhixing Technology Co., Ltd.;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“PCAOB” are to The United States Public Company Accounting Oversight Board;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and “Renminbi” are to the legal currency of mainland China;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are to research and development;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“Guangzhou Jingqi” are to Guangzhou Jingqi Technology Ltd.;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“U.S. dollars,” “$,” and “dollars” are to the legal currency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line="289" w:lineRule="auto"/>
        <w:tabs>
          <w:tab w:leader="none" w:pos="10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“us,” “our company” and “our” are to WeRide Inc., our Cayman Islands holding company and its subsidiaries, including WeRide, and “WeRide” are to Guangzhou Wenyuan Zhixing Technology Co., Ltd. and its subsidiaries in mainland China. Unless otherwise specified, in the context of describing business and operations, we are referring to the business and operations conducted by WeRide; and</w:t>
      </w:r>
    </w:p>
    <w:p>
      <w:pPr>
        <w:spacing w:after="0" w:line="63"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“Yutong” are to Zhengzhou Yutong Group Co., Ltd. and its affiliates.</w:t>
      </w:r>
    </w:p>
    <w:p>
      <w:pPr>
        <w:spacing w:after="0" w:line="1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80"/>
          </w:cols>
          <w:pgMar w:left="320" w:top="482" w:right="5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reporting currency is Renminbi. This annual report also contains translations of certain foreign currency amounts into U.S. dollars for the convenience of the reader. Unless otherwise stated, all translations from Renminbi into U.S. dollars are made at the rate at RMB7.2993 to US$1.00, the exchange rate in effect as of December 31, 2024 as set forth in the H.10 statistical release of the Board of Governors of the Federal Reserve System. We make no representation that any RMB or U.S. dollar amounts referred to in this annual report could have been or could be converted into U.S. dollars or RMB, as the case may be, at any particular rate, or at all.</w:t>
      </w:r>
    </w:p>
    <w:p>
      <w:pPr>
        <w:spacing w:after="0" w:line="183"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Due to rounding, numbers presented throughout this annual report may not add up precisely to the totals provided and percentages may not precisely reflect the absolute figures.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60"/>
          </w:cols>
          <w:pgMar w:left="320" w:top="482" w:right="5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29"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This annual report contains forward-looking statements that reflect our current expectations and views of future events. All statements other than statements of current or historical facts are forward-looking statements. These forward-looking statements are made under the “safe harbor” provisions of the U.S. Private Securities Litigations Reform Act of 1995. These statements involve known and unknown risks, uncertainties and other factors that may cause our actual results, performance or achievements to be materially different from those expressed or implied by the forward-looking statements.</w:t>
      </w:r>
    </w:p>
    <w:p>
      <w:pPr>
        <w:spacing w:after="0" w:line="164"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but are not limited to, statements relating to:</w:t>
      </w:r>
    </w:p>
    <w:p>
      <w:pPr>
        <w:spacing w:after="0" w:line="85"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mission, goals and strategies;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changes in our revenues, expenses or expenditures;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of the autonomous driving market in China and globally;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and market acceptance of our products and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and enhance our autonomous driving technology and offer quality products and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policies and regulations relating to our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 China and globally;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or administrative proceedings;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or related to any of the foregoing.</w:t>
      </w:r>
    </w:p>
    <w:p>
      <w:pPr>
        <w:spacing w:after="0" w:line="22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You should read this annual report and the documents that we refer to in this annual report with the understanding that our actual future results may be materially different from and worse than what we expect. Other sections of this annual report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8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undertake no obligation to update or revise any forward-looking statements, whether as a result of new information, future events or otherwise.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82"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ectPr>
          <w:pgSz w:w="11900" w:h="16838" w:orient="portrait"/>
          <w:cols w:equalWidth="0" w:num="1">
            <w:col w:w="11120"/>
          </w:cols>
          <w:pgMar w:left="320" w:top="482"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1.</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IDENTITY OF DIRECTORS, SENIOR MANAGEMENT AND ADVISERS</w:t>
      </w:r>
    </w:p>
    <w:p>
      <w:pPr>
        <w:spacing w:after="0" w:line="200" w:lineRule="exact"/>
        <w:rPr>
          <w:sz w:val="20"/>
          <w:szCs w:val="20"/>
          <w:color w:val="auto"/>
        </w:rPr>
      </w:pPr>
    </w:p>
    <w:p>
      <w:pPr>
        <w:sectPr>
          <w:pgSz w:w="11900" w:h="16838" w:orient="portrait"/>
          <w:cols w:equalWidth="0" w:num="2">
            <w:col w:w="760" w:space="440"/>
            <w:col w:w="9920"/>
          </w:cols>
          <w:pgMar w:left="320" w:top="482" w:right="459" w:bottom="1440" w:gutter="0" w:footer="0" w:header="0"/>
          <w:type w:val="continuous"/>
        </w:sectPr>
      </w:pPr>
    </w:p>
    <w:p>
      <w:pPr>
        <w:spacing w:after="0" w:line="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120"/>
          </w:cols>
          <w:pgMar w:left="320" w:top="482" w:right="459" w:bottom="1440" w:gutter="0" w:footer="0" w:header="0"/>
          <w:type w:val="continuous"/>
        </w:sectPr>
      </w:pPr>
    </w:p>
    <w:p>
      <w:pPr>
        <w:spacing w:after="0" w:line="2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OFFER STATISTICS AND EXPECTED TIMETABLE</w:t>
      </w:r>
    </w:p>
    <w:p>
      <w:pPr>
        <w:spacing w:after="0" w:line="200" w:lineRule="exact"/>
        <w:rPr>
          <w:sz w:val="20"/>
          <w:szCs w:val="20"/>
          <w:color w:val="auto"/>
        </w:rPr>
      </w:pPr>
    </w:p>
    <w:p>
      <w:pPr>
        <w:sectPr>
          <w:pgSz w:w="11900" w:h="16838" w:orient="portrait"/>
          <w:cols w:equalWidth="0" w:num="2">
            <w:col w:w="760" w:space="440"/>
            <w:col w:w="9920"/>
          </w:cols>
          <w:pgMar w:left="320" w:top="482" w:right="459" w:bottom="1440" w:gutter="0" w:footer="0" w:header="0"/>
          <w:type w:val="continuous"/>
        </w:sectPr>
      </w:pPr>
    </w:p>
    <w:p>
      <w:pPr>
        <w:spacing w:after="0" w:line="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KEY INFORMATION</w:t>
      </w:r>
    </w:p>
    <w:p>
      <w:pPr>
        <w:sectPr>
          <w:pgSz w:w="11900" w:h="16838" w:orient="portrait"/>
          <w:cols w:equalWidth="0" w:num="1">
            <w:col w:w="11120"/>
          </w:cols>
          <w:pgMar w:left="320" w:top="482" w:right="459" w:bottom="1440" w:gutter="0" w:footer="0" w:header="0"/>
          <w:type w:val="continuous"/>
        </w:sectPr>
      </w:pP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Holding Company Structure and Risks Related to Doing Business in Mainland China</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WeRide Inc. is not an operating company in China, but a Cayman Islands holding company with operations mainly conducted by its subsidiaries in mainland China. As used in this annual report, “we,” “us,” “our company,” “the Company” or “our” refers to WeRide Inc., our Cayman Islands holding company, and its subsidiaries.</w:t>
      </w:r>
    </w:p>
    <w:p>
      <w:pPr>
        <w:spacing w:after="0" w:line="176"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We face various legal and operational risks and uncertainties associated with being based in or having our operations primarily in mainland China and the complex and evolving PRC laws and regulations. For example, we face risks associated with the fact that the PRC government has significant authority in regulating our operations and may influence or intervene in our operations at any time, regulatory approvals on offerings conducted overseas by, and foreign investment in, China-based issuers, anti-monopoly regulatory actions, and oversight on data security. These risks could result in a material adverse change in our operations and the value of our ADSs, significantly limit or completely hinder our ability to offer or continue to offer securities to investors, or cause the value of such securities to significantly decline or become of little or no value. For a detailed description of risks related to doing business in mainland China, see “Item 3. Key Information—D. Risk Factors—Risks Related to Doing Business in mainland China.”</w:t>
      </w:r>
    </w:p>
    <w:p>
      <w:pPr>
        <w:spacing w:after="0" w:line="171"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PRC government’s significant authority in regulating our operations and its oversight and control over offerings conducted overseas by, and foreign investment in, China-based issuers, could significantly limit or completely hinder our ability to offer or continue to offer securities to investors. Implementation of industry-wide regulations in this nature may cause the value of such securities to significantly decline or become of little or no value. For more details, see “Item 3. Key Information—D. Risk Factors—Risks Related to Doing Business in mainland China—The PRC government’s significant oversight and discretion over our business operation could result in a material adverse change in our operations and the value of our ADSs.”</w:t>
      </w:r>
    </w:p>
    <w:p>
      <w:pPr>
        <w:spacing w:after="0" w:line="168" w:lineRule="exact"/>
        <w:rPr>
          <w:sz w:val="20"/>
          <w:szCs w:val="20"/>
          <w:color w:val="auto"/>
        </w:rPr>
      </w:pPr>
    </w:p>
    <w:p>
      <w:pPr>
        <w:ind w:left="120" w:right="140" w:firstLine="440"/>
        <w:spacing w:after="0" w:line="277" w:lineRule="auto"/>
        <w:rPr>
          <w:sz w:val="20"/>
          <w:szCs w:val="20"/>
          <w:color w:val="auto"/>
        </w:rPr>
      </w:pPr>
      <w:r>
        <w:rPr>
          <w:rFonts w:ascii="Times New Roman" w:cs="Times New Roman" w:eastAsia="Times New Roman" w:hAnsi="Times New Roman"/>
          <w:sz w:val="17"/>
          <w:szCs w:val="17"/>
          <w:color w:val="auto"/>
        </w:rPr>
        <w:t>Risks and uncertainties arising from the legal system in mainland China, including risks and uncertainties regarding the enforcement of laws and quickly evolving rules and regulations in China, which may also exist in other jurisdictions, could result in a material adverse change in our operations and the value of our ADSs. For more details, see “Item 3. Key Information—D. Risk Factors—Risks Related to Doing Business in mainland China— There may be changes from time to time in the interpretation and application of the laws of mainland China, and any failure to comply with laws and regulations could have a material adverse effect on our business, results of operations, financial condition and the value of our ADSs.”</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Permissions Required from the PRC Authorities for Our Operations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We conduct our business primarily through our subsidiaries in mainland China. Our operations in mainland China are governed by PRC laws and regulations. As of the date of this annual report, as advised by Commerce &amp; Finance Law Offices, we have obtained all of the requisite licenses and permits from the PRC government authorities that are material for our business operations, including, among others, a license for ride hailing operations for the </w:t>
      </w:r>
      <w:r>
        <w:rPr>
          <w:rFonts w:ascii="Times New Roman" w:cs="Times New Roman" w:eastAsia="Times New Roman" w:hAnsi="Times New Roman"/>
          <w:sz w:val="18"/>
          <w:szCs w:val="18"/>
          <w:i w:val="1"/>
          <w:iCs w:val="1"/>
          <w:color w:val="auto"/>
        </w:rPr>
        <w:t>WeRide Go</w:t>
      </w:r>
      <w:r>
        <w:rPr>
          <w:rFonts w:ascii="Times New Roman" w:cs="Times New Roman" w:eastAsia="Times New Roman" w:hAnsi="Times New Roman"/>
          <w:sz w:val="18"/>
          <w:szCs w:val="18"/>
          <w:color w:val="auto"/>
        </w:rPr>
        <w:t xml:space="preserve"> app, four urban solid waste licenses and several road testing permits held by our mainland China subsidiaries. However, we may be required to obtain additional licenses, permits, filings or approvals for our products and services in the future. If (i) we fail to obtain, maintain or renew the relevant licenses, permits, filings or approvals, (ii) we inadvertently conclude that such licenses, permits, filings or approvals are not required, while they actually are required, or (iii) we are required to obtain the relevant approval or complete other filing procedures as a result of changes of applicable laws, regulations or interpretations thereof but fail to do so, as the case may be, the competent PRC government authorities may have the power to, among other things, levy fines, confiscate our income, revoke our licenses, and require us to discontinue our relevant business or impose restrictions on the affected portion of our business. Any of these actions by government authorities may have a material and adverse effect on our business, financial condition, results of operations, reputation and prospects, as well as the trading price of our ADSs. See “Item 3. Key Information—Risk Factors—Risks Related to Our Business and Industry—Any lack of requisite approvals, licenses or permits applicable to our business operation may have a material and adverse impact on our business and results of operations.”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82" w:right="4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Permissions Required from the PRC Authorities for Overseas Securities Offerings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December 28, 2021, the Cyberspace Administration of China, or the CAC, together with certain other PRC governmental authorities, jointly released the Revised Cybersecurity Review Measures, which took effect on February 15, 2022. Pursuant to the Revised Cybersecurity Review Measures, (i) operators of critical information infrastructure that intend to purchase network products and services and online platform operators that conduct data processing activities, in each case that affect or may affect national security, and (ii) operators of network platforms seeking listing abroad that are in possession of more than one million users’ personal information must apply for a cybersecurity review. The Revised Cybersecurity Review Measures set out certain general factors which would be the focus in assessing the national security risk during a cybersecurity review, including without limitation, risks of influence, control or malicious use of critical information infrastructure, core data, important data or large amounts of personal information by foreign governments in relation to a listing abroad. If we are required to go through a cybersecurity review, we face uncertainties as to whether we will be able to timely complete the review, or at all, which may subject us to government enforcement actions and investigations, fines, penalties, suspension of our non-compliant operations, and materially and adversely affect our business and results of operations.</w:t>
      </w:r>
    </w:p>
    <w:p>
      <w:pPr>
        <w:spacing w:after="0" w:line="19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As of the date of this annual report, we are not in possession of more than one million users’ personal information. However, if we plan to list our securities on other foreign exchanges in the future, and if by that time the amount of users’ personal information we possess exceeds one million, we will be obligated to apply for a cybersecurity review. For detailed information, see “Item 3. Key Information—D. Risk Factors—Risks Related to Our Business and Industry—Our business generates and processes a large amount of data, and we are required to comply with PRC and other applicable laws relating to privacy and cybersecurity. The improper use or disclosure of data or failure to comply with applicable laws and regulations could have a material and adverse effect on our business and prospects.”</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On February 17, 2023, the CSRC, as approved by the State Council, released the Trial Administrative Measures of Overseas Securities Offering and Listing by Domestic Companies and five supporting guidelines, or the Filing Rules. The Filing Rules took effect on March 31, 2023, when the CSRC started to accept filing applications. Under the Filing Rules, a filing-based regulatory system will apply to “indirect overseas offering and listing” of PRC domestic enterprises, which refers to such securities offering and listing in an overseas market made by an offshore entity based on the underlying equity, assets, earnings or other similar rights of a domestic enterprise which operates its main business domestically in mainland China. The Filing Rules apply to all overseas equity financing and listing activities of PRC domestic enterprises, including initial and follow-on offerings of shares, depository receipts, convertible corporate bonds, or other equity instruments and trading of securities in overseas market.</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completed the required filings with the CSRC for our initial public offering in accordance with the requirements under the Filing Rules, and the CSRC has concluded the filing procedure and published the filing results on the CSRC website on October 17, 2024. However, any future capital raising activities such as follow-on equity or debt offerings, listing on other stock exchanges and going private transactions, may also be subject to the filing requirement with the CSRC. Failure to complete such filing procedures as required under the Filing Rules, or a rescission of any such filings completed by us, would subject us to sanctions by the CSRC or other PRC regulatory authorities, which could include fines and penalties on our operations in mainland China, and other forms of sanctions that may materially and adversely affect our business, financial condition and results of operations. For detailed information, see “Item 3. Key Information—D. Risk Factors—Risks Related to Doing Business in mainland China—We may be required to complete filing procedures with the China Securities Regulatory Commission in connection with our future offerings. We cannot predict whether we will be able to complete such filing on a timely manner, or at all.”</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82"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Holding Foreign Companies Accountable Act</w:t>
      </w:r>
    </w:p>
    <w:p>
      <w:pPr>
        <w:spacing w:after="0" w:line="12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Pursuant to the Holding Foreign Companies Accountable Act, which was enacted on December 18, 2020 and further amended by the Consolidated Appropriations Act, 2023, signed into law on December 29, 2022, or the HFCAA, if the SEC determines that we have filed audit reports issued by a registered public accounting firm that has not been subject to inspections by the Public Company Accounting Oversight Board, or the PCAOB, for two consecutive years, the SEC will prohibit our shares or the ADSs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mainland China and Hong Kong, including our auditor. On December 15, 2022, the PCAOB issued a report that vacated its December 16, 2021 determination and removed mainland China and Hong Kong from the list of jurisdictions where it is unable to inspect or investigate completely registered public accounting firms. 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continue to use an accounting firm headquartered in one of these jurisdictions to issue an audit report on our financial statements filed with the Securities and Exchange Commission, we would be identified as a Commission-Identified Issuer following the filing of the annual report on Form</w:t>
      </w:r>
    </w:p>
    <w:p>
      <w:pPr>
        <w:spacing w:after="0" w:line="2"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20-F for the relevant fiscal year. There can be no assurance that we would not be identified as a Commission-Identified Issuer for any future fiscal year, and if we were so identified for two consecutive years, we would become subject to the prohibition on trading under the HFCAA. See “Item 3. Key Information—D. Risk Factors—Risks Related to Our Business and Industry—The PCAOB had historically been unable to inspect our auditor in relation to their audit work” and “Item 3. Key Information—D. Risk Factors—Risks Related to Our Business and Industry—Our ADSs may be prohibited from trading in the United States under the HFCAA in the future if the PCAOB is unable to inspect or investigate completely auditors located in China. The delisting or prohibited from trading of the ADSs, or the threat of their being delisted or prohibited from trading, may materially and adversely affect the value of your investment.”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Flows through Our Organization</w:t>
      </w:r>
    </w:p>
    <w:p>
      <w:pPr>
        <w:spacing w:after="0" w:line="12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WeRide Inc., our Cayman Islands holding company may transfer cash to WeRide HongKong Limited, the wholly-owned Hong Kong subsidiary of WeRide Inc., by making capital contributions or providing intra-group loans. WeRide HongKong Limited, in turn, may transfer cash to its wholly-owned subsidiary in mainland China by making capital contributions or providing intra-group loans to them. Our subsidiaries may also provide intra-group loans to WeRide Inc. If our existing PRC subsidiaries or any newly formed ones incur debt on their own behalf in the future, the instruments governing their debt may restrict their ability to pay dividends to WeRide HongKong Limited. In addition, our wholly foreign-owned subsidiaries in China are permitted to pay dividends to WeRide HongKong Limited only out of its retained earnings, if any, as determined in accordance with PRC accounting standards and regulations. Under the PRC Company Law, each of our PRC subsidiary is required to set aside at least 10% of its after-tax profit each year, if any, to fund certain statutory reserve funds until such reserve funds reach 50% of their registered capital. In addition, our wholly foreign-owned subsidiaries in China may allocate a portion of their after-tax profits based on PRC accounting standards to enterprise expansion funds, staff bonus and welfare funds at their discretion, and their subsidiaries may allocate a portion of their after-tax profits based on PRC accounting standards to a surplus fund at their discretion. The statutory reserve funds and the discretionary funds are not distributable as cash dividends. Remittance of dividends by a wholly foreign-owned company out of China is subject to examination by the banks designated by SAFE. Upon satisfaction of the aforementioned statutory conditions and procedures, if our wholly-owned subsidiaries in mainland China generate accumulated profits and meet the requirements for statutory reserve funds, they may pay dividends or distribute earnings to WeRide HongKong Limited. WeRide HongKong Limited, in turn, may transfer cash to WeRide Inc. through dividends or other distributions. With necessary funds, WeRide Inc. may pay dividends or make other distributions to U.S. investors and service any debt it may have incurred outside of mainland China. As of the date of this annual report, our wholly-owned subsidiaries in mainland China have not paid any dividends to WeRide HongKong Limited or other entities outside of mainland China.</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82"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We have established stringent controls and procedures for monitoring cash flows within our organization. The cash of our group is under the unified management of our finance department. Each cash requirement, after raised by the business department of an operating entity, is required to go through a two-to-five-level review process, depending on the relevant business department making such request and the amount of cash involved. A single employee is not permitted to complete all requisite reviews of a cash transfer, but rather only portions of the whole procedure. For special cash requirements that are out of the ordinary course of our business, additional review may be required to ensure the cash transfer is compliant with our internal policies and procedures. After such cash requirement is approved by the responsible persons in the finance department, the treasury department makes the cash transfer to the relevant operating entities. We strictly follow the foregoing controls and procedures to ensure that each transfer of cash among our Cayman Islands holding company and our subsidiaries is subject to internal approval. To date, we have not had any difficulty in transferring cash among our Cayman Islands holding company and our subsidiaries. In the future, we plan to continue to transfer cash within our organization based on the working capital needs of each operating entity within our organization.</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amount of the transfers for the periods presented.</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220" w:type="dxa"/>
            <w:vAlign w:val="bottom"/>
          </w:tcPr>
          <w:p>
            <w:pPr>
              <w:spacing w:after="0"/>
              <w:rPr>
                <w:sz w:val="15"/>
                <w:szCs w:val="15"/>
                <w:color w:val="auto"/>
              </w:rPr>
            </w:pPr>
          </w:p>
        </w:tc>
        <w:tc>
          <w:tcPr>
            <w:tcW w:w="18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9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r>
              <w:rPr>
                <w:rFonts w:ascii="Times New Roman" w:cs="Times New Roman" w:eastAsia="Times New Roman" w:hAnsi="Times New Roman"/>
                <w:sz w:val="10"/>
                <w:szCs w:val="10"/>
                <w:b w:val="1"/>
                <w:bCs w:val="1"/>
                <w:color w:val="auto"/>
              </w:rPr>
              <w:t>(2)</w:t>
            </w:r>
          </w:p>
        </w:tc>
        <w:tc>
          <w:tcPr>
            <w:tcW w:w="60" w:type="dxa"/>
            <w:vAlign w:val="bottom"/>
          </w:tcPr>
          <w:p>
            <w:pPr>
              <w:spacing w:after="0"/>
              <w:rPr>
                <w:sz w:val="12"/>
                <w:szCs w:val="12"/>
                <w:color w:val="auto"/>
              </w:rPr>
            </w:pPr>
          </w:p>
        </w:tc>
      </w:tr>
      <w:tr>
        <w:trPr>
          <w:trHeight w:val="142"/>
        </w:trPr>
        <w:tc>
          <w:tcPr>
            <w:tcW w:w="9220" w:type="dxa"/>
            <w:vAlign w:val="bottom"/>
          </w:tcPr>
          <w:p>
            <w:pPr>
              <w:spacing w:after="0"/>
              <w:rPr>
                <w:sz w:val="12"/>
                <w:szCs w:val="12"/>
                <w:color w:val="auto"/>
              </w:rPr>
            </w:pPr>
          </w:p>
        </w:tc>
        <w:tc>
          <w:tcPr>
            <w:tcW w:w="1740" w:type="dxa"/>
            <w:vAlign w:val="bottom"/>
            <w:gridSpan w:val="2"/>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(RMB in thousands)</w:t>
            </w:r>
          </w:p>
        </w:tc>
        <w:tc>
          <w:tcPr>
            <w:tcW w:w="60" w:type="dxa"/>
            <w:vAlign w:val="bottom"/>
          </w:tcPr>
          <w:p>
            <w:pPr>
              <w:spacing w:after="0"/>
              <w:rPr>
                <w:sz w:val="12"/>
                <w:szCs w:val="12"/>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from WeRide Inc. to subsidiaries</w:t>
            </w:r>
          </w:p>
        </w:tc>
        <w:tc>
          <w:tcPr>
            <w:tcW w:w="9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2,836,263</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2,362,772</w:t>
            </w:r>
          </w:p>
        </w:tc>
      </w:tr>
      <w:tr>
        <w:trPr>
          <w:trHeight w:val="216"/>
        </w:trPr>
        <w:tc>
          <w:tcPr>
            <w:tcW w:w="92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Repayment from subsidiaries to WeRide Inc.</w:t>
            </w:r>
            <w:r>
              <w:rPr>
                <w:rFonts w:ascii="Times New Roman" w:cs="Times New Roman" w:eastAsia="Times New Roman" w:hAnsi="Times New Roman"/>
                <w:sz w:val="25"/>
                <w:szCs w:val="25"/>
                <w:color w:val="auto"/>
                <w:vertAlign w:val="superscript"/>
              </w:rPr>
              <w:t>(1)</w:t>
            </w:r>
          </w:p>
        </w:tc>
        <w:tc>
          <w:tcPr>
            <w:tcW w:w="9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708,391</w:t>
            </w: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contributions from HK subsidiary to mainland China subsidiaries</w:t>
            </w:r>
          </w:p>
        </w:tc>
        <w:tc>
          <w:tcPr>
            <w:tcW w:w="9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518,406</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986,020</w:t>
            </w: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Amounts paid by Guangzhou Jingqi and its subsidiaries to WFOE under intra-group transactions</w:t>
            </w: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61,821</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1,595</w:t>
            </w: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paid by WFOE to Guangzhou Jingqi and its subsidiaries under intra-group transactions</w:t>
            </w:r>
          </w:p>
        </w:tc>
        <w:tc>
          <w:tcPr>
            <w:tcW w:w="9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129,631</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162,044</w:t>
            </w: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Loans from WFOE to Guangzhou Jingqi and its subsidiaries</w:t>
            </w: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195,100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251,142</w:t>
            </w: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from Guangzhou Jingqi and its subsidiaries to WFOE</w:t>
            </w:r>
          </w:p>
        </w:tc>
        <w:tc>
          <w:tcPr>
            <w:tcW w:w="9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10,028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45,544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w:t>
      </w:r>
    </w:p>
    <w:p>
      <w:pPr>
        <w:spacing w:after="0" w:line="131" w:lineRule="exact"/>
        <w:rPr>
          <w:sz w:val="20"/>
          <w:szCs w:val="20"/>
          <w:color w:val="auto"/>
        </w:rPr>
      </w:pPr>
    </w:p>
    <w:p>
      <w:pPr>
        <w:ind w:left="540" w:hanging="424"/>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WeRide Corp., our subsidiary in the United States, was the only subsidiary that provided repayment in 2023.</w:t>
      </w:r>
    </w:p>
    <w:p>
      <w:pPr>
        <w:spacing w:after="0" w:line="27" w:lineRule="exact"/>
        <w:rPr>
          <w:rFonts w:ascii="Times New Roman" w:cs="Times New Roman" w:eastAsia="Times New Roman" w:hAnsi="Times New Roman"/>
          <w:sz w:val="18"/>
          <w:szCs w:val="18"/>
          <w:color w:val="auto"/>
        </w:rPr>
      </w:pPr>
    </w:p>
    <w:p>
      <w:pPr>
        <w:ind w:left="540" w:right="180" w:hanging="424"/>
        <w:spacing w:after="0" w:line="260"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21, 2023, we completed the unwinding of the VIE structure by terminating the contractual arrangements and acquiring the VIE as our wholly-owned subsidiary.</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year ended December 31, 2024, we provided loans to our subsidiaries totaling RMB3,574.5 million; our subsidiaries repaid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RMB242.8 million to us, and our Hong Kong subsidiary contributed capital of RMB1,434.7 million to our mainland China subsidiaries. For the years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ended December 31, 2022, 2023 and 2024 no assets other than cash were transferred between the Cayman Islands holding company and its subsidiaries.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the date of this annual report, no subsidiary has paid dividends or made other distributions to the Cayman Islands holding company, and no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dividends or distributions have been paid or made to U.S. investors. We currently intend to retain most, if not all, of our available funds and any future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earnings to operate and expand our business. See “Item 8. Financial Information—A. Consolidated Statements and Other Financial Information—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Dividend Policy.”</w:t>
      </w:r>
    </w:p>
    <w:p>
      <w:pPr>
        <w:spacing w:after="0" w:line="207"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7"/>
          <w:szCs w:val="17"/>
          <w:color w:val="auto"/>
        </w:rPr>
        <w:t>In light of our holding company structure as well as our substantive operation in mainland China, our ability to pay dividends to the shareholders, including the investors in the ADSs, and to service any debt we may incur, may highly depend upon dividends paid by our WFOE to us, despite that we may obtain financing at the Cayman Islands holding company level through other methods. However, under PRC laws and regulations, our mainland China subsidiaries are subject to certain restrictions with respect to paying dividends or otherwise transferring any of their net assets to us and the investors in the ADS. Remittance of dividends by a wholly foreign-owned enterprise out of mainland China is also subject to examination by the banks designated by SAFE. The amounts restricted, which represents the paid-in capital and additional paid-in capital of our WFOE, Guangzhou Jingqi and its subsidiaries, totaled RMB1,647.2 million, RMB2,352.2 million and RMB3,989.2 million (US$546.5 million) as of December 31, 2022, 2023 and 2024, respectively. Furthermore, cash transfers from our mainland China subsidiaries to entities outside of mainland China are subject to PRC government control of currency conversion. Shortages in the availability of foreign currency may temporarily delay the ability of our mainland China subsidiaries to remit sufficient foreign currency to pay dividends or other payments to us, or otherwise satisfy their foreign currency denominated obligations. For risks relating to the fund flows of our operations in mainland China, see “Item 3. Key Information—D. Risk Factors—Risks Related to Doing Business in Mainland China—We may rely on dividends and other distributions on equity paid by our mainland China subsidiaries to fund any cash and financing requirements we may have, and any limitation on the ability of our mainland China subsidiaries to make payments to us could have a material and adverse effect on our ability to conduct our business,” and “Item 3. Key Information— D. Risk Factors—Risks Related to Doing Business in Mainland China—PRC regulations of loans to and direct investment in PRC entities by offshore holding companies and governmental control of currency conversion may delay or prevent us from using the proceeds of our offshore offerings to make loans or additional capital contributions to our mainland China subsidiaries, which could materially and adversely affect our liquidity and our ability to fund and expand our business.”</w:t>
      </w:r>
    </w:p>
    <w:p>
      <w:pPr>
        <w:spacing w:after="0" w:line="1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82"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For the Cayman Islands, PRC and U.S. federal income tax considerations applicable to an investment in our securities, see “Item 10. Additional Information—E. Taxation.” If any dividend is paid by our mainland China subsidiaries to us in the future, under the PRC Enterprise Income Tax Law, or the EIT Law, and its implementation rules, dividends from our PRC subsidiaries to its non-PRC shareholders may be subject to a 10% withholding tax if such dividends are derived from profits. If WeRide Inc. or our offshore subsidiaries are deemed to be a PRC resident enterprise (we do not currently consider WeRide Inc. or our offshore subsidiaries to be PRC resident enterprises), the withholding tax may be exempted, but WeRide Inc. or our offshore subsidiaries will be subject to a 25% tax on our worldwide income, and our non-PRC enterprise investors may be subject to PRC income tax withholding at a rate of 10%.</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VIE Consolidation Schedule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had historically relied on contractual arrangements among our WFOE, Guangzhou Jingqi, or the VIE, and the former shareholders of the VIE to direct the business operations of the VIE. On March 21, 2023, we completed the unwinding of the VIE structure by terminating the contractual arrangements and acquiring the VIE as our wholly-owned subsidiary. We do not believe that a VIE structure is necessary for our operations under PRC laws and regulations.</w:t>
      </w:r>
    </w:p>
    <w:p>
      <w:pPr>
        <w:spacing w:after="0" w:line="180"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We terminated the VIE primarily due to economic reasons and the increased regulatory scrutiny over VIE structure. Before the unwinding of the VIE structure, the VIE historically held an ICP License and a surveying and mapping certificate, both of which are subject to foreign investment restrictions. The VIE obtained the ICP License because we believed that an ICP license might be required for our online ride-hailing platform. However, as subsequently confirmed with the relevant authorities, if the online ride-hailing platform only engages in the publication of information related to online ride-hailing, it does not need an ICP license. Maintaining the ICP License incurs incremental costs without bringing any material benefits. As a result, the VIE completed the deregistration of the ICP License. While the VIE historically conducted our surveying and mapping business, we have since been cooperating with Guangzhou Yuji Technology Co., Ltd., or Guangzhou Yuji, a service provider that possesses a navigation electronic map production and surveying license, for such functions. Based on our communications with investors, we believe that investors may prefer a simpler corporate structure that does not involve a VIE. Compared to relying on the VIE structure, our cooperation with Guangzhou Yuji for surveying and mapping presents better corporate governance, involves less burdensome disclosure requirements, and is more accepted by the investor community.</w:t>
      </w:r>
    </w:p>
    <w:p>
      <w:pPr>
        <w:spacing w:after="0" w:line="17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Guangzhou Yuji is a related party in which a substantial interest in the voting power is owned by a sibling of Dr. Tony Xu Han, our chairman and chief executive officer. On February 28, 2022, we, through Guangzhou Jingqi, entered into a Framework Agreement for the Procurement and Services of High-definition Maps with Guangzhou Yuji, pursuant to which Guangzhou Yuji provides us with the high definition maps to be used by our autonomous vehicles in China based on our requirements. The initial term of the agreement was set for one year, with the option to renew upon mutual consent. The agreement has since been renewed and is currently valid until December 31, 2025. We make quarterly service fee payments to Guangzhou Yuji under the agreement. Both parties are subject to a strict confidentiality clause under the Framework Agreement for the Procurement and Services of High-definition Maps. On October 8, 2022, we entered into a Data Service Framework Agreement with Guangzhou Yuji through our WFOE to further expand our cooperation scope with Guangzhou Yuji. Pursuant to the Data Service Framework Agreement, Guangzhou Yuji provides data collection, labeling and compliance services to our WFOE with an indefinite term. Specifically, Guangzhou Yuji provides services for the collection, storage, transmission and labelling of the surveying and mapping data used by our autonomous vehicles in China pursuant to the requirement of relevant PRC laws. Our WFOE pays Guangzhou Yuji for the services provided on a monthly basis. Both parties are subject to a strict confidentiality clause under the Data Service Framework Agreement.</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82"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Foreign Investment Law grants national treatment to foreign-invested entities, except for those foreign invested entities that operate in industries specified as either “restricted” or “prohibited” from foreign investment in the Special Administrative Measures (Negative List) for the Access of Foreign Investment (2021 Edition), or the Negative List 2021. Any industry not listed on the Negative List 2021, including autonomous driving, is a permitted industry and generally accessible to foreign investment unless specifically prohibited or restricted by any PRC laws or regulations. Our PRC subsidiaries do not engage in any business activities that are prohibited or restricted for foreign investment under the Negative List 2021. As a result, we do not need a VIE structure to operate the business of our PRC subsidiaries.</w:t>
      </w:r>
    </w:p>
    <w:p>
      <w:pPr>
        <w:spacing w:after="0" w:line="18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had historically entered into a series of contractual agreements with the VIE and its former shareholders, pursuant to which we had (i) the power to direct the management, financial and operating policies of the VIE, and (ii) exposure or rights to variable returns from our involvement with the VIE and the ability to use our power over the VIE to affect the amount of the returns. As a result, we treated the VIE and its subsidiaries as our consolidated entities under IFRS, and we consolidated the financial results of the VIE and its subsidiaries in our consolidated financial statements in accordance with IFRS before March 21, 2023. Revenue contributed by the VIE and its subsidiaries accounted for 7.2% of our total revenue for the year ended December 31, 2022.</w:t>
      </w:r>
    </w:p>
    <w:p>
      <w:pPr>
        <w:spacing w:after="0" w:line="187"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condensed consolidating schedule of WeRide Inc. depicting the consolidated statement of profit or loss for the year ended December 31, 2022 of WeRide Inc., WFOE, other subsidiaries, the VIE and its subsidiaries, and the corresponding eliminating adjustments separately.</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820" w:type="dxa"/>
            <w:vAlign w:val="bottom"/>
            <w:tcBorders>
              <w:bottom w:val="single" w:sz="8" w:color="auto"/>
            </w:tcBorders>
            <w:gridSpan w:val="8"/>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280" w:type="dxa"/>
            <w:vAlign w:val="bottom"/>
          </w:tcPr>
          <w:p>
            <w:pPr>
              <w:spacing w:after="0"/>
              <w:rPr>
                <w:sz w:val="10"/>
                <w:szCs w:val="10"/>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WeRide Inc.</w:t>
            </w:r>
          </w:p>
        </w:tc>
        <w:tc>
          <w:tcPr>
            <w:tcW w:w="9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WFOE</w:t>
            </w:r>
          </w:p>
        </w:tc>
        <w:tc>
          <w:tcPr>
            <w:tcW w:w="940" w:type="dxa"/>
            <w:vAlign w:val="bottom"/>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940" w:type="dxa"/>
            <w:vAlign w:val="bottom"/>
            <w:gridSpan w:val="2"/>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VIE and its</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8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8"/>
              </w:rPr>
              <w:t>subsidiaries</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8"/>
              </w:rPr>
              <w:t>subsidiaries</w:t>
            </w:r>
          </w:p>
        </w:tc>
        <w:tc>
          <w:tcPr>
            <w:tcW w:w="1020" w:type="dxa"/>
            <w:vAlign w:val="bottom"/>
            <w:gridSpan w:val="2"/>
            <w:vMerge w:val="continue"/>
          </w:tcPr>
          <w:p>
            <w:pPr>
              <w:spacing w:after="0"/>
              <w:rPr>
                <w:sz w:val="15"/>
                <w:szCs w:val="15"/>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4"/>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(RMB in thousands)</w:t>
            </w: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Revenue</w:t>
            </w:r>
            <w:r>
              <w:rPr>
                <w:rFonts w:ascii="Times New Roman" w:cs="Times New Roman" w:eastAsia="Times New Roman" w:hAnsi="Times New Roman"/>
                <w:sz w:val="25"/>
                <w:szCs w:val="25"/>
                <w:color w:val="auto"/>
                <w:vertAlign w:val="superscript"/>
              </w:rPr>
              <w:t>(1)</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546,255</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76,821</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181,539</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(277,072)</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527,543</w:t>
            </w:r>
          </w:p>
        </w:tc>
        <w:tc>
          <w:tcPr>
            <w:tcW w:w="0" w:type="dxa"/>
            <w:vAlign w:val="bottom"/>
          </w:tcPr>
          <w:p>
            <w:pPr>
              <w:spacing w:after="0"/>
              <w:rPr>
                <w:sz w:val="1"/>
                <w:szCs w:val="1"/>
                <w:color w:val="auto"/>
              </w:rPr>
            </w:pPr>
          </w:p>
        </w:tc>
      </w:tr>
      <w:tr>
        <w:trPr>
          <w:trHeight w:val="216"/>
        </w:trPr>
        <w:tc>
          <w:tcPr>
            <w:tcW w:w="52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Cost of revenue</w:t>
            </w:r>
            <w:r>
              <w:rPr>
                <w:rFonts w:ascii="Times New Roman" w:cs="Times New Roman" w:eastAsia="Times New Roman" w:hAnsi="Times New Roman"/>
                <w:sz w:val="25"/>
                <w:szCs w:val="25"/>
                <w:color w:val="auto"/>
                <w:vertAlign w:val="superscript"/>
              </w:rPr>
              <w:t>(1)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(298,644)</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(84,207)</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(86,965)</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174,818</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(294,998)</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profit/(loss)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247,611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(7,386)</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94,574</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(102,254)</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232,545</w:t>
            </w:r>
          </w:p>
        </w:tc>
        <w:tc>
          <w:tcPr>
            <w:tcW w:w="0" w:type="dxa"/>
            <w:vAlign w:val="bottom"/>
          </w:tcPr>
          <w:p>
            <w:pPr>
              <w:spacing w:after="0"/>
              <w:rPr>
                <w:sz w:val="1"/>
                <w:szCs w:val="1"/>
                <w:color w:val="auto"/>
              </w:rPr>
            </w:pPr>
          </w:p>
        </w:tc>
      </w:tr>
      <w:tr>
        <w:trPr>
          <w:trHeight w:val="216"/>
        </w:trPr>
        <w:tc>
          <w:tcPr>
            <w:tcW w:w="52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Other net income</w:t>
            </w:r>
            <w:r>
              <w:rPr>
                <w:rFonts w:ascii="Times New Roman" w:cs="Times New Roman" w:eastAsia="Times New Roman" w:hAnsi="Times New Roman"/>
                <w:sz w:val="25"/>
                <w:szCs w:val="25"/>
                <w:color w:val="auto"/>
                <w:vertAlign w:val="superscript"/>
              </w:rPr>
              <w:t>(1)</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15,932</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80,290</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(76,985)</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19,296</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Research and development expenses</w:t>
            </w:r>
            <w:r>
              <w:rPr>
                <w:rFonts w:ascii="Times New Roman" w:cs="Times New Roman" w:eastAsia="Times New Roman" w:hAnsi="Times New Roman"/>
                <w:sz w:val="25"/>
                <w:szCs w:val="25"/>
                <w:color w:val="auto"/>
                <w:vertAlign w:val="superscript"/>
              </w:rPr>
              <w:t>(1)</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(290,279)</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(329,423)</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(241,508)</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102,645</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(758,565)</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(16,440)</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(64,430)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(33,308)</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(123,058)</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(237,236)</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(15,663)</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(152)</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(7,759)</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(23,574)</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on receivables and contract assets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(9,412)</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(1,323)</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(961)</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(11,696)</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(16,440)</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(116,241)</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(371,533)</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(198,422)</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(76,594)</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(779,230)</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foreign exchange gain</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29,879</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(9,670)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20,209</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7,191</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17,934</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10,986</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36,111</w:t>
            </w:r>
          </w:p>
        </w:tc>
        <w:tc>
          <w:tcPr>
            <w:tcW w:w="0" w:type="dxa"/>
            <w:vAlign w:val="bottom"/>
          </w:tcPr>
          <w:p>
            <w:pPr>
              <w:spacing w:after="0"/>
              <w:rPr>
                <w:sz w:val="1"/>
                <w:szCs w:val="1"/>
                <w:color w:val="auto"/>
              </w:rPr>
            </w:pPr>
          </w:p>
        </w:tc>
      </w:tr>
      <w:tr>
        <w:trPr>
          <w:trHeight w:val="198"/>
        </w:trPr>
        <w:tc>
          <w:tcPr>
            <w:tcW w:w="5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Fair value changes of financial assets at fair value through profit or loss</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(“FVTPL”)</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7,731</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7,731</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finance costs</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(1,692)</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(985)</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(1,525)</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(4,202)</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Inducement charges of warrants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(125,213)</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(125,213)</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changes of financial liabilities measured at FVTPL</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25,308</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25,308</w:t>
            </w:r>
          </w:p>
        </w:tc>
        <w:tc>
          <w:tcPr>
            <w:tcW w:w="0" w:type="dxa"/>
            <w:vAlign w:val="bottom"/>
          </w:tcPr>
          <w:p>
            <w:pPr>
              <w:spacing w:after="0"/>
              <w:rPr>
                <w:sz w:val="1"/>
                <w:szCs w:val="1"/>
                <w:color w:val="auto"/>
              </w:rPr>
            </w:pPr>
          </w:p>
        </w:tc>
      </w:tr>
      <w:tr>
        <w:trPr>
          <w:trHeight w:val="365"/>
        </w:trPr>
        <w:tc>
          <w:tcPr>
            <w:tcW w:w="5280" w:type="dxa"/>
            <w:vAlign w:val="bottom"/>
          </w:tcPr>
          <w:p>
            <w:pPr>
              <w:spacing w:after="0"/>
              <w:rPr>
                <w:sz w:val="24"/>
                <w:szCs w:val="24"/>
                <w:color w:val="auto"/>
              </w:rPr>
            </w:pPr>
          </w:p>
        </w:tc>
        <w:tc>
          <w:tcPr>
            <w:tcW w:w="78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31"/>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4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8"/>
        </w:trPr>
        <w:tc>
          <w:tcPr>
            <w:tcW w:w="120" w:type="dxa"/>
            <w:vAlign w:val="bottom"/>
          </w:tcPr>
          <w:p>
            <w:pPr>
              <w:spacing w:after="0"/>
              <w:rPr>
                <w:sz w:val="17"/>
                <w:szCs w:val="17"/>
                <w:color w:val="auto"/>
              </w:rPr>
            </w:pPr>
          </w:p>
        </w:tc>
        <w:tc>
          <w:tcPr>
            <w:tcW w:w="53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Changes in the carrying amounts of preferred shares and other financial</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5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instruments subject to redemption and other preferential rights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(479,210)</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(479,210)</w:t>
            </w:r>
          </w:p>
        </w:tc>
      </w:tr>
      <w:tr>
        <w:trPr>
          <w:trHeight w:val="216"/>
        </w:trPr>
        <w:tc>
          <w:tcPr>
            <w:tcW w:w="120" w:type="dxa"/>
            <w:vAlign w:val="bottom"/>
          </w:tcPr>
          <w:p>
            <w:pPr>
              <w:spacing w:after="0"/>
              <w:rPr>
                <w:sz w:val="18"/>
                <w:szCs w:val="18"/>
                <w:color w:val="auto"/>
              </w:rPr>
            </w:pPr>
          </w:p>
        </w:tc>
        <w:tc>
          <w:tcPr>
            <w:tcW w:w="53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Share of loss from subsidiaries, the VIE and its subsidiaries</w:t>
            </w:r>
            <w:r>
              <w:rPr>
                <w:rFonts w:ascii="Times New Roman" w:cs="Times New Roman" w:eastAsia="Times New Roman" w:hAnsi="Times New Roman"/>
                <w:sz w:val="25"/>
                <w:szCs w:val="25"/>
                <w:color w:val="auto"/>
                <w:vertAlign w:val="superscript"/>
              </w:rPr>
              <w:t>(2)</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(702,941)</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(190,964)</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(356,088)</w:t>
            </w: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1,249,993</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taxation</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(1,298,496)</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(271,827)</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(702,941)</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(188,961)</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1,163,729</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(1,298,496)</w:t>
            </w:r>
          </w:p>
        </w:tc>
      </w:tr>
      <w:tr>
        <w:trPr>
          <w:trHeight w:val="223"/>
        </w:trPr>
        <w:tc>
          <w:tcPr>
            <w:tcW w:w="1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w:t>
            </w:r>
          </w:p>
        </w:tc>
        <w:tc>
          <w:tcPr>
            <w:tcW w:w="8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96"/>
              </w:rPr>
              <w:t>— </w:t>
            </w:r>
          </w:p>
        </w:tc>
        <w:tc>
          <w:tcPr>
            <w:tcW w:w="2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year</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(1,298,496)</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(271,827)</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(702,941)</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(188,961)</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1,163,729</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(1,298,496)</w:t>
            </w: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w:t>
      </w:r>
    </w:p>
    <w:p>
      <w:pPr>
        <w:spacing w:after="0" w:line="131" w:lineRule="exact"/>
        <w:rPr>
          <w:sz w:val="20"/>
          <w:szCs w:val="20"/>
          <w:color w:val="auto"/>
        </w:rPr>
      </w:pPr>
    </w:p>
    <w:p>
      <w:pPr>
        <w:ind w:left="540" w:right="320" w:hanging="424"/>
        <w:spacing w:after="0" w:line="257"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the intercompany services fees and intercompany sales. The service fees between the WFOE and the VIE and its subsidiaries amounted to RMB143.1 million for the year ended December 31, 2022. Other than service fees, the intercompany revenue and expenses between the WFOE and the VIE and its subsidiaries are nil for the year ended December 31, 2022.</w:t>
      </w:r>
    </w:p>
    <w:p>
      <w:pPr>
        <w:spacing w:after="0" w:line="1" w:lineRule="exact"/>
        <w:rPr>
          <w:rFonts w:ascii="Times New Roman" w:cs="Times New Roman" w:eastAsia="Times New Roman" w:hAnsi="Times New Roman"/>
          <w:sz w:val="18"/>
          <w:szCs w:val="18"/>
          <w:color w:val="auto"/>
        </w:rPr>
      </w:pPr>
    </w:p>
    <w:p>
      <w:pPr>
        <w:ind w:left="540" w:right="140" w:hanging="424"/>
        <w:spacing w:after="0" w:line="260"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the investment in our WFOE, other subsidiaries of WeRide Inc., the VIE and its subsidiaries. The WFOE’s share of loss from the VIE and its subsidiaries amounted to RMB189.0 million for the year ended December 31, 2022.</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473"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condensed consolidating schedule of WeRide Inc. depicting the consolidated statement of cash flows for the year ended December 31, 2022 of WeRide Inc., WFOE, other subsidiaries, the VIE and its subsidiaries, and the corresponding eliminating adjustments separately.</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960" w:type="dxa"/>
            <w:vAlign w:val="bottom"/>
            <w:tcBorders>
              <w:bottom w:val="single" w:sz="8" w:color="auto"/>
            </w:tcBorders>
            <w:gridSpan w:val="8"/>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0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WeRide Inc.</w:t>
            </w:r>
          </w:p>
        </w:tc>
        <w:tc>
          <w:tcPr>
            <w:tcW w:w="9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WFOE</w:t>
            </w:r>
          </w:p>
        </w:tc>
        <w:tc>
          <w:tcPr>
            <w:tcW w:w="1040" w:type="dxa"/>
            <w:vAlign w:val="bottom"/>
            <w:gridSpan w:val="2"/>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960" w:type="dxa"/>
            <w:vAlign w:val="bottom"/>
            <w:gridSpan w:val="2"/>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VIE and its</w:t>
            </w: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8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40" w:type="dxa"/>
            <w:vAlign w:val="bottom"/>
            <w:gridSpan w:val="2"/>
            <w:vMerge w:val="continue"/>
          </w:tcPr>
          <w:p>
            <w:pPr>
              <w:spacing w:after="0"/>
              <w:rPr>
                <w:sz w:val="15"/>
                <w:szCs w:val="15"/>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gridSpan w:val="4"/>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8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(RMB in thousands) activities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(10,848)</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(281,870)</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(309,011)</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(68,652)</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(670,381)</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Net cash used in investing activities</w:t>
            </w:r>
            <w:r>
              <w:rPr>
                <w:rFonts w:ascii="Times New Roman" w:cs="Times New Roman" w:eastAsia="Times New Roman" w:hAnsi="Times New Roman"/>
                <w:sz w:val="25"/>
                <w:szCs w:val="25"/>
                <w:color w:val="auto"/>
                <w:vertAlign w:val="superscript"/>
              </w:rPr>
              <w:t>(1)</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(2,634,633)</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(252,667)</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(2,640,977)</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(15,876)</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3,341,739</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(2,202,414)</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Net cash generated from/(used in) financing activities</w:t>
            </w:r>
            <w:r>
              <w:rPr>
                <w:rFonts w:ascii="Times New Roman" w:cs="Times New Roman" w:eastAsia="Times New Roman" w:hAnsi="Times New Roman"/>
                <w:sz w:val="25"/>
                <w:szCs w:val="25"/>
                <w:color w:val="auto"/>
                <w:vertAlign w:val="superscript"/>
              </w:rPr>
              <w:t>(1)</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2,782,671</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745,443</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2,636,465</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(638,252)</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(3,341,739)</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2,184,588</w:t>
            </w:r>
          </w:p>
        </w:tc>
        <w:tc>
          <w:tcPr>
            <w:tcW w:w="0" w:type="dxa"/>
            <w:vAlign w:val="bottom"/>
          </w:tcPr>
          <w:p>
            <w:pPr>
              <w:spacing w:after="0"/>
              <w:rPr>
                <w:sz w:val="1"/>
                <w:szCs w:val="1"/>
                <w:color w:val="auto"/>
              </w:rPr>
            </w:pPr>
          </w:p>
        </w:tc>
      </w:tr>
      <w:tr>
        <w:trPr>
          <w:trHeight w:val="223"/>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increase/(decrease) in cash</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137,190</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210,906</w:t>
            </w:r>
          </w:p>
        </w:tc>
        <w:tc>
          <w:tcPr>
            <w:tcW w:w="2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(313,523)</w:t>
            </w:r>
          </w:p>
        </w:tc>
        <w:tc>
          <w:tcPr>
            <w:tcW w:w="20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(722,780)</w:t>
            </w:r>
          </w:p>
        </w:tc>
        <w:tc>
          <w:tcPr>
            <w:tcW w:w="2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(688,207)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as of January 1</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1,084,196</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556,587</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320,578</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764,207</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2,725,568</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foreign exchange rate changes</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105,116</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23,686</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67,528</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196,330</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as of December 31</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1,326,502</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791,179</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74,583</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41,427</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2,233,691</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3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w:t>
      </w:r>
    </w:p>
    <w:p>
      <w:pPr>
        <w:spacing w:after="0" w:line="131" w:lineRule="exact"/>
        <w:rPr>
          <w:sz w:val="20"/>
          <w:szCs w:val="20"/>
          <w:color w:val="auto"/>
        </w:rPr>
      </w:pPr>
    </w:p>
    <w:p>
      <w:pPr>
        <w:ind w:left="540" w:right="260" w:hanging="424"/>
        <w:spacing w:after="0" w:line="282"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received as the investment in other subsidiaries of WeRide Inc., and the VIE and its subsidiaries from WeRide Inc., our WFOE and other subsidiaries of WeRide Inc., which was eliminated as inter-company transaction upon consolidation.</w:t>
      </w:r>
    </w:p>
    <w:p>
      <w:pPr>
        <w:spacing w:after="0" w:line="306" w:lineRule="exact"/>
        <w:rPr>
          <w:sz w:val="20"/>
          <w:szCs w:val="20"/>
          <w:color w:val="auto"/>
        </w:rPr>
      </w:pPr>
    </w:p>
    <w:p>
      <w:pPr>
        <w:ind w:left="540" w:hanging="424"/>
        <w:spacing w:after="0"/>
        <w:tabs>
          <w:tab w:leader="none" w:pos="5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130" w:lineRule="exact"/>
        <w:rPr>
          <w:rFonts w:ascii="Times New Roman" w:cs="Times New Roman" w:eastAsia="Times New Roman" w:hAnsi="Times New Roman"/>
          <w:sz w:val="18"/>
          <w:szCs w:val="18"/>
          <w:b w:val="1"/>
          <w:bCs w:val="1"/>
          <w:color w:val="auto"/>
        </w:rPr>
      </w:pPr>
    </w:p>
    <w:p>
      <w:pPr>
        <w:ind w:left="560" w:right="8140" w:hanging="444"/>
        <w:spacing w:after="0" w:line="412" w:lineRule="auto"/>
        <w:tabs>
          <w:tab w:leader="none" w:pos="552"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Capitalization and indebtedness </w:t>
      </w:r>
      <w:r>
        <w:rPr>
          <w:rFonts w:ascii="Times New Roman" w:cs="Times New Roman" w:eastAsia="Times New Roman" w:hAnsi="Times New Roman"/>
          <w:sz w:val="18"/>
          <w:szCs w:val="18"/>
          <w:color w:val="auto"/>
        </w:rPr>
        <w:t>Not applicable.</w:t>
      </w:r>
    </w:p>
    <w:p>
      <w:pPr>
        <w:spacing w:after="0" w:line="193" w:lineRule="exact"/>
        <w:rPr>
          <w:rFonts w:ascii="Times New Roman" w:cs="Times New Roman" w:eastAsia="Times New Roman" w:hAnsi="Times New Roman"/>
          <w:sz w:val="18"/>
          <w:szCs w:val="18"/>
          <w:b w:val="1"/>
          <w:bCs w:val="1"/>
          <w:color w:val="auto"/>
        </w:rPr>
      </w:pPr>
    </w:p>
    <w:p>
      <w:pPr>
        <w:ind w:left="560" w:right="7440" w:hanging="444"/>
        <w:spacing w:after="0" w:line="412" w:lineRule="auto"/>
        <w:tabs>
          <w:tab w:leader="none" w:pos="552"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193"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An investment in our ADSs or Class A ordinary shares involves significant risks. You should carefully consider all of the information set forth in this annual report and in our other filings with the United States Securities and Exchange Commission, including the following risk factors, in evaluating our business. If any of the following risks actually occur, our business, financial condition, operating results, and growth prospects would likely be materially and adversely affected. This annual report also contains forward-looking statements that involve risks and uncertainties. See “Forward-Looking Information.”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following summary description sets forth an overview of the material risks we are exposed to in the normal course of our business activities. The summary does not purport to be complete and is qualified in its entirety by reference to the full risk factor discussion immediately following this summary description. We encourage you to read the full risk factor discussion carefully.</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82"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business, results of operations and financial condition could be materially and adversely affected by any of the following material risks: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Risks and uncertainties related to our business and industry include, but are not limited to, the following:</w:t>
      </w:r>
    </w:p>
    <w:p>
      <w:pPr>
        <w:spacing w:after="0" w:line="131" w:lineRule="exact"/>
        <w:rPr>
          <w:sz w:val="20"/>
          <w:szCs w:val="20"/>
          <w:color w:val="auto"/>
        </w:rPr>
      </w:pPr>
    </w:p>
    <w:p>
      <w:pPr>
        <w:ind w:left="1080" w:right="5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company with a limited operating history and financial track record in the emerging and fast-evolving autonomous driving industry, which involves significant risks and uncertainties.</w:t>
      </w:r>
    </w:p>
    <w:p>
      <w:pPr>
        <w:spacing w:after="0" w:line="67" w:lineRule="exact"/>
        <w:rPr>
          <w:rFonts w:ascii="Times New Roman" w:cs="Times New Roman" w:eastAsia="Times New Roman" w:hAnsi="Times New Roman"/>
          <w:sz w:val="18"/>
          <w:szCs w:val="18"/>
          <w:color w:val="auto"/>
        </w:rPr>
      </w:pPr>
    </w:p>
    <w:p>
      <w:pPr>
        <w:jc w:val="both"/>
        <w:ind w:left="1080" w:right="700" w:hanging="424"/>
        <w:spacing w:after="0" w:line="312" w:lineRule="auto"/>
        <w:tabs>
          <w:tab w:leader="none" w:pos="10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Autonomous driving technology is an emerging technology, and we face significant challenges to develop and commercialize our technology. Our technology may not perform as well as we expect or take us longer to commercialize than is currently projected.</w:t>
      </w:r>
    </w:p>
    <w:p>
      <w:pPr>
        <w:spacing w:after="0" w:line="45" w:lineRule="exact"/>
        <w:rPr>
          <w:rFonts w:ascii="Times New Roman" w:cs="Times New Roman" w:eastAsia="Times New Roman" w:hAnsi="Times New Roman"/>
          <w:sz w:val="17"/>
          <w:szCs w:val="17"/>
          <w:color w:val="auto"/>
        </w:rPr>
      </w:pPr>
    </w:p>
    <w:p>
      <w:pPr>
        <w:ind w:left="1080" w:right="3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model has yet to be tested, and any failure to commercialize our strategic plans, technologies, products or services would have an adverse effect on our operating results and business.</w:t>
      </w:r>
    </w:p>
    <w:p>
      <w:pPr>
        <w:spacing w:after="0" w:line="67" w:lineRule="exact"/>
        <w:rPr>
          <w:rFonts w:ascii="Times New Roman" w:cs="Times New Roman" w:eastAsia="Times New Roman" w:hAnsi="Times New Roman"/>
          <w:sz w:val="18"/>
          <w:szCs w:val="18"/>
          <w:color w:val="auto"/>
        </w:rPr>
      </w:pPr>
    </w:p>
    <w:p>
      <w:pPr>
        <w:jc w:val="both"/>
        <w:ind w:left="1080" w:right="24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market for autonomous driving products and services is relatively new and disruptive, if our autonomous driving products and services fail to gain acceptance from the general public, our target customers, users or other stakeholders, or fail to do so at the pace we expect, our business, prospects, operating results and financial condition could be materially harmed.</w:t>
      </w:r>
    </w:p>
    <w:p>
      <w:pPr>
        <w:spacing w:after="0" w:line="81"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making, and expect to continue to make in the foreseeable future, substantial investments in developing new offerings and technologies. These new initiatives are inherently risky, and we may not realize the expected benefits from them.</w:t>
      </w:r>
    </w:p>
    <w:p>
      <w:pPr>
        <w:spacing w:after="0" w:line="67" w:lineRule="exact"/>
        <w:rPr>
          <w:rFonts w:ascii="Times New Roman" w:cs="Times New Roman" w:eastAsia="Times New Roman" w:hAnsi="Times New Roman"/>
          <w:sz w:val="18"/>
          <w:szCs w:val="18"/>
          <w:color w:val="auto"/>
        </w:rPr>
      </w:pPr>
    </w:p>
    <w:p>
      <w:pPr>
        <w:jc w:val="both"/>
        <w:ind w:left="1080" w:right="26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extensive and evolving governmental regulations and may be adversely affected by changes in automotive safety regulations that could impose substantial costs, legal prohibitions or unfavorable changes upon our operations, and we may incur material liabilities under, or costs in order to comply with, existing or future laws and regulations.</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generates and processes a large amount of data, and we are required to comply with PRC and other applicable laws relating to privacy and cybersecurity. The improper use or disclosure of data or failure to comply with applicable laws and regulations could have a material and adverse effect on our business and prospects.</w:t>
      </w:r>
    </w:p>
    <w:p>
      <w:pPr>
        <w:spacing w:after="0" w:line="81" w:lineRule="exact"/>
        <w:rPr>
          <w:rFonts w:ascii="Times New Roman" w:cs="Times New Roman" w:eastAsia="Times New Roman" w:hAnsi="Times New Roman"/>
          <w:sz w:val="18"/>
          <w:szCs w:val="18"/>
          <w:color w:val="auto"/>
        </w:rPr>
      </w:pPr>
    </w:p>
    <w:p>
      <w:pPr>
        <w:ind w:left="1080" w:right="40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autonomous driving technology products and services fail to meet evolving customer needs, respond to the industry evolution appropriately, tailor to developing use cases or to perform as expected, our ability to market or sell our products and services could be adversely affected.</w:t>
      </w:r>
    </w:p>
    <w:p>
      <w:pPr>
        <w:spacing w:after="0" w:line="81"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continue to attract and retain customers, manage our relationship with them or increase their reliance on our products and services could materially and adversely affect our business and prospects.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autonomous driving technology and related software and hardware could have undetected defects or contain serious errors, which could create safety issues, reduce market adoption, damage our brand image, subject us to product recalls or expose us to product liability and other claims that could materially and adversely affect our business.</w:t>
      </w:r>
    </w:p>
    <w:p>
      <w:pPr>
        <w:spacing w:after="0" w:line="81"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export control, sanctions, trade policies and similar laws and regulations, and non-compliance of such laws, regulations, policies and administrative orders can subject us to administrative, civil and criminal fines and penalties, collateral consequences, remedial measures and legal expenses, all of which could adversely affect our business, financial condition and results of operations.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82"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tensions in international trade and rising political tensions, particularly between the U.S. and China, may adversely impact our business, financial condition, and results of operations.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Doing Business in Mainland China</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face risks and uncertainties related to doing business in mainland China in general, including, but not limited to, the following:</w:t>
      </w:r>
    </w:p>
    <w:p>
      <w:pPr>
        <w:spacing w:after="0" w:line="131"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PCAOB had historically been unable to inspect our auditor in relation to their audit work.</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ADSs may be prohibited from trading in the United States under the HFCAA in the future if the PCAOB is unable to inspect or investigate completely auditors located in China. The delisting or prohibited from trading of the ADSs, or the threat of their being delisted or prohibited from trading, may materially and adversely affect the value of your investment.</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China’s economic, political or social conditions or government policies could have a material adverse effect on our business and operations.</w:t>
      </w:r>
    </w:p>
    <w:p>
      <w:pPr>
        <w:spacing w:after="0" w:line="67"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government has oversight and discretion over the conduct of our business, and may intervene or influence our operations as the government deems appropriate to advance regulatory and societal goals and policy positions. Actions by the PRC government to exert control over offerings conducted overseas by, and foreign investment in, China-based issuers could significantly limit or completely hinder our ability to offer or continue to offer securities to investors. Implementation of industry-wide regulations in this nature may cause the value of such securities to significantly decline or become of little or no value. For more details, see “—Risks Related to Doing Business in Mainland China—The PRC government’s significant oversight and discretion over our business operation could result in a material adverse change in our operations and the value of our ADSs.”</w:t>
      </w:r>
    </w:p>
    <w:p>
      <w:pPr>
        <w:spacing w:after="0" w:line="94" w:lineRule="exact"/>
        <w:rPr>
          <w:rFonts w:ascii="Times New Roman" w:cs="Times New Roman" w:eastAsia="Times New Roman" w:hAnsi="Times New Roman"/>
          <w:sz w:val="18"/>
          <w:szCs w:val="18"/>
          <w:color w:val="auto"/>
        </w:rPr>
      </w:pPr>
    </w:p>
    <w:p>
      <w:pPr>
        <w:ind w:left="1080" w:right="40" w:hanging="424"/>
        <w:spacing w:after="0" w:line="255"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arising from the legal system in mainland China, which may also exist in other jurisdictions, including risks and uncertainties regarding the enforcement of laws and the fact that rules and regulations in China may evolve quickly with any public consultation and advanced notice period being relatively short in terms of the time that we may need to fully adapt to such changes, all of which could result in a material adverse change in our operations and the value of our ADSs. For more details, see “—Risks Related to Doing Business in Mainland China—There may be changes from time to time in the interpretation and application of the laws of mainland China, and any failure to comply with laws and regulations could have a material adverse effect on our business, results of operations, financial condition and the value of our ADSs.”</w:t>
      </w:r>
    </w:p>
    <w:p>
      <w:pPr>
        <w:spacing w:after="0" w:line="94"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mainland China laws and regulations restricting capital flows which may affect our liquidity. See “—Risks Related to Doing Business in Mainland China—We may rely on dividends and other distributions on equity paid by our mainland China subsidiaries to fund any cash and financing requirements we may have, and any limitation on the ability of our mainland China subsidiaries to make payments to us could have a material and adverse effect on our ability to conduct our business” and “— PRC regulations of loans to and direct investment in PRC entities by offshore holding companies and governmental control of currency conversion may delay or prevent us from using the proceeds of our offshore offerings to make loans or additional capital contributions to our mainland China subsidiaries, which could materially and adversely affect our liquidity and our ability to fund and expand our business.”</w:t>
      </w:r>
    </w:p>
    <w:p>
      <w:pPr>
        <w:spacing w:after="0" w:line="94"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complete filing procedures with the China Securities Regulatory Commission in connection with our future offerings. We cannot predict whether we will be able to complete such filing on a timely manner, or at all.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82"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ADSs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Risks and uncertainties related to our ADSs include, but are not limited to, the following:</w:t>
      </w:r>
    </w:p>
    <w:p>
      <w:pPr>
        <w:spacing w:after="0" w:line="131"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ADSs may be volatile, which could result in substantial losses to you.</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67"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publish inaccurate or unfavorable research about our business, or if they adversely change their recommendations regarding our ADSs, the market price for our ADSs and trading volume could decline.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Techniques employed by short sellers may drive down the market price of the ADSs.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do not expect to pay dividends in the foreseeable future, you must rely on price appreciation of our ADSs for return on your investment.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future sales or perceived potential sales of our ADSs in the public market could cause the price of our ADSs to decline.</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of holders of ADSs are limited by the terms of the deposit agreement, and you may not be able to exercise the same rights as our shareholders.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company with a limited operating history and financial track record in the emerging and fast-evolving autonomous driving industry, which involves significant risks and uncertainties.</w:t>
      </w:r>
    </w:p>
    <w:p>
      <w:pPr>
        <w:spacing w:after="0" w:line="5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commenced operations in 2017. We launched paid robotaxi services to the public in China in 2019. We achieved commercial production of our robobus in China in 2021 and started its public service in Guangzhou in 2022. We also launched our robovan and robosweeper in September 2021 and April 2022, respectively. We started to offer key ADAS technologies and ecosystem support in 2022, and commenced mass production of a state-of-the-art ADAS in March 2024. We are still in a relatively early stage of development and commercialization.</w:t>
      </w:r>
    </w:p>
    <w:p>
      <w:pPr>
        <w:spacing w:after="0" w:line="180"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You should consider our business and prospects in light of the risks and challenges we face as a company with limited operating history into a rapidly-evolving industry, including, among other things, with respect to our ability to:</w:t>
      </w:r>
    </w:p>
    <w:p>
      <w:pPr>
        <w:spacing w:after="0" w:line="67"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offer safe, reliable and quality autonomous driving products and services on an ongoing basis;</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expand our customer base for our purpose-built L4 autonomous driving vehicles, including robotaxi, robobus and other vehicle types;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launch and commence commercial operation of future special purpose vehicles;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expand our operations in the ADAS market leveraging our technological and commercialization experience in the L4 vertical;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expand to new geographical areas and jurisdictions;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produce autonomous driving vehicles with our OEM partners in the expected timeline;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safe operation of our purpose-built L4 autonomous driving vehicles;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82"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right="44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cooperative relationships with ecosystem partners, such as OEMs, Tier 1 suppliers, logistics and urban service providers, and others;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and enhance our platform and autonomous technology, and maintain a reliable, secure, high-performance and scalable technology infrastructure;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and maintain our operational efficiency;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market our product and service offerings;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motivate talented employees;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generate sufficient capital to maintain our operations and grow 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adapt to changing market conditions, including technological developments and changes in competitive landscape;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 well-recognized and respected brand;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navigate an evolving and complex regulatory environment.</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we fail to address any or all of these risks and challenges, our business, prospects, financial condition and results of operations may be materially and adversely affected. There are also a number of additional challenges to autonomous driving, many of which are not within our control, including market acceptance of autonomous driving, governmental licensing requirements, concerns regarding data security and privacy, actual and threatened litigation (whether or not a judgment is rendered against us), and the general perception that an autonomous driving vehicle is not safe because there is no human driver. There can be no assurance that the market will accept our technology, in which case our future business, results of operations and financial condition could be adversely affected. In addition, the global autonomous driving industry is in general in its early stages and rapidly evolving. Our autonomous driving technology has not yet commercialized at a large scale. We cannot assure you that we will be able to adapt to changing market or regulatory conditions swiftly or cost-effectively. If we fail to do so, our business, results of operations and financial condition will be adversely affected.</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because we have limited historical financial track record and operate in a rapidly-evolving market, any predictions about our future revenue and expenses may not be as accurate as they would be if we had a longer operating history or operated in a more established market. In future periods, our revenue growth may slow down or even decline for a number of reasons, including slower-than-expected commercialization of our products and services, fiercer competition, unfavorable market conditions and rapidly evolving government regulations. We have encountered in the past, and will continue to encounter in the future, risks and uncertainties frequently experienced by fast-growing companies with limited operating histories in rapidly-changing industries. If our assumptions regarding these risks and uncertainties, which we use to plan and operate our business, are incorrect or outdated, or if we do not address these risks successfully, our actual results of operations could differ materially from our projections, and our business, prospects, financial condition and results of operations could be adversely affected.</w:t>
      </w:r>
    </w:p>
    <w:p>
      <w:pPr>
        <w:spacing w:after="0" w:line="296"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Autonomous driving technology is an emerging technology, and we face significant challenges to develop and commercialize our technology. Our technology may not perform as well as we expect or take us longer to commercialize than is currently projected.</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autonomous driving industry can be characterized by a significant number of technical and commercial challenges, including an expectation for better-than-human driving performance, considerable capital requirements, long vehicle development lead times, specialized skills and expertise requirements of personnel, inconsistent and evolving regulatory frameworks, a need to build public trust and brand image and real-world operation of an entirely new technology. Our future business depends, to a large extent, on our ability to continue to develop and successfully commercialize our products and services. We are in the early stage of commercialization. As we continue to make headways in the commercialization of our autonomous technologies, the composition of our revenue and the relative weight of our revenue items may change. Our ability to develop, deliver and commercialize at scale our autonomous driving platform and systems to support or perform autonomous operation of autonomous driving vehicles is still to be further proven.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82"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products and autonomous driving system are technical and complex, and commercial application requires that we meet very high standards for technology performance and system safety. We may be unable to timely release new products and services that meet our intended commercial use cases, and we may therefore experience limited than expected commercialization of our technology. Commercial deployment has taken longer in the autonomous driving industry than anticipated, and it may take us more time to complete our own technology development, commercialization and large-scale operation than is currently projected. The achievement of broadly applicable autonomous driving technology will require further technology improvements including, for example, handling non-compliant or unexpected corner cases and inclement weather conditions.</w:t>
      </w:r>
    </w:p>
    <w:p>
      <w:pPr>
        <w:spacing w:after="0" w:line="187"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These improvements may take us longer than expected, which would increase our capital requirements for technology development, delay our timeline to commercialization, and reduce the potential financial returns that may be expected from the business.</w:t>
      </w:r>
    </w:p>
    <w:p>
      <w:pPr>
        <w:spacing w:after="0" w:line="162"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Our continued enhancement of our autonomous driving technology is and will be subject to risks, including but not limited to the following aspects:</w:t>
      </w:r>
    </w:p>
    <w:p>
      <w:pPr>
        <w:spacing w:after="0" w:line="67"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sufficiently safe autonomous driving system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ADAS that enable autonomous driving functions on vehicles;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from our customers and potential customers, as well as the general public of our autonomous driving products and services as well as the autonomous driving technology in general;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enhance our data analytics and software technology;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system testing, validation and obtain safety approvals;</w:t>
      </w:r>
    </w:p>
    <w:p>
      <w:pPr>
        <w:spacing w:after="0" w:line="130"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approvals, licenses or certifications from regulatory agencies, if required, and maintaining current approvals, licenses or certifications;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preserve core intellectual property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design, develop and secure necessary components on acceptable terms and in a timely manner;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additional capital to support our research and development activities;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and strengthen cooperative relationships with our ecosystem partners.</w:t>
      </w:r>
    </w:p>
    <w:p>
      <w:pPr>
        <w:spacing w:after="0" w:line="329"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model has yet to be tested, and any failure to commercialize our strategic plans, technologies, products or services would have an adverse effect on our operating results and business.</w:t>
      </w:r>
    </w:p>
    <w:p>
      <w:pPr>
        <w:spacing w:after="0" w:line="5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As a relatively new enterprise that is beginning to scale our business, we encounter considerable difficulties, many of which are beyond our control. The difficulties include, among others, unknown future challenges and opportunities, substantial risks and expenses in the course of developing new products and services, entering new markets, undertaking marketing activities and delivering our products and services to our customers. The likelihood of our success must be considered in light of these risks, expenses, complications, delays, and the competitive environment in which we operate. Therefore, there is substantial uncertainty as to the success of our business plan. We may not be able to scale up rapidly enough to generate significant revenue, raise additional capital or operate profitably. We will continue to encounter risks and difficulties frequently experienced by companies at an early stage of commercialization, including marketing our products and services, scaling up our operation and headcount, and may incur unforeseen expenses, difficulties, or delays in connection with our growth. Any investment in our company is therefore highly speculative and could result in the loss of your entire investment.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82"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have limited experience to date in applying our autonomous driving technology at a large scale. As of the date of this annual report, we have not yet delivered to third parties our purpose-built L4 autonomous driving vehicles at a large scale. We have reached understanding with customers regarding future orders of our robovan. Until the customers enter into definitive purchase agreements for our robovans, which is within the discretion of the customers, no assurance can be made that the customers will purchase our robovans. In addition, we have only recently started delivering ADAS, and have had limited proven track record of successful operation in ADAS applications. Whether the order forecast from our customers will materialize will ultimately depend on various factors, including the market acceptance of the vehicle models on which ADAS will be installed, which are beyond our control.</w:t>
      </w:r>
    </w:p>
    <w:p>
      <w:pPr>
        <w:spacing w:after="0" w:line="18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Even if we are successful in developing and commercializing our autonomous driving and ADAS technology, we could face unexpected difficulties, delays and cost overruns, including as a result of factors beyond our control such as unforeseen issues with our technology, problems with suppliers and adverse regulatory developments. Any failure to develop our technology within our projected costs and timelines or failure to execute our business plan as expected could have material adverse effects on our business, prospects, operating results and financial condition.</w:t>
      </w:r>
    </w:p>
    <w:p>
      <w:pPr>
        <w:spacing w:after="0" w:line="180"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In addition, we currently partner with OEMs to manufacture our autonomous driving vehicles, instead of manufacturing the vehicles on our own. We believe these partnerships enable us to remain asset-light and maintain focus on developing and upgrading our proprietary autonomous driving products and services. We also intend to adopt an asset-light model across our different business lines, such that instead of owning autonomous driving fleet by ourselves, we may cooperate with third-party fleet asset owners and operate the vehicles on our platform. However, such business model may present unpredictable challenges, which could materially and adversely affect our business, prospects, financial condition and results of operations. See “—We cooperate with a large number of business partners, including, among others, OEMs, Tier 1 suppliers, logistics and urban service providers, and others. Collaboration with third parties subject us to risks.” In addition, as the scale of our business grows, it is possible that we may be required to take up vehicle manufacturing and operation of a larger autonomous driving vehicle fleet ourselves, which is much more capital-intensive for us relative to partnering with third parties. If that happens, we cannot guarantee that we will possess the necessary human and capital resources to complete such transition, in the expected timeframe or at all. Failure to do so could have material adverse effects on our business, prospects, operating results and financial condition.</w:t>
      </w:r>
    </w:p>
    <w:p>
      <w:pPr>
        <w:spacing w:after="0" w:line="296"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Since the market for autonomous driving products and services is relatively new and disruptive, if our autonomous driving products and services fail to gain acceptance from the general public, our target customers, users or other stakeholders, or fail to do so at the pace we expect, our business, prospects, operating results and financial condition could be materially harmed.</w:t>
      </w:r>
    </w:p>
    <w:p>
      <w:pPr>
        <w:spacing w:after="0" w:line="6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Demand for autonomous driving technology depends to a large extent on general, economic, political, regulatory and social conditions in a given market. The market opportunities we are pursuing are at an early stage of development, and it is difficult to predict customer demand or penetration rates for our products and services. Our technology targeting advanced autonomous driving requires significant investment and longer time-to-market, and may not be commercially successful on a large scale in the short term, or at all.</w:t>
      </w:r>
    </w:p>
    <w:p>
      <w:pPr>
        <w:spacing w:after="0" w:line="180"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In addition, regulatory, safety and reliability issues, or the perception thereof, many of which are beyond our control, could also cause the public or our potential business partners and end users to lose confidence in autonomous driving products and services in general. The safety of such technology depends in part on end users of the autonomous driving vehicles, as well as other drivers, pedestrians, other obstacles on the roadways or other unforeseen events. For example, there have been multiple crashes involving automobiles of other manufacturers resulting in death or personal injury where autopilot features are engaged. Even though these incidents were unrelated to our technology platform and our autonomous driving vehicles, such cases resulted in significant negative publicity to the autonomous driving industry. In the future, accidents involving autonomous driving vehicles could result in suspension or prohibition of autonomous driving vehicles, which could negatively affect our business and the autonomous driving industry as a whole. If safety and reliability issues for autonomous driving technology cannot be addressed properly, our business, prospects, operating results, and financial condition could be materially harmed.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82"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Although we have managed to accumulate demand and recognition for our products and services to a certain degree, our future growth depends in part on the overall development trend of autonomous driving industry and acceptance of our technology. The market may not accept our technology, products and services, at the pace we expect, or at all, and our business, prospects, financial condition and results of operations will be materially and adversely affected. Key industry participants may develop competing services or may otherwise seek to overthrow our efforts. For example, our robotaxis and robobuses might displace individual drivers for taxis, buses and ride hailing services, which may be interpreted as negatively affecting employment opportunities for these individuals, as has been the case in other industries that have been subject to automation. This could result in negative publicity and even legislation or regulations that make it more difficult to operate our business in certain jurisdictions that we may expand our operations into. Any such occurrences could materially harm our future business.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making, and expect to continue to make in the foreseeable future, substantial investments in developing new offerings and technologies.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These new initiatives are inherently risky, and we may not realize the expected benefits from them.</w:t>
      </w:r>
    </w:p>
    <w:p>
      <w:pPr>
        <w:spacing w:after="0" w:line="9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Technology is a key competing factor to the autonomous driving industry. Our financial performance will be significantly dependent on our ability to maintain our technological leadership. We have made substantial investments to develop new offerings and technologies, and we intend to continue investing significant resources in developing new technologies, tools, features and product and service offerings. For example, in 2022, 2023 and 2024, our research and development expenses amounted to RMB758.6 million, RMB1,058.4 million and RMB1,091.4 million (US$149.5 million), respectively, representing 143.8%, 263.4% and 302.2% of our revenues for the respective years. We expect to incur substantial and potentially increasing research and development expenses in developing new technologies, products and service offerings and to dedicate substantial resources to improving and refining our technology stack. If we do not spend our development budget efficiently or effectively on innovative and commercially successful technologies, we may not realize the expected benefits from our investments.</w:t>
      </w:r>
    </w:p>
    <w:p>
      <w:pPr>
        <w:spacing w:after="0" w:line="19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addition, we will pursue new initiatives which may carry a high degree of risk, as each involves nascent industries and unproven business strategies and technologies with which we have limited or no prior development or operating experience. For example, we entered into a strategic partnership with Bosch in 2022 under which we, as a Tier 2 supplier, provide research and development services, key technologies and ecosystem support. Because such offerings and technologies are new, they will likely involve claims and liabilities (including, but not limited to, personal injury claims), expenses, regulatory challenges and other risks, some of which we do not currently anticipate. There can be no assurance that customer demand for such initiatives will exist or be sustained at the levels that we anticipate, or that any of these initiatives will gain sufficient traction or market acceptance to generate sufficient revenue to offset any new expenses or liabilities associated with these new investments. It is also possible that products and services developed by others will render our product and service offerings noncompetitive or obsolete. Furthermore, our development efforts with respect to new products and service offerings and technologies could distract management from current operations, and will divert capital and other resources from our more established products, services and technologies. Even if we are successful in developing new products, services or technologies, regulatory authorities may subject us to new rules or restrictions in response to our innovations that could increase our expenses or prevent us from successfully commercializing new products, services or technologies. If we do not realize the expected benefits of our investments, our business, financial condition, operating results and prospects may be harmed.</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82"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extensive and evolving governmental regulations and may be adversely affected by changes in automotive safety regulations that could impose substantial costs, legal prohibitions or unfavorable changes upon our operations, and we may incur material liabilities under, or costs in order to comply with, existing or future laws and regulations.</w:t>
      </w:r>
    </w:p>
    <w:p>
      <w:pPr>
        <w:spacing w:after="0" w:line="175"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We are subject to legal and regulatory requirements, political uncertainty and social, environmental and economic conditions in jurisdictions we operate, including markets in which we generate significant sales, over which we have little control and which are inherently unpredictable. The costs of compliance, including remediations of any discovered issues and any changes to our operations mandated by new or amended laws, may be significant, and any failures to comply could result in significant expenses, delays or fines. We are subject to laws and regulations applicable to the manufacture, sale, import, export and service of automobiles in general, both domestically and abroad. In addition, there are a variety of international and domestic regulations that may apply to autonomous driving vehicles, which include many existing vehicle standards that were not originally intended to apply to vehicles that may not have a driver. The laws, regulations, administrative orders and regulatory standards relating to autonomous driving are still developing and remain subject to substantial uncertainty. There has been relatively little mandatory government regulation of the autonomous driving industry to date and no widely accepted uniform standards to certify autonomous driving technology and its commercial use on public roads. On July 27, 2021, the Ministry of Industry and Information Technology, or the MIIT, the Ministry of Public Security, or the MPS, and the Ministry of Transport, or the MOT, jointly issued the Circular on the Norms on Administration of Road Testing and Demonstrative Application of Autonomous Driving Vehicles (Trial Implementation), or the Road Testing and Demonstrative Application Circular, which replaced the Circular on the Norms on Administration of Road Testing of Autonomous Driving Vehicles (Trial Implementation). According to the Road Testing and Demonstrative Application Circular, a subject for road testing refers to an entity that applies for and organizes a road testing for autonomous driving vehicles, and bears corresponding liability. Such entity shall meet various regulatory requirements, including related business capacity, ability to pay civil compensation for possible personal and property losses caused by road tests, evaluation rules for test driving, ability to safeguard network security and others. On November 17, 2023, the MIIT, the MPS, the MOT, and Ministry of Housing and Urban-Rural Development of the PRC jointly issued the Notice on the Pilot Implementation of Intelligent Connected Vehicle Access, which took effect immediately. This notice outlines detailed regulations for the admission and road operation of intelligent connected vehicles during the pilot period. On November 21, 2023, the MOT released the Service Guidelines on Transportation Safety for Autonomous Driving Vehicles (for Trial Implementation), effective immediately. These guidelines govern the use of autonomous driving vehicles for various transportation operations on different roadways, specifying the scenarios and conditions under which these vehicles can be used in different transportation contexts. In addition, certain local governments in mainland China, such as Shenzhen, Wuhan, Guangzhou, Zhengzhou, Nanjing, Qionghai, Wuxi, Dalian, Suzhou, Ordos, Qingdao, and Beijing, have issued or applied local rules and regulations for the road testing of autonomous driving vehicles in accordance with the central-level regulations. See “Item 4. Information on the Company—B. Business Overview—Regulations—Regulations Relating to Autonomous Driving Vehicles” for details. We have been approved by local governmental authorities to conduct test driving of our autonomous driving vehicles in cities such as Guangzhou, Shenzhen, Beijing, Wuxi, Dalian and others. However, such governmental approvals are for specific time periods, and we cannot guarantee that we will be able to renew the approvals when needed. In addition, we may not be able to obtain approvals from the local governments of other cities where we expect to conduct road tests in the future, in a timely manner or at all. Furthermore, while we have built safety processes to ensure that the performance of our technology meets the regulatory requirements and standards as we interpret the applicable laws and regulations, there can be no assurance that these measures will be deemed by relevant governmental authorities as sufficient, or will meet future regulatory requirements enacted regarding the operation and commercialization of self-driving technology. Moreover, laws, regulations, administrative orders and regulatory standards with regard to autonomous driving vehicles and their road tests in the jurisdictions we operate continue to rapidly evolve and are complex, which increases the likelihood of varying complex or conflicting regulations or may limit global adoption, impede our strategy, or negatively impact our long-term expectations for our investments in these areas, and could adversely affect our business. In addition, certain regulations and implementation provides new requirements and local government authorities have significant amount of discretion in interpreting, implementing and enforcing rules and regulations. If we fail to comply with the applicable legal requirements concerning the autonomous driving industry in a timely manner, our operation may be subject to the order of rectification, fine or the suspension of non-compliant operations, which may materially and adversely affect our business and results of operations.</w:t>
      </w:r>
    </w:p>
    <w:p>
      <w:pPr>
        <w:spacing w:after="0" w:line="19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as we grow our business to provide our products and services in additional countries and regions, we will be subject to complex environmental, manufacturing, health and safety laws and regulations at numerous jurisdictions, including but not limited to laws relating to autonomous driving, vehicle transportation, product material inputs and product liability. Particularly, the rate at which governments approve autonomous driving products could impact our operations. The deployment and operational capability of our L4 autonomous driving vehicles in real-world scenarios are contingent upon receiving timely governmental approvals, especially for our projects overseas. Delays in securing these essential regulatory approvals can significantly affect our revenue recognition timing, as these approvals are indispensable for progressing from the testing phase to full commercial operations. Furthermore, we may become subject to laws with respect to anti-corruption, anti-bribery, anti-money laundering and other similar laws and regulations in various jurisdictions in which we conduct, or in the future may conduct, activities. Non-compliance with any of the foregoing laws and regulations may subject us to significant fines, penalties, lawsuits and enforcement actions, result in regulatory sanctions and additional compliance requirements, increase regulatory scrutiny of our business, restrict our operations or damage our reputation.</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82"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generates and processes a large amount of data, and we are required to comply with PRC and other applicable laws relating to privacy and cybersecurity. The improper use or disclosure of data or failure to comply with applicable laws and regulations could have a material and adverse effect on our business and prospects.</w:t>
      </w:r>
    </w:p>
    <w:p>
      <w:pPr>
        <w:spacing w:after="0" w:line="6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operating our business and providing services to customers and end users, we collect, use, store, transmit and otherwise process various types of data. While we take measures to comply with all applicable cybersecurity and data privacy laws and regulations, we face risks and challenges inherent in processing and protecting large volume of data, including:</w:t>
      </w:r>
    </w:p>
    <w:p>
      <w:pPr>
        <w:spacing w:after="0" w:line="81" w:lineRule="exact"/>
        <w:rPr>
          <w:sz w:val="20"/>
          <w:szCs w:val="20"/>
          <w:color w:val="auto"/>
        </w:rPr>
      </w:pPr>
    </w:p>
    <w:p>
      <w:pPr>
        <w:ind w:left="10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the data collected, stored and processed on our technology systems, including against attacks on our system by outside parties or fraudulent behavior or improper use by our employees;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concerns related to privacy and sharing, safety, security and other factors, including properly sanitizing personal data collected; and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applicable laws, rules and regulations relating to the collection, use, storage, transfer, disclosure and security of personal information and other data.</w:t>
      </w:r>
    </w:p>
    <w:p>
      <w:pPr>
        <w:spacing w:after="0" w:line="160" w:lineRule="exact"/>
        <w:rPr>
          <w:sz w:val="20"/>
          <w:szCs w:val="20"/>
          <w:color w:val="auto"/>
        </w:rPr>
      </w:pPr>
    </w:p>
    <w:p>
      <w:pPr>
        <w:jc w:val="both"/>
        <w:ind w:left="120" w:right="300" w:firstLine="440"/>
        <w:spacing w:after="0" w:line="267" w:lineRule="auto"/>
        <w:rPr>
          <w:sz w:val="20"/>
          <w:szCs w:val="20"/>
          <w:color w:val="auto"/>
        </w:rPr>
      </w:pPr>
      <w:r>
        <w:rPr>
          <w:rFonts w:ascii="Times New Roman" w:cs="Times New Roman" w:eastAsia="Times New Roman" w:hAnsi="Times New Roman"/>
          <w:sz w:val="18"/>
          <w:szCs w:val="18"/>
          <w:color w:val="auto"/>
        </w:rPr>
        <w:t xml:space="preserve">The users’ data obtained by us through the </w:t>
      </w:r>
      <w:r>
        <w:rPr>
          <w:rFonts w:ascii="Times New Roman" w:cs="Times New Roman" w:eastAsia="Times New Roman" w:hAnsi="Times New Roman"/>
          <w:sz w:val="18"/>
          <w:szCs w:val="18"/>
          <w:i w:val="1"/>
          <w:iCs w:val="1"/>
          <w:color w:val="auto"/>
        </w:rPr>
        <w:t>WeRide Go</w:t>
      </w:r>
      <w:r>
        <w:rPr>
          <w:rFonts w:ascii="Times New Roman" w:cs="Times New Roman" w:eastAsia="Times New Roman" w:hAnsi="Times New Roman"/>
          <w:sz w:val="18"/>
          <w:szCs w:val="18"/>
          <w:color w:val="auto"/>
        </w:rPr>
        <w:t xml:space="preserve"> app, our online taxi platform, is stored on the cloud provided by a leading cloud service supplier in China. We have reached written agreements with this cloud service supplier on data security obligations, requiring it to adopt appropriate technical measures and management measures to protect the data.</w:t>
      </w:r>
    </w:p>
    <w:p>
      <w:pPr>
        <w:spacing w:after="0" w:line="175"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Even with the aforementioned agreements, we do not control the cloud services provided by the aforementioned cloud service supplier, and there is a risk that such services may not be reliable. If the cloud service supplier violates the agreements or relevant regulations, we may incur additional costs and time to supervise their work, and we may be held responsible for their misconduct and face claims from users.</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When our L4 autonomous driving vehicles are in operation, with certain camera angle, camera accuracy and the relative speed and position between our vehicle and pedestrians or other vehicles under limited circumstances, the cameras of our vehicles may collect certain personal information. According to the Several Provisions on Vehicle Data Security Management (Trial Implementation), if it is impossible to obtain consent from individuals to collect and provide personal information outside the vehicle due to the need to ensure driving safety, anonymization should be performed, including deleting images containing natural persons that can be identified, or performing partial blurring of human figures in the videos. For personal information originated outside the vehicle, we are unable to obtain the consent of the relevant individuals. As such, we desensitize the videos collected by smearing facial features and license plates before such information leaves the vehicles. The original videos are deleted immediately after such desensitization is completed. However, we cannot assure you that the de-identification measures we take fully comply with regulatory requirements in this regard, the failure of which may subject us to administrative measures and severely disrupt our business operations.</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to the regulations on vehicle-collected data discussed above, the PRC regulatory and enforcement regime with regard to data security and data protection in general is evolving and may be subject to different interpretations or changes. Moreover, different PRC regulatory bodies, including the Standing Committee of the National People’s Congress, or the SCNPC, the MIIT, the CAC, the MPS and the State Administration for Market Regulation, or the SAMR, have enforced data privacy and protections laws and regulations with varying standards and applications. See “Item 4. Information on the Company—B. Business Overview—Regulations—Regulations Relating to Cybersecurity and Data Security” and “Item 4. Information on the Company—B. Business Overview—Regulations—Regulations Relating to Privacy.”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82"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December 2021, the CAC, together with other authorities, jointly promulgated the Revised Cybersecurity Review Measures, which became effective on February 15, 2022 and replaces its predecessor regulation. Pursuant to the Revised Cybersecurity Review Measures, critical information infrastructure operators that purchase internet products and services and network platform operators that conduct data processing activities must be subject to the cybersecurity review if their activities affect or may affect national security. The Revised Cybersecurity Review Measures further stipulates that a network platform operator that hold personal information of over one million users shall apply with the Cybersecurity Review Office for a cybersecurity review when it seeks to abroad. This requirement only applies in situations where a company is seeking to list its securities in other countries. Even if we become in possession of more than one million users’ personal information, this requirement will not apply, unless we seek to list our securities in countries other than the U.S. and China in the future.</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do not believe that the users’ data stored by our cloud services provider could result in us or the cloud services provider being subject to a cybersecurity review by the CAC. Under the Revised Cybersecurity Review Measures, a CAC cybersecurity review may be triggered when (i) operators of “critical information infrastructure” purchase network products and services that affect or may affect national security; (ii) network platform operators holding the personal information of more than one million users plan to list abroad; and (iii) network platform operators conduct data processing activities that affect or may affect national security. With respect to (i) and (ii), we have not been designated by the relevant PRC authorities as an operator of “critical information infrastructure” and are currently not in possession of more than one million users’ data. In terms of (iii), we do not believe that our handling of the data stored by our cloud service provider affects or may affect national security, given that (a) we only collect user data necessary for providing our services and ensuring user safety, and none of such data is considered “important data” under the relevant PRC regulations that may endanger national security and public interests if tampered with, damaged, disclosed, illegally obtained or illegally utilized; (b) the amount of personal information we hold is currently far less than one million; (c) we have adopted security measures to safeguard users’ data stored in the cloud and prevent cybersecurity incidents such as data breach, tampering, damage or loss; and (d) the users’ data stored in the cloud are not provided to any non-PRC entities in any form. As of the date of this annual report, we have not been subject to or received any notice requiring us to file for a cybersecurity review by the CAC with respect to the users’ data stored by our cloud services provider.</w:t>
      </w:r>
    </w:p>
    <w:p>
      <w:pPr>
        <w:spacing w:after="0" w:line="18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As of the date of this annual report, we have not been designated by the relevant PRC authorities as a critical information infrastructure operator, nor have we been involved in any formal investigations on cybersecurity review made by the CAC or any other PRC authority on such basis or any cybersecurity-related warning or sanction from the PRC government or any notice from relevant authorities specifying us to file for the cybersecurity review.</w:t>
      </w:r>
    </w:p>
    <w:p>
      <w:pPr>
        <w:spacing w:after="0" w:line="180" w:lineRule="exact"/>
        <w:rPr>
          <w:sz w:val="20"/>
          <w:szCs w:val="20"/>
          <w:color w:val="auto"/>
        </w:rPr>
      </w:pPr>
    </w:p>
    <w:p>
      <w:pPr>
        <w:ind w:left="120" w:right="480" w:firstLine="440"/>
        <w:spacing w:after="0" w:line="261" w:lineRule="auto"/>
        <w:rPr>
          <w:sz w:val="20"/>
          <w:szCs w:val="20"/>
          <w:color w:val="auto"/>
        </w:rPr>
      </w:pPr>
      <w:r>
        <w:rPr>
          <w:rFonts w:ascii="Times New Roman" w:cs="Times New Roman" w:eastAsia="Times New Roman" w:hAnsi="Times New Roman"/>
          <w:sz w:val="18"/>
          <w:szCs w:val="18"/>
          <w:color w:val="auto"/>
        </w:rPr>
        <w:t>However, if we plan to list our securities on other foreign stock exchanges in the future, and if by that time the amount of users’ personal information we possess exceeds one million, we will be obligated to apply for a cybersecurity review. If and when we are required to go through a cybersecurity review, we face uncertainties as to whether we will be able to timely complete the review, or at all, which may bring substantial uncertainties to our future listing and financing plan, and therefore adversely affect our business and results of operations.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general, compliance with the existing PRC laws and regulations, as well as additional laws and regulations that PRC regulatory bodies may enact in the future, related to data security and personal information protection, may be costly and may result in additional expenses to us, and subject us to negative publicity, which could harm our reputation and business operations. There are also uncertainties with respect to how such laws and regulations will be implemented and interpreted in practice.</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to mainland China, we have also commenced testing and commercial autonomous driving vehicle operations overseas. As we expand our global footprints, we expect to be subject to laws and regulations in foreign jurisdictions, such as the U.S., regarding data privacy, protection, and security. These regimes may, among other things, impose data security requirements, disclosure requirements, and restrictions on data collection, uses, and sharing that may impact our operations and the development of our business. Currently, we have not offered any services to the general public in the United States and have not collected any consumer information there. However, our products and services may evolve to add new features and functionality to respond to market demand that may change our privacy obligations. Therefore, the full impact of these privacy regimes on our business is rapidly evolving across jurisdictions and remains uncertain at this time. Complying with these obligations could cause us to incur substantial costs and could increase negative publicity surrounding any incident that compromises user data. Failure to fully comply with these laws and regulations in overseas jurisdictions could also result in regulatory enforcement actions against us or otherwise subject us to significant liability, costs and a material loss of revenue resulting from the adverse impact on our reputation and brand. Any of such events could have materially adverse effect on our business, financial condition, results of operations and prospects.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82"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2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our autonomous driving technology products and services fail to meet evolving customer needs, respond to the industry evolution appropriately, tailor to developing use cases or to perform as expected, our ability to market or sell our products and services could be adversely affected.</w:t>
      </w:r>
    </w:p>
    <w:p>
      <w:pPr>
        <w:spacing w:after="0" w:line="2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order to succeed, we need to tailor our products and services to address rapidly-changing customer demands, the evolving autonomous driving technology and emerging user cases. Our results of operation will depend on our ability to adapt and respond effectively to these changes in a timely manner. We may not be equipped with the insight into new trends in the autonomous driving industry that could emerge and affect our business operations, and we may not be able to forecast and meet the continuously changing demands and preferences towards our products and services. If we fail to develop new features of our technology platform, autonomous driving vehicles or ADAS to meet the emerging marketing demands, we may lose our competitive edge over other industry participants. If we fail to accurately estimate the demand for our products and services, match the timing and quantities of component and supplies purchases to actual needs or successfully implement inventory management and other systems to accommodate the increased complexity in our supply chain, we may incur unexpected production disruption and storage, transportation and write-off costs, which could have a material adverse effect on our business, prospects, financial condition and operating results.</w:t>
      </w:r>
    </w:p>
    <w:p>
      <w:pPr>
        <w:spacing w:after="0" w:line="188"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Although we believe that our algorithms and data analysis technology are promising, we cannot assure you that our technology will achieve the required reliability for autonomous driving at a large scale commercially. There can be no assurance that our algorithms and data analytics could predict every single potential issue that may arise during the operation of our autonomous driving vehicles, the failure of which could lead to road accidents and casualties, and could materially and adversely affect our business, prospects, financial condition and results of operations.</w:t>
      </w:r>
    </w:p>
    <w:p>
      <w:pPr>
        <w:spacing w:after="0" w:line="180"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Furthermore, there can be no assurance that our customers and end users will be able to properly adapt to the different operation processes for our autonomous driving vehicles. Any accidents resulting from such failure to operate our autonomous driving vehicles properly could harm our brand and reputation, result in adverse publicity and product liability claims, and have a material adverse effect on our business, prospects, financial condition and operating results.</w:t>
      </w:r>
    </w:p>
    <w:p>
      <w:pPr>
        <w:spacing w:after="0" w:line="284"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continue to attract and retain customers, manage our relationship with them or increase their reliance on our products and services could materially and adversely affect our business and prospects.</w:t>
      </w:r>
    </w:p>
    <w:p>
      <w:pPr>
        <w:spacing w:after="0" w:line="5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Our relationship with our customers and business partners is crucial to our success. We generate revenue from (i) the sales of autonomous driving vehicles, primarily including robobuses, robotaxis and robosweepers, and related sensor suites, (ii) the provision of autonomous driving related operational and technical support services, and (iii) the provision of other technology services, including ADAS R&amp;D services, and intelligent data services. If we fail to maintain relationships with our customers, or fail to continue to attract new customers, or if our customers or end users reduce or cease the use of our products and services for any reason, our business, financial condition, results of operations and prospects may be materially and adversely affected.</w:t>
      </w:r>
    </w:p>
    <w:p>
      <w:pPr>
        <w:spacing w:after="0" w:line="18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addition, we depend on a limited number of customers, including certain shareholders of our company, to generate a substantial portion of our revenue. The revenue attributable to our five largest customers in 2022, 2023 and 2024 was RMB415.7 million, RMB307.6 million and</w:t>
      </w:r>
    </w:p>
    <w:p>
      <w:pPr>
        <w:ind w:left="120" w:right="60"/>
        <w:spacing w:after="0" w:line="269" w:lineRule="auto"/>
        <w:rPr>
          <w:sz w:val="20"/>
          <w:szCs w:val="20"/>
          <w:color w:val="auto"/>
        </w:rPr>
      </w:pPr>
      <w:r>
        <w:rPr>
          <w:rFonts w:ascii="Times New Roman" w:cs="Times New Roman" w:eastAsia="Times New Roman" w:hAnsi="Times New Roman"/>
          <w:sz w:val="17"/>
          <w:szCs w:val="17"/>
          <w:color w:val="auto"/>
        </w:rPr>
        <w:t>RMB164.7 million (US$22.6 million), respectively, accounting for 78.8%, 76.6% and 45.6% of our total revenue, respectively. The revenue attributable to our largest customer in 2022, 2023 and 2024 was RMB155.9 million, RMB222.3 million and RMB88.2 million (US$12.1 million), respectively, accounting for 29.6%, 55.3% and 24.4% of our total revenue, respectively. We derived 10.2%, 12.1% and 8.9% of our total revenue from related parties in 2022, 2023 and 2024, respectively. There is no assurance that we will be able to maintain or expand our relationships with our customers, or that we will be able to continue to serve them at current levels, or at all. If any of our customers significantly reduces or even ceases its use of our products and services, we may not be able to find alternative customers at comparable levels, or at all. In addition, we may not be able to continue to attract new customers. As a result, we may experience a decline in our revenue, which will negatively affect our results of operations and financial performance.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82"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autonomous driving technology and related software and hardware could have undetected defects or contain serious errors, which could create safety issues, reduce market adoption, damage our brand image, subject us to product recalls or expose us to product liability and other claims that could materially and adversely affect our business.</w:t>
      </w:r>
    </w:p>
    <w:p>
      <w:pPr>
        <w:spacing w:after="0" w:line="6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Our autonomous driving technology is highly technical and very complex, and has in the past and may in the future experience defects, errors or bugs at various stages of development. We may be unable to timely correct problems to our business partners’ and end users’ satisfaction. Additionally, there may be undetected errors or defects especially as we introduce new systems or as new versions are released. Undetected errors and defects may cause our autonomous driving vehicles that make up our fleet and the vehicles of our customers applying our autonomous driving technology to malfunction, which could result in serious injury to or death of the end users of vehicles, or those in the surrounding area. Errors or defects in our products and services may only be discovered after they have been tested, commercialized and deployed. We generally offer a limited warranty to our customers for our products in order to repair or replace for the aforementioned errors, defects or hardware component failures. However, subject to the product liability related laws and regulations in the jurisdictions where our products and services are offered, we may incur significant additional development costs and product recall, repair or replacement costs, or more importantly, liability for personal injury or property damage caused by such errors or defects, as these problems would also likely result in claims against us. The occurrence of any of the above will cost us significant expense and diversion of management attention and other resources. Our reputation or brand may be damaged as a result of these problems and end customers may be reluctant to use our vehicles and services, which could adversely affect our ability to retain existing customers and attract new customers, and could materially and adversely affect our financial results.</w:t>
      </w:r>
    </w:p>
    <w:p>
      <w:pPr>
        <w:spacing w:after="0" w:line="187" w:lineRule="exact"/>
        <w:rPr>
          <w:sz w:val="20"/>
          <w:szCs w:val="20"/>
          <w:color w:val="auto"/>
        </w:rPr>
      </w:pPr>
    </w:p>
    <w:p>
      <w:pPr>
        <w:ind w:left="120" w:right="60" w:firstLine="440"/>
        <w:spacing w:after="0" w:line="269" w:lineRule="auto"/>
        <w:rPr>
          <w:sz w:val="20"/>
          <w:szCs w:val="20"/>
          <w:color w:val="auto"/>
        </w:rPr>
      </w:pPr>
      <w:r>
        <w:rPr>
          <w:rFonts w:ascii="Times New Roman" w:cs="Times New Roman" w:eastAsia="Times New Roman" w:hAnsi="Times New Roman"/>
          <w:sz w:val="17"/>
          <w:szCs w:val="17"/>
          <w:color w:val="auto"/>
        </w:rPr>
        <w:t>For each autonomous driving vehicle type we have developed, the vehicles that adopt our ADAS and our future autonomous driving vehicle models, once production begins, we may experience product liability disputes and product recalls, which could adversely affect our brand in our target markets and could adversely affect our business, prospects, financial conditions and results of operations. Any product liability dispute or product recall in the future may result in adverse publicity, damage our brand and materially adversely affect our business, prospects, operating results, and financial condition. In the future, we may be subject to product recalls if any of the components of our autonomous driving vehicles prove to be defective or non-compliant with applicable motor vehicle safety standards. Such recalls typically involve significant expense and diversion of management attention and other resources, which could adversely affect our brand image, as well as our business, prospects, financial condition and results of operations. In addition, we could face material legal claims for breach of contract, product liability, tort or breach of warranty as a result of defects and errors in our software and hardware. Any such lawsuit may cause irreparable damage to our brand and reputation. In addition, defending a lawsuit, regardless of its merit, could be costly and may divert management’s attention and adversely affect the market’s perception of our brand and our products. In addition, our business liability insurance coverage could prove inadequate with respect to a claim and future coverage may be unavailable on acceptable terms or at all. These product-related issues could result in claims against us and our business could be materially and adversely affected.</w:t>
      </w: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execute our growth strategies successfully or manage our growth, and as a result, our business may be adversely affected.</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ability to maintain or enhance our growth rates and achieve profitability partially depends on our ability to increase our revenue and operating income through a series of organic growth initiatives. Our growth strategies include to grow business to reach large-scale commercialization, continue to strengthen our technology, reduce cost and improve operational efficiency, expand global presence and to broaden strategic partnership. However, we may not be able to execute on these strategies as effectively as anticipated. Our ability to execute on these strategies depends on a number of factors, including:</w:t>
      </w:r>
    </w:p>
    <w:p>
      <w:pPr>
        <w:spacing w:after="0" w:line="89" w:lineRule="exact"/>
        <w:rPr>
          <w:sz w:val="20"/>
          <w:szCs w:val="20"/>
          <w:color w:val="auto"/>
        </w:rPr>
      </w:pPr>
    </w:p>
    <w:p>
      <w:pPr>
        <w:ind w:left="1080" w:right="42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build on our technological and business milestones to advance towards full commercialization across robotaxi, robobus, robovan, robosweeper and other autonomous driving use cases;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82"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work with OEMs and other suppliers to scale up our products and services to meet our customers’ needs;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work with business partners to bring state-of-the-art ADAS to the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deliver our technology through providing autonomous driving products and services;</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have adequate capital resources to expand and optimize our technology platform, expand our offerings, enhance our data capabilities and increase our spending on talent development;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upgrade our technology platform and to accelerate the evolution of our product and service offerings;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successful execution of our overseas expansion plan;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operational efficiency;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strengthen our existing partnerships and enter into new strategic partnerships with industry leaders across the value chain;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train and retain top talent in the autonomous driving industry;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navigate an evolving and complex regulatory environment.</w:t>
      </w:r>
    </w:p>
    <w:p>
      <w:pPr>
        <w:spacing w:after="0" w:line="225"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Our current and future autonomous driving products and services may not generate the expected levels of sales and profitability, and our growth strategies may not lead to commercialization necessary to achieve a comparable level of profitability. To the extent that we are unable to execute on our growth strategies in accordance with our expectations and fail to achieve the expected levels of sales and profitability, our business and results of operations may be adversely impacted. In addition, our growth may continue to fluctuate and may be below our historical rates. Therefore, we cannot assure you that we will achieve and subsequently maintain profitability in the future.</w:t>
      </w:r>
    </w:p>
    <w:p>
      <w:pPr>
        <w:spacing w:after="0" w:line="287"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lack of requisite approvals, licenses or permits applicable to our business operation may have a material and adverse impact on our business and results of operations.</w:t>
      </w:r>
    </w:p>
    <w:p>
      <w:pPr>
        <w:spacing w:after="0" w:line="5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business is subject to intense regulation, and we are required to hold a number of licenses and permits in connection with our business operations. We have obtained all of the requisite licenses and permits from the PRC government authorities that are material for our business operations. However, we cannot assure you that we will be able to renew the licenses and permits that we have obtained, or obtain new licenses and permits for our business operations, when necessary in a timely manner, or at all.</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currently collaborate with Guangzhou Yuji Technology Co., Ltd., or Guangzhou Yuji, a service provider that possesses a navigation electronic map production and surveying license, to provide surveying and mapping services to our company. Under this arrangement, Guangzhou Yuji provides us with HD maps services to complement the vision of our sensors. In October 2022, in order to comply with certain regulatory development, we expanded our cooperation scope with Guangzhou Yuji to also cover the conduction of activities that requires qualification in order to facilitate the operation of our vehicles. If our cooperation with Guangzhou Yuji is terminated or expire without timely renewal for any reason, and we cannot reach similar cooperation arrangements with other qualified service providers on terms acceptable to us, or at all, we may have to halt the relevant operation of our vehicles until we can obtain such licenses, if ever. Any of the foregoing may disrupt our operations and may materially and adversely affect our business, financial condition and results of operations.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82"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addition, new laws and regulations may be enforced from time to time to require additional licenses and permits other than those we currently have. We cannot assure you that we will be able to obtain such licenses and permits in a timely and cost-effective manner. If any applicable local government authorities consider that we were operating without the proper approvals, licenses or permits, they have the power to, among other things, levy fines, confiscate our income, revoke our business licenses, and require us to discontinue our relevant business or impose restrictions on the affected portion of our business. Any of these actions by government authorities may have a material and adverse effect on our business, financial condition, results of operations, reputation and prospects, as well as the trading price of our ADSs.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only recently started to generate revenue and have not been profitable, which may continue in the future.</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have only recently started to generate revenue and have not been profitable since our inception. We incurred loss for the year of RMB1,298.5 million, RMB1,949.1 million and RMB2,516.8 million (US$344.8 million) in 2022, 2023 and 2024, respectively. We have made significant up-front investments in research and development, administrative and selling expenses to rapidly develop and expand our business and technologies. We expect to continue to invest significantly in research and development, administrative and selling expenses, to establish and expand our business, and these investments may not result in an increase in revenue on a timely basis, or at all.</w:t>
      </w:r>
    </w:p>
    <w:p>
      <w:pPr>
        <w:spacing w:after="0" w:line="183"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may not generate sufficient revenue or we may incur substantial losses for a number of reasons, including the lack of demand for our products and services, increasing competition, challenging macro-economic environment as well as other risks discussed herein, and we may incur unforeseen expenses, or encounter difficulties, complications and delays in generating revenue or achieving profitability. In addition, our continuous operation depends on our capability to improve operating cash flows as well as our capacity to obtain sufficient external equity or debt financing. If we do not succeed in achieving profitability and maintaining and enhancing our cash position, we may have to limit the scale of our operations, which may limit our business growth and adversely affect our financial condition and results of operations.</w:t>
      </w:r>
    </w:p>
    <w:p>
      <w:pPr>
        <w:spacing w:after="0" w:line="291"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or generate sufficient capital to maintain our operations and finance our growth strategies, or fail to do so on favorable or commercially acceptable terms to us, our operations and prospects could be negatively affected.</w:t>
      </w:r>
    </w:p>
    <w:p>
      <w:pPr>
        <w:spacing w:after="0" w:line="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 continue to support our growth and strategic objectives, we need significant capital to, among other things, conduct research and development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for our autonomous driving technology platform, attract and retain top talent, launch new autonomous driving vehicle types, offer more advanced ADAS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features, maintain and grow our fleet, expand our customer base and provide quality technical support services. Our capital expenditures, which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represent payments for purchase of intangible assets, property and equipment, were RMB82.7 million, RMB37.0 million and RMB85.5 million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(US$11.7 million) in 2022, 2023 and 2024, respectively. We expect our capital expenditures to continue to be significant in the foreseeable future as we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expand our business and continue to invest in technological development, and that our level of capital expenditures may be significantly affected by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customers’ demand for our products and services. The fact that we have a limited operating history and we operate in a novel and evolving industry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means we have limited historical data on the demand for our products and services. As a result, our future capital requirements may be uncertain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actual capital requirements may be different from those we currently anticipate especially in the fast-evolving autonomous driving industry that we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operate. In addition, we may need a substantial amount of cash to fulfill certain covenants under our agreements with business partners. For example,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pursuant to the shareholders agreement we entered into on July 10, 2019 with two investors, if the joint venture company established by these investors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us does not complete an initial public offering within six years after its incorporation, we may be required by one of the investors to repurchase all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 a part of its equity interests in the joint venture, and may need to pay the other investor certain amount of cash to ensure its investment return. As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result, we recognized put option liabilities of RMB40.4 million and RMB41.1 million (US$5.6 million) as of December 31, 2023 and 2024, respectively.</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Note 24 to our audited consolidated financial statements included elsewhere in this annual report and “Item 5. Operating and Financial Review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Prospects—B. Liquidity and Capital Resources—Material Cash Requirements—Contractual Obligations.”</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40"/>
          </w:cols>
          <w:pgMar w:left="320" w:top="482"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plan to raise capital in the near term, through equity or other financings including issuance of additional shares or ADSs to achieve the foregoing and other strategic goals. As a result of issuing additional shares or ADSs, including through listing our equity on additional exchanges, follow-on offerings, registered direct offerings, at-the-market offerings, and private placements, our shareholders and holders of our ADSs should expect to experience dilution and the price of our shares or ADSs may be volatile. Our ability to obtain the necessary equity or other financings to carry out our business plan is subject to a number of factors, including required regulatory approvals, general market conditions, our ability to negotiate favorable terms, investor acceptance of our business plans and other factors. These factors may make the timing, amount, terms and conditions of such financing unattractive or unavailable to us. If we are unable to raise sufficient funds to support liquidity, we will have to significantly reduce our spending, or delay or cancel our planned activities. We might not be able to obtain any funding, and we might not have sufficient resources to conduct our business as projected, both of which may have a material adverse impact on our business operations and prospects, and could mean that we would be forced to curtail or discontinue our operations.</w:t>
      </w:r>
    </w:p>
    <w:p>
      <w:pPr>
        <w:spacing w:after="0" w:line="194"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In addition, our future capital needs and other business reasons could require us to issue additional equity or debt securities or obtain a credit facility. The sale of additional equity or equity-linked securities could dilute our existing shareholders. The incurrence of indebtedness would result in increased debt service obligations and could subject us to operating and financing covenants that would restrict our operations or our ability to pay dividends to our shareholders.</w:t>
      </w:r>
    </w:p>
    <w:p>
      <w:pPr>
        <w:spacing w:after="0" w:line="284"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historically received government grants, but we cannot guarantee that we will continue to receive such grants or subsidies in the future. In addition, the changes in U.S. and international trade policies, particularly with regard to China, may adversely impact our business and operation results in the long term.</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historically received government grants and recognized government grants as other net income of RMB19.7 million, RMB14.4 million and RMB14.1 million (US$1.9 million) in 2022, 2023 and 2024, respectively. We also recorded government grants received with conditions of RMB176.4 million and RMB184.5 million (US$25.3 million) in other payables as of December 31, 2023 and 2024, respectively, and RMB6.5 million and RMB4.7 million (US$0.6 million) in other non-current liabilities as of December 31, 2023 and 2024, respectively. However, there is no assurance of the continued availability of the government grants currently enjoyed by us, any reduction or elimination of which would have an adverse effect on our financial condition. Our eligibility for government grants depends on a variety of factors, including the relevant government policies, the availability of funding at different granting authorities, and the development progress made by other peer companies. In addition, the timing, amount and criteria of government financial incentives are determined within the sole discretion of the local government authorities and cannot be predicted with certainty before we actually receive any financial incentive. Under the terms and conditions of the governments grants received and anticipated to be received, we are required to meet certain requirements, such as completing foreign capital investment, achieving enterprise scale targets, completing R&amp;D project acceptance, and tax contribution in a specified region. Further, there are also government grants that have no conditions attaching to them and such grants are recognized as other net income when the grants are received.</w:t>
      </w:r>
    </w:p>
    <w:p>
      <w:pPr>
        <w:spacing w:after="0" w:line="19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Currently, we sell a portion of our vehicles to customers in China. While we have started to sell vehicles internationally, these sales have not yet achieved scale, and the volume remains low with high pricing. The limited scale of our international sales does not pose a significant threat to the competitive landscape in those markets. As a result, we believe that the risk of tariffs or other non-tariff trade barriers being imposed on our vehicles due to the government subsidies we receive is currently remote. However, in the long term, we cannot rule out the possibility that our company may be subject to tariffs or other non-tariff trade barriers as our international presence grows. In addition, trade-related tensions between China and the United States and other jurisdictions remain an important source of potential risk, and such tension may intensify in the future, resulting in the imposition of more tariffs or other trade restrictions, especially to the companies receiving government grants from PRC, like us. If we plan to offer an increased number of vehicles internationally, any unfavorable government policies on international trade, such as capital controls or tariffs, may affect the demand for our products, impact the competitive position of our products or prevent us from being able to sell products in certain countries. If any new tariffs, legislation and/or regulations are implemented, or if existing trade agreements are renegotiated, such changes could have a material adverse effect on our business, financial condition, or results of operations. In addition, future actions or escalations by either the United States or China that affect trade relations may cause global economic turmoil and potentially have a negative impact on our business.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82"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possible that the unit economics of our autonomous driving vehicles do not materialize as expected, which could adversely affect our business prospects.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business model is partially premised on our future expectations and assumptions regarding unit economics of our robotaxi, robobus, robovan and potentially other autonomous driving vehicles, as labor costs associated with human drivers are largely removed from the overall cost structure and each vehicle can operate for extended hours. There are uncertainties in these assumptions, and we may not be able to achieve the unit economics we expect for many reasons, including but not limited to costs of the autonomous driving system hardware, other fixed and variable costs associated with autonomous driving vehicle operation, useful life of autonomous driving vehicles, vehicle utilization and product pricing. To manage hardware costs, we must engineer cost-effective designs for our sensors, computers and vehicles, achieve adequate scale, and continue to enable software improvements. In addition, we must continually push initiatives to optimize other cost components such as maintenance and insurance costs. This will require significant coordination with our OEM partners and suppliers. Adequate cost management may not materialize as expected, or at all, which would have material adverse effects on our business prospects.</w:t>
      </w:r>
    </w:p>
    <w:p>
      <w:pPr>
        <w:spacing w:after="0" w:line="188"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Autonomous driving technology, products and services are new to market, and the appropriate price points are still being assessed by the market. Additionally, increased competition may result in pricing pressure and reduced margins and may impede our ability to increase revenue or cause us to lose market share, any of which could materially and adversely affect our business, financial condition and results of operations. Unfavorable changes in any of these or other unit economics-related factors, many of which are beyond our control, could materially and adversely affect our business, prospects, financial condition and results of operations.</w:t>
      </w:r>
    </w:p>
    <w:p>
      <w:pPr>
        <w:spacing w:after="0" w:line="179"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cooperate with a large number of business partners, including, among others, OEMs, Tier 1 suppliers, logistics and urban service providers, and others. Collaboration with third parties subject us to risks.</w:t>
      </w:r>
    </w:p>
    <w:p>
      <w:pPr>
        <w:spacing w:after="0" w:line="5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Strategic business relationships are and will continue to be an important factor in the growth and success of our business. We have established a robust ecosystem consisting of OEMs, Tier 1 suppliers, logistics and urban service providers, and others. A number of our partners have also become our shareholders and invested in our future, demonstrating their strong conviction in our technology and go-to-market strategy and providing further validation to our product and service offerings. Components manufactured by OEMs or our Tier-1 suppliers could contain defects that would cause our autonomous driving vehicles to fail to operate as intended. We will also need to identify and negotiate additional relationships with other third parties. We may not be able to successfully identify and negotiate definitive agreements with these business partners on terms that are attractive or at all, which would cause us to incur increased costs to develop and provide these capabilities.</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Collaboration with these third parties is subject to risks, some of which are outside our control. We could experience delays to the extent our partners do not meet the agreed upon timelines or experience capacity constraints. We could also experience disagreement in budget or funding for the joint development project. There is also a risk of other potential disputes with partners in the future, including with respect to intellectual property rights. In addition, our ability to successfully commercialize could also be adversely affected by perceptions about the quality of our or our partners’ products and services. If our existing partner agreements were to be terminated, we may be unable to enter into new agreements on terms and conditions acceptable to us. The expense and time required to complete any transition, and to assure that vehicles manufactured at facilities of new third-party partners comply with our quality standards and regulatory requirements, may be greater than anticipated. Any of the foregoing could adversely affect our business, results of operations, and financial condition.</w:t>
      </w:r>
    </w:p>
    <w:p>
      <w:pPr>
        <w:spacing w:after="0" w:line="296"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ability to make payments may be negatively impacted by the economic downturns, leading to longer payment cycles and increased difficulties in collecting receivables, which poses a risk to our cash flow and overall liquidity.</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Some of our customers may experience reduced payment capabilities due to a downturn in the macroeconomic environment, leading to extended payment cycles and making it more challenging for us to collect receivables. For example, our impairment loss on receivables and contract assets significantly increased from RMB11.7 million in 2022 to RMB40.2 million in 2023, primarily attributable to the aging deterioration of receivables and contract assets, as a result of slowed cash collection from our customers, and the increase of our balances of receivables. Our impairment loss on receivables and contract assets decreased from RMB40.2 million in 2023 to RMB28.7 million (US3.9 million) in 2024, as we enhanced our collection of receivables. There is no assurance that the financial position of our customers will remain healthy in the future. If our customers experience financial distress or are unable to settle their payments in a timely manner or at all, our liquidity and the financial condition could be adversely affected.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82"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some key components in our vehicles come from limited sources of supply, we may be susceptible to supply shortages, price adjustment, long lead time for components and other supply changes, any of which could disrupt our supply chain.</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Most of the components that are used to, or to be used to, manufacture our autonomous driving vehicles are sourced from third-party suppliers and our OEM partners. We have limited experience in managing a large supply chain to manufacture and deliver vehicles at scale. In addition, some of the key components used to manufacture our autonomous driving vehicles come from limited sources of supply. We may therefore be subject to the risk of shortages and long lead times in the supply of these components and the risk that our suppliers discontinue or modify components used in our vehicles. In addition, our agreements with most of our third-party suppliers are non-exclusive and the availability and pricing of the components provided may be beyond our control. In 2022, 2023 and 2024, we did not experience shortages in the supply of key components from our major suppliers. However, we may be subject to component shortages or pricing fluctuations in the future which could materially and adversely affect our business and results of operations. In the event of a component shortage, supply interruption or material pricing change from suppliers of these components, our business partners who manufacture our autonomous driving vehicles may not be able to develop alternate sources in a timely manner in the case of limited sources. Developing alternate sources of supply for these components may be time-consuming, difficult and costly, and our business partners who manufacture our autonomous driving vehicles may not be able to source these components on terms that are acceptable to us, which may undermine our ability to meet our requirements or to fill customer orders in a timely manner. Any interruption or delay in the supply of any of these parts or components, or the inability to obtain these parts or components from alternate sources at acceptable prices and within a reasonable amount of time, would adversely affect our ability to meet our product launch timeline or scheduled product deliveries to users. This could adversely affect our relationships with our customers and could delay the expansion of our operations, including with our business partners who manufacture our autonomous driving vehicles. Even where we are able to pass increased component costs along to our customers, there may be a lapse of time before we are able to do so such that we must absorb the increased cost initially. If we are unable to source these components in quantities sufficient to meet our requirements on a timely basis, we will not be able to meet customer demand, which may result in our customers using competitive services instead of ours.</w:t>
      </w:r>
    </w:p>
    <w:p>
      <w:pPr>
        <w:spacing w:after="0" w:line="295" w:lineRule="exact"/>
        <w:rPr>
          <w:sz w:val="20"/>
          <w:szCs w:val="20"/>
          <w:color w:val="auto"/>
        </w:rPr>
      </w:pPr>
    </w:p>
    <w:p>
      <w:pPr>
        <w:ind w:left="120"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stable and sufficient supply of high-quality raw materials, equipment, and other necessary supplies. Any increases in prices or interruptions in supply could negatively impact our business, profitability and results of operations.</w:t>
      </w:r>
    </w:p>
    <w:p>
      <w:pPr>
        <w:spacing w:after="0" w:line="5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purchase research and development equipment, raw materials, reagent consumables, and various goods and services from third-party suppliers and service providers for our operations. If these third parties fail to deliver supplies that meet legal and regulatory requirements, contract terms, or our standards, it could compromise the quality of our products and solutions and even harm our reputation. Additionally, various factors may influence the prices of our supplies, including economic conditions, market supply and demand, environmental and regulatory requirements, natural disasters, both domestically and globally. If there are significant price increases for these supplies, we may need to pass those increased costs on to our customers. However, there is no guarantee that we will be able to raise the prices of our products and services enough to cover these increased costs. Accordingly, any substantial rise in supply prices could adversely affect our business, profitability and results of operations.</w:t>
      </w:r>
    </w:p>
    <w:p>
      <w:pPr>
        <w:spacing w:after="0" w:line="189"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We might also face shortages of the supplies, due to capacity constraints or market delays and disruptions, particularly in light of supply chain challenges caused by global pandemics, natural disasters, and international trade tensions. Even when our required supplies are available, we may still struggle to secure adequate quantities at a reasonable price. Our inability to secure supplies in adequate amounts and under commercially acceptable terms could delay, hinder, or compromise our research and development efforts, and may have a material adverse effect on our business, financial condition, results of operation, and prospects.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82"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from current and future competitors. If we fail to commercialize our technology before our competitors, develop superior technology and products, or compete effectively, we may lose our market share or fail to gain additional market share, and our growth and financial condition may be adversely affected.</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face competition from autonomous driving industry participants in each of our product and service offerings which will only intensify if we introduce additional vehicle types or expand the use cases of our autonomous technology. Competition is based primarily on technology, ability to source capital, safety, efficiency and cost-effectiveness. Our future success will depend on our ability to maintain our leading competitive position with respect to our technological advances over our existing and any new competitors. We face competition, both in mainland China and internationally, from autonomous driving companies that offer autonomous driving technologies, products and services. We may also face competition from automotive OEMs global-wise and other global technology giants, particularly those who are building internal autonomous driving development programs. In addition, because the autonomous driving market is relatively nascent, our OEM partners and we have been and are expected to continue exploring different business models and innovating our product and service offerings. Our OEM partners may launch autonomous driving vehicles that potentially compete with our vehicles for customers, end users and market share.</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Some of our current and potential competitors have greater financial, technical and other resources than us and may be able to deploy greater resources to the advancement of autonomous driving technologies. In addition, our competitors in certain geographic markets may enjoy substantial competitive advantages such as greater brand recognition, longer operating histories, better localized knowledge and more supportive regulatory regimes. Some of our competitors may be capable of offering innovative service and product offerings and more desirable pricing models. As a result, such competitors may be able to respond more quickly and effectively than us in such markets to new or changing opportunities, technologies, consumer preferences, regulations, or standards, which may render our products or offerings less attractive. We cannot be certain that the pace of our growth or our product offerings will meet the demand of our customers and end users at all times, the failure of which may materially and adversely affect our business, prospects, financial condition and results of operations. Furthermore, increased competition could also intensify our pricing pressure and force us to adjust our pricing strategies to maintain and grow our market share. We may not have the same financial resources as our competitors that allow us to adjust pricing, which may result in a loss of customers and future market share. On the other hand, if we follow the downward price adjustment trend, our ability to generate revenue and achieve profitability may be adversely affected.</w:t>
      </w:r>
    </w:p>
    <w:p>
      <w:pPr>
        <w:spacing w:after="0" w:line="296"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the experience and expertise of our senior management team, technical engineers and certain key employees, and the loss of any executive officer or key employee, or the inability to identify, recruit or retain executive officers, technical engineers and key employees in a timely manner, could harm our business, operating results, and financial condition.</w:t>
      </w:r>
    </w:p>
    <w:p>
      <w:pPr>
        <w:spacing w:after="0" w:line="67"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key executive officers and certain key employees. We rely on our executive officers and key employees in the areas of business strategy, research and development, marketing, sales, services and general and administrative functions. There had been, and may from time to time be, changes in our executive management team. There may also be disputes and proceedings surrounding compensation, non-compete obligations and intellectual properties with former employees. Such changes, disputes and proceedings could disrupt our business, result in negative publicity of our company, and cause diversion of management attention and financial resources. We do not maintain key-man insurance for any member of our senior management team or any other employee. The loss of one or more of our executive officers or key employees could have a material adverse effect on our business.</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To execute our growth plan, we must attract and retain highly qualified personnel. Competition for talent is intense in the autonomous driving industry and the technology-related labor market in general, especially for engineers with high levels of experience in designing and developing autonomous driving related algorithms. We may also need to recruit highly qualified personnel internationally. We have, from time to time, experienced, and we expect to continue to experience, difficulty in hiring and retaining employees with appropriate qualifications. Many of the companies with which we compete for experienced personnel have greater resources than we have and can offer more attractive compensation packages for new employees. If we hire employees from competitors or other companies, their former employers may attempt to assert that these employees or our company have breached their legal obligations, resulting in a diversion of our time and resources and potentially in litigation. In addition, job candidates and existing employees often consider the value of the share incentive awards they receive in connection with their employment. If the perceived value of our share awards declines, it may adversely affect our ability to recruit and retain highly skilled employees. If we fail to attract new personnel on a timely basis or fail to retain and motivate our current personnel, we may not be able to commercialize and then expand our technology platform in a timely manner and our business and future growth prospects could be adversely affected.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82"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expansion into new geographical areas and jurisdictions involves inherent risks, which may adversely affect our business and results of operations.</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expansion into new geographical areas and jurisdictions involves new risks and challenges associated with such new markets, such as obtaining permit to conduct test driving and further, commercial operation, of our autonomous driving vehicles in these new geographical areas and jurisdictions. We may also need to adjust our pricing policies to adapt to local economic condition. Furthermore, our expansion into international markets will require us to respond timely and effectively to rapid changes in market conditions in the relevant countries and regions. Our success in international expansion partially depends on our ability to succeed in different legal, regulatory, economic, environmental, social, and political conditions which we have little control over. Our business operations in new geographical areas and jurisdictions may be disrupted by changes in local laws, regulations and policies. We cannot assure that we will be able to execute on our business strategy or that our product and service offerings will be successful in such markets.</w:t>
      </w:r>
    </w:p>
    <w:p>
      <w:pPr>
        <w:spacing w:after="0" w:line="188" w:lineRule="exact"/>
        <w:rPr>
          <w:sz w:val="20"/>
          <w:szCs w:val="20"/>
          <w:color w:val="auto"/>
        </w:rPr>
      </w:pPr>
    </w:p>
    <w:p>
      <w:pPr>
        <w:jc w:val="both"/>
        <w:ind w:left="120"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Increasing focus with respect to environmental, social and governance matters may impose additional costs on us or expose us to additional risks. Failure to comply with the laws and regulations on environmental, social and governance matters may subject us to penalties and adversely affect our business, financial condition and results of operation.</w:t>
      </w:r>
    </w:p>
    <w:p>
      <w:pPr>
        <w:spacing w:after="0" w:line="67"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Companies across all industries are facing increasing scrutiny relating to their environmental, social and governance, or ESG, policies. Investors, lenders and other market participants are increasingly focused on ESG practices and in recent years have placed increasing importance on the implications and social cost of their investments. The increased focus and activism related to ESG calls for capital, investors and lenders to tilt their investment decisions to favor industries and companies with recognized ESG practices. We believe our autonomous technology delivers a safer transportation experience both for the passengers and the environment around by significant reducing the risk of accidents, particularly for those associated with human errors. We are dedicated to delivering optimization of vehicle controls and maneuvers that in turn brings improvement of energy efficiency. Despite our continual efforts to adapt to and comply with investor, lender or other industry shareholder expectations and standards related to ESG, we may not be able to always meet the evolving expectations and standards. We may be perceived to not have responded appropriately to the growing concern for ESG issues, regardless of whether there is a legal requirement to do so. We may therefore suffer from reputational damage, which will negatively affect our future business, financial condition and stock price.</w:t>
      </w:r>
    </w:p>
    <w:p>
      <w:pPr>
        <w:spacing w:after="0" w:line="298" w:lineRule="exact"/>
        <w:rPr>
          <w:sz w:val="20"/>
          <w:szCs w:val="20"/>
          <w:color w:val="auto"/>
        </w:rPr>
      </w:pPr>
    </w:p>
    <w:p>
      <w:pPr>
        <w:jc w:val="both"/>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export control, sanctions, trade policies and similar laws and regulations, and non-compliance of such laws, regulations, policies and administrative orders can subject us to administrative, civil and criminal fines and penalties, collateral consequences, remedial measures and legal expenses, all of which could adversely affect our business, financial condition and results of operations.</w:t>
      </w:r>
    </w:p>
    <w:p>
      <w:pPr>
        <w:spacing w:after="0" w:line="67"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Any Chinese companies or individuals targeted under U.S. economic sanctions or export control restrictions may lose access to the U.S. markets. U.S. entities and individuals may not be permitted to do business with sanctioned companies and individuals, and other international enterprises may as a matter of law and/or policy decide not to engage in transactions with such companies or individuals. A supplier of our company was recently impacted by U.S. export restrictions that prevent it from supplying certain integrated circuits to mainland China. The relevant integrated circuits are not among the components that we purchase from this supplier, and thus this development did not impact our activities with or involving this supplier and did not create disruptions for our business. However, we cannot assure you that similar restrictions will not be imposed with regard to the components that we source from this supplier or other integrated circuits we are currently sourcing. In addition, one of our suppliers was recently added to the list of Chinese Military Companies maintained by the Department of Defense, or DoD, although this will not impact our ability to transact with such supplier. The Chinese Military Companies list currently has no legal effect; however, effective June 30, 2027, section 805 of the National Defense Authorization Act for Fiscal Year 2024 will prohibit DoD from acquiring certain goods or services, including goods or services developed by a company identified on the Chinese Military Companies list or under its control. Outside of this DoD procurement restriction, the Chinese Military Companies list will not prohibit other transactions, including the provision of products from this supplier to us. Further, we do not supply the DoD and, accordingly, do not anticipate being affected when the procurement restriction takes effect in 2027. However, we cannot assure you that similar restrictions will not escalate in the future, resulting in our inability to source from such supplier or any other suppliers that are subject to similar restrictions. In addition, policies that are aimed at restricting U.S. or other foreign persons from supplying certain Chinese companies have been issued in the U.S. and other foreign jurisdictions in recent years. These measures could deter suppliers and investors in the United States and/or other countries that impose export controls and other restrictions from providing technologies and products to, making investments in, or otherwise engaging in transactions with Chinese companies. We may be affected by future changes in U.S. export control laws and regulations. In particular, the tightened U.S. export controls, including export controls related to the export to mainland China of certain advanced semiconductors and equipment to manufacture them, as well as export control on emerging technologies could become an additional barrier in securing sufficient supplies of semiconductors. In addition, in the future, if we, any of our customers, suppliers or other ecosystem partners that have collaborative relationships with our company or our affiliates were to become targeted under sanctions or export control restrictions, or if we were unable to source U.S.-origin software and components from third parties or otherwise access U.S. technology as a result of such regulatory changes, our product and service development, commercialization and other aspects of our business operations may be materially interrupted. In addition, under the Foreign Investment Risk Review Modernization Act, investments in companies that deal in critical technology are, in some instances, subject to filing requirements and, review and approval by the Committee on Foreign Investment in the United States, or CFIUS. The term critical technology includes, among others, technology subject to U.S. export controls and certain emerging and foundational technology. We currently do not produce, design, test, manufacture, fabricate or develop any critical technologies. As such, we do not believe there was any mandatory filing requirement with the CFIUS in connection with our initial public offering. However, if our technology is later considered as critical technology by CFIUS, future investment in our company could become subject to filing requirements, and we could be subject to potential enforcement actions in connection with such filings. The occurrence of any of the above could materially and adversely affect our business, prospects, results of operations and financial condition.</w:t>
      </w:r>
    </w:p>
    <w:p>
      <w:pPr>
        <w:sectPr>
          <w:pgSz w:w="11900" w:h="16838" w:orient="portrait"/>
          <w:cols w:equalWidth="0" w:num="1">
            <w:col w:w="11120"/>
          </w:cols>
          <w:pgMar w:left="320" w:top="482" w:right="459" w:bottom="1440" w:gutter="0" w:footer="0" w:header="0"/>
        </w:sectPr>
      </w:pPr>
    </w:p>
    <w:p>
      <w:pPr>
        <w:spacing w:after="0" w:line="13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82" w:right="45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According to the regulations of CFIUS, CFIUS has jurisdiction to review the following types of transactions: (1) “covered control transactions,” which are transactions that could result in control of a U.S. business directly or indirectly by a foreign person (whether or not that control is actually exercised, including transfers of a U.S. business from one foreign person to another), (2) “covered investments,” which are certain non-controlling investments in U.S. businesses that afford a foreign person access to material nonpublic technical information, board membership or observer rights, or substantive decision making in a U.S. business involved in critical technologies, critical infrastructure, or sensitive personal data (a “TID U.S. business”), (3) changes in rights that give a foreign person control over a U.S. business, (4) transactions designed or structured to evade CFIUS jurisdiction, and (5) certain acquisitions, leases, and concessions involving real estate that is proximate to identified sensitive U.S. military and intelligence assets.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31 C.F.R. §§ 800.213, 802.212.</w:t>
      </w:r>
    </w:p>
    <w:p>
      <w:pPr>
        <w:spacing w:after="0" w:line="19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However, according to the CFIUS rules, only certain covered control transactions and covered investments in a TID U.S. business would require mandatory filings to CFIUS. As a threshold matter, a mandatory filing is only required for certain investments in TID U.S. Businesses.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31 C.F.R. §§ 800.401.</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“TID U.S. business” is U.S. business that is involved “critical technologies,” “critical infrastructure,” and/or “sensitive personal data.”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Specifically, a “TID U.S. business is any U.S. business that:</w:t>
      </w:r>
    </w:p>
    <w:p>
      <w:pPr>
        <w:spacing w:after="0" w:line="112" w:lineRule="exact"/>
        <w:rPr>
          <w:sz w:val="20"/>
          <w:szCs w:val="20"/>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Produces, designs, tests, manufactures, fabricates, or develops one or more critical technologies;</w:t>
      </w:r>
    </w:p>
    <w:p>
      <w:pPr>
        <w:spacing w:after="0" w:line="130" w:lineRule="exact"/>
        <w:rPr>
          <w:rFonts w:ascii="Times New Roman" w:cs="Times New Roman" w:eastAsia="Times New Roman" w:hAnsi="Times New Roman"/>
          <w:sz w:val="18"/>
          <w:szCs w:val="18"/>
          <w:color w:val="auto"/>
        </w:rPr>
      </w:pPr>
    </w:p>
    <w:p>
      <w:pPr>
        <w:ind w:left="1080" w:right="920" w:hanging="532"/>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Performs the functions as set forth in column 2 of appendix A to 31 C.F.R. Part 800 with respect to covered investment critical infrastructure;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Maintains or collects, directly or indirectly, sensitive personal data of U.S. citizens.”</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31 C.F.R. § 800.248. In pertinent part, “critical technologies” include “[i]tems included on the Commerce Control List (CCL) set forth in Supplement No. 1 to part 774 of the Export Administration Regulations (EAR) (15 CFR parts 730-774), and controlled—(1) Pursuant to multilateral regimes, including for reasons relating to national security, chemical and biological weapons proliferation, nuclear nonproliferation, or missile technology; or (2) For reasons relating to regional stability or surreptitious listening” and “[e]merging and foundational technologies controlled under section 1758 of the Export Control Reform Act of 2018 (50 U.S.C. 4817).” 31 C.F.R. § 800.215. Items subject to the EAR that are not identified on the Commerce Control List are classified “EAR99,” and generally do not require a destination-based license, except to the Crimea region of Ukraine, Cuba, North Korea, and Syria, subject to certain exceptions for food, medicine, and some software. Certain specified EAR99 items also require a destination-based for Russia or Belarus.</w:t>
      </w:r>
    </w:p>
    <w:p>
      <w:pPr>
        <w:spacing w:after="0" w:line="192"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Based on the export control risk assessment by our U.S. export control counsel, all the items that we produce, design, test, manufacture, fabricate, or develop—including our proprietary software and certain proprietary hardware used on our autonomous vehicles—are classified EAR99, and the third-party hardware incorporated in our autonomous driving solutions are classified EAR99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not described on the Commerce Control List) or subject only to anti-terrorism controls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not multilateral controls). Therefore, we do not produce, design, test, manufacture, fabricate, or develop any “critical technologies.” We are also not involved in any covered investment critical infrastructure described in column 2 of Appendix A to 31 C.F.R. Part</w:t>
      </w:r>
    </w:p>
    <w:p>
      <w:pPr>
        <w:spacing w:after="0" w:line="3" w:lineRule="exact"/>
        <w:rPr>
          <w:sz w:val="20"/>
          <w:szCs w:val="20"/>
          <w:color w:val="auto"/>
        </w:rPr>
      </w:pPr>
    </w:p>
    <w:p>
      <w:pPr>
        <w:ind w:left="120" w:right="260" w:hanging="4"/>
        <w:spacing w:after="0" w:line="260" w:lineRule="auto"/>
        <w:tabs>
          <w:tab w:leader="none" w:pos="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do not sell any of our products in the United States, and therefore do not collect or maintain any sensitive personal data of U.S. persons. Therefore, we would not qualify as a TID U.S. Business.</w:t>
      </w:r>
    </w:p>
    <w:p>
      <w:pPr>
        <w:spacing w:after="0" w:line="18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maintain policies and procedures designed to ensure compliance with these regulations. However, such policies and procedures may not be sufficient, and our directors, officers, employees, representatives, consultants, agents and business partners could engage in improper conduct for which we may be held responsible. Non-compliance with these laws and regulations could subject us to adverse media coverage, investigations, and severe administrative, civil and criminal sanctions, collateral consequences, remedial measures and legal expenses, all of which could materially and adversely affect our business, prospects, results of operations, financial condition and reputation.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82"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Strategic acquisition of and investments in businesses and assets, and the subsequent integration of newly acquired businesses into our own, create significant challenges.</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To further expand our business and strengthen our market-leading position, we may tap into new market opportunities or enter into new markets by forming strategic alliances, including joint ventures, or making strategic investments and acquisitions. If we are presented with appropriate opportunities in the future, we may acquire or invest in additional businesses or assets that are complementary to our business. However, strategic acquisitions and the subsequent integration of new businesses and assets into our own would require significant attention from our management and could result in a diversion of resources from our existing business, which in turn could have an adverse effect on our business operations. In addition, acquisitions could result in potential dilutive issuances of equity securities, use of substantial amounts of cash, significant increase of our interest expense, leverage and debt service requirements if we incur additional debt to pay for an acquisition or investment and exposure to potential ongoing financial obligations and unforeseen or hidden liabilities of the acquired businesses. The cost and duration of, and difficulties in, integrating newly acquired businesses and managing a larger overall business could also materially exceed our expectations. On the other hand, we may not be able to successfully select investment and acquisition targets that supplement our business and growth strategies. After devoting significant resources to potential acquisitions, the transactions may not be closed successfully due to strengthened anti-monopoly enforcement in mainland China. Moreover, we may not be able to achieve our intended strategic synergies and may record substantial impairment charges to goodwill, if we fail to successfully integrate the newly acquired businesses or manage a larger business. Our equity investees may generate significant losses, a portion of which will be shared by us in accordance with IFRS. In addition, we may incur impairment losses if the financial or operating results of those investees fail to meet the expectations. No assurance can be given that our acquisitions, joint ventures and other strategic investments will be successful and any negative developments in connection with our acquisitions or strategic investment could have a material adverse effect on our business, reputation, results of operations and financial condition.</w:t>
      </w:r>
    </w:p>
    <w:p>
      <w:pPr>
        <w:spacing w:after="0" w:line="19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addition, we intend to pursue joint venture opportunities which we believe will allow us to expand into more markets and complement our growth strategy. We may be required to contribute significant amount of capital and managerial resources in forming joint ventures with third parties. We may not succeed in the collaboration with third parties to meet our performance and financial expectations, which could adversely impact our ability to meet internal forecasts and expectations. In addition, in forming joint ventures, we may not be able to, at all times, comply with local or foreign regulatory requirements, and the joint ventures may not be able to obtain necessary regulatory clearance, licenses and permits for its intended business purposes. Any of the foregoing could have a material adverse effect on our business, reputation, results of operations and financial condition.</w:t>
      </w:r>
    </w:p>
    <w:p>
      <w:pPr>
        <w:spacing w:after="0" w:line="291"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Misconduct or illegal actions of our third-party suppliers, manufacturers or other business partners could materially and adversely affect our reputation, business, financial condition and results of operations.</w:t>
      </w:r>
    </w:p>
    <w:p>
      <w:pPr>
        <w:spacing w:after="0" w:line="51" w:lineRule="exact"/>
        <w:rPr>
          <w:sz w:val="20"/>
          <w:szCs w:val="20"/>
          <w:color w:val="auto"/>
        </w:rPr>
      </w:pPr>
    </w:p>
    <w:p>
      <w:pPr>
        <w:ind w:left="120" w:right="20" w:firstLine="440"/>
        <w:spacing w:after="0" w:line="270" w:lineRule="auto"/>
        <w:rPr>
          <w:sz w:val="20"/>
          <w:szCs w:val="20"/>
          <w:color w:val="auto"/>
        </w:rPr>
      </w:pPr>
      <w:r>
        <w:rPr>
          <w:rFonts w:ascii="Times New Roman" w:cs="Times New Roman" w:eastAsia="Times New Roman" w:hAnsi="Times New Roman"/>
          <w:sz w:val="17"/>
          <w:szCs w:val="17"/>
          <w:color w:val="auto"/>
        </w:rPr>
        <w:t>We work with third parties in developing and providing our products and services, such as OEMs to develop and manufacture our autonomous driving vehicles. We carefully select our third-party suppliers, manufacturers and other business partners, but we are not able to fully control their actions. If these third parties fail to perform as we expect, experience difficulty in meeting our requirements or standards, fail to conduct their business ethically, fail to provide satisfactory services to end users, receive negative press coverage, violate applicable laws or regulations, breach the agreements with us, or if the agreements we have entered into with the third parties are terminated or not renewed, our business and reputation could be damaged. In addition, if such third-party business partners cease operations, temporarily or permanently, face financial distress or other business disruptions, increase their fees, or if our relationships with them deteriorate, we would suffer from increased costs, be involved in legal or administrative proceedings with or against our third-party service providers and experience delays in providing end users with similar services until we find or develop a suitable alternative. Furthermore, if we are unsuccessful in identifying high-quality partners, or establishing cost-effective relationships with them, or effectively managing these relationships, our business, prospects, financial conditions and results of operations would be materially and adversely affected.</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82"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disruption to our technology systems and facilities, operational systems, security systems, infrastructure or integrated software could adversely affect our business and results of operations.</w:t>
      </w:r>
    </w:p>
    <w:p>
      <w:pPr>
        <w:spacing w:after="0" w:line="51"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We collect and maintain information in digital form that is necessary to conduct our business, and we rely on our technology systems and facilities, comprising of our operational systems, data management systems, security systems, servers and others, in connection with many of our business activities. Some of these networks and systems are managed by third-party service providers and are not under our direct control, and as a result, a number of third-party service providers may or could have access to our confidential information. Our operations routinely involve receiving, storing, processing and transmitting confidential or sensitive information pertaining to our business, users, customers, ecosystem partners, employees and other sensitive matters, including intellectual property, proprietary business information and personal information. It is critical that we do so in a secure manner to maintain the confidentiality and integrity of such confidential or sensitive information. We have established physical, electronic, and organizational measures designed to safeguard and secure our systems to prevent a data compromise, and rely on commercially available systems, software, tools, and monitoring to provide security for our technology systems and the processing, transmission, and storage of digital information. Despite the implementation of preventative and detective security controls, such technology systems are vulnerable to damage or interruption from a variety of sources, including telecommunications or network failures or interruptions, system malfunction, natural disasters, malicious human acts, terrorism, and war. For example, our data held in third-party servers may be subject to access requests by regulators and others. Our technology systems and facilities, including our servers, are additionally vulnerable to physical or electronic break-ins, security breaches from inadvertent or intentional actions by our employees, third-party service providers, contractors, consultants, business partners, and/ 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w:t>
      </w:r>
    </w:p>
    <w:p>
      <w:pPr>
        <w:spacing w:after="0" w:line="195"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We have experienced attempts to breach our systems and other similar incidents, none of which have been material. Any future cyber incidents could, however, materially disrupt operational systems, result in the loss of trade secrets or other proprietary or competitively sensitive information, compromise personally identifiable information regarding end users or employees and jeopardize the security of our facilities. Any disruption to our technology system may also affect our ability to manage our data and inventory, procure parts or supplies or produce, sell and deliver our products and provide services to customers, adequately protect our intellectual property or achieve and maintain compliance with applicable laws, regulations and contracts.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can provide no assurance that our current technology systems, or those of the third parties upon which we rely, are fully protected against cybersecurity threats. It is possible that we or our third-party service providers may experience cybersecurity and other breach incidents that remain undetected for an extended period. Even when a security breach is detected, the full extent of the breach may not be determined immediately. Because techniques used to obtain unauthorized access or to sabotage systems change frequently and generally are not recognized until they are launched against a target, we may be unable to anticipate these techniques or to implement adequate preventative measures. Information technology security threats, including security breaches, computer malware and other cyber-attacks are increasing in both frequency and sophistication and could cause us to incur financial liability, subject us to legal or regulatory sanctions or damage our reputation with users, customers, ecosystem partners and other stakeholders. We continually seek to maintain information security and controls, however, our efforts to mitigate and address network security problems, bugs, viruses, worms, malicious software programs and security vulnerabilities may not be successful, and the impact of a material cybersecurity event could have a material adverse effect on our competitive position, reputation, results of operations, financial condition and cash flows.</w:t>
      </w:r>
    </w:p>
    <w:p>
      <w:pPr>
        <w:spacing w:after="0" w:line="296"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Unauthorized control or manipulation of systems in autonomous driving vehicles may cause them to operate improperly or not at all, or compromise their safety and data security, which could result in loss of confidence in us and our technology solutions, cancellation of contracts with certain of our customers and materially harm our business.</w:t>
      </w:r>
    </w:p>
    <w:p>
      <w:pPr>
        <w:spacing w:after="0" w:line="67"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Our product and service offerings rely on our complex information technology systems. While we have implemented security measures intended to prevent unauthorized access to our information technology networks, our vehicles and their systems, malicious entities may attempt to gain unauthorized access to modify, alter and use such networks, vehicles and systems to gain control of, or to change, our vehicles’ functionality, user interface and performance characteristics or to gain access to data stored in or generated by our vehicles. We encourage reporting of potential vulnerabilities in the security of our products and services through our security vulnerability reporting policy, and we aim to remedy any reported and verified vulnerability. However, there can be no assurance that any vulnerabilities will not be exploited before they can be identified, or that our remediation efforts are or will be successful.</w:t>
      </w:r>
    </w:p>
    <w:p>
      <w:pPr>
        <w:spacing w:after="0" w:line="189"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Any unauthorized access to or control of our vehicles or their systems or any loss of data could result in legal claims or government investigations. In addition, regardless of their veracity, reports of unauthorized access to our vehicles, their systems or data, as well as other factors that may result in the perception that our products and services, their systems or data are capable of being hacked, may harm our brand, prospects and operating results.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82"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granted options and other types of awards under our 2018 Share Plan, which will result in a substantial amount of share-based compensation expenses and may have a significant impact on our results of operations.</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adopted the 2018 Share Plan in June 2018, which was amended and restated in July 2024 and may be amended and restated from time to time, in order to attract, incentivize and retain employees, outside directors and consultants of our company and to promote the success of our business. The maximum aggregate number of ordinary shares that may be issued pursuant to all awards under the 2018 Share Plan is 311,125,716 ordinary shares initially, which will be increased by a number equal to 1.0% of the total number of issued and outstanding shares on an as-converted and fully-diluted basis on the last day of the immediately preceding fiscal year. As of the date of the annual report, we had 64,257,435 outstanding restricted share units (including vested but not settled restricted share units) and outstanding options to purchase a total of 119,915,538 ordinary shares.</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believe the granting of share-based compensation is of significant importance to our ability to attract and retain key personnel and employees, and we will continue to grant share-based compensation to employees in the future. We may adopt additional share plans to recruit new employees and to compensate existing employees. Furthermore, prospective candidates and existing employees often consider the value of the equity awards they receive in connection with their employment. Thus, our ability to attract or retain highly skilled employees may be adversely affected by declines in the perceived value of our equity or equity awards. To attract and retain qualified employees, our expenses associated with share-based compensation may increase, which may have an adverse effect on our results of operations. In addition, the issuance of additional equity upon the exercise of options or other types of awards would result in further dilution to our shareholders.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change in financial assets at FVTPL may materially and adversely affect our results of operations and financial performance.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financial assets at FVTPL primarily represent our investments in wealth management products and listed companies. As of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2023 and 2024, our financial assets at FVTPL were RMB317.0 million and RMB1,742.1 million (US$238.7 million), respectively. We recorded a gain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from fair value changes of financial assets at FVTPL of RMB7.7 million, RMB43.0 million in 2022 and 2023, respectively, and a loss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RMB61.8 million (US$8.5 million) in 2024. The wealth management products issued by banks are influenced by the overall market conditions. 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market volatility or fluctuations in interest rates may affect the fair value of our financial assets at fair value through profit or loss. Our investment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listed companies is subject to stock price fluctuations, resulting in fluctuations in fair value change in financial assets at FVTPL. Additionally, we may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hold other financial assets whose fair value is determined with a greater degree of judgment and is more sensitive to market conditions. Changes in fair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value are recognized in profit or loss and such treatment of gain or loss may introduce volatility or materially and adversely affect our business, results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operations and financial performance.</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80"/>
          </w:cols>
          <w:pgMar w:left="320" w:top="482" w:right="4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current tensions in international trade and rising political tensions, particularly between the U.S. and China, the U.S. and the European Union, or the European Union and China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may adversely impact our business, financial condition, and results of operations.</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It is unknown whether and to what extent new tariffs, economic or trade sanctions, export controls or other new laws or regulations related to trade (and in particular trade with or involving China) will be adopted by the U.S. government or EU government, or the effect that any such actions would have on us, the industry we operate in, our business partners and end users. Any unfavorable government policies on international trade, such as capital controls, export controls, sanctions or tariffs, may affect the demand for our products and services, impact the competitive position of our products or prevent us from being able to sell products in certain countries. Any new trade-related laws or restrictions, or the regeneration of existing trade agreements could have an adverse effect on our business, financial condition, results of operations.</w:t>
      </w:r>
    </w:p>
    <w:p>
      <w:pPr>
        <w:spacing w:after="0" w:line="187"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Our business in the U.S. only includes research and development and road testing. We have not offered and do not plan to offer any services or products to the U.S. markets. We have been closely monitoring policies in the United States that are aimed at restricting U.S. persons from investing in or supplying to certain Chinese companies. The United States and various foreign governments have imposed controls, license requirements and restrictions on the import or export of technologies and products, or voiced the intention to do so. For instance, the United States is in the process of developing new export controls with respect to “emerging and foundational” technologies, which may include certain AI and semiconductor technologies. Moreover, many of the recent policy updates in the United States, including the recently announced outbound investment restrictions by the U.S. government may have unforeseen implications for our business. On October 28, 2024, the U.S. Department of the Treasury issued a final rule on U.S. outbound investment, or the Final Rule, which became effective on January 2, 2025. The Final Rule imposes investment prohibition and notification requirements on U.S. Persons for a wide range of investments in entities associated with China (including Hong Kong and Macao) that are engaged in activities relating to three sectors: (i) semiconductors and microelectronics, (ii) quantum information technologies, and (iii) artificial intelligence systems, collectively defined as “Covered Foreign Persons.” U.S. persons subject to the Final Rule are prohibited from making, or required to report, certain investments in Covered Foreign Persons, which are defined as “covered transactions,” and include acquisitions of equity interests that are not yet publicly traded, certain debt financing, joint ventures, and certain investments as a limited partner in a non-U.S. person pooled investment fund. The Final Rule excludes some investments from the scope of covered transactions, including those in publicly traded securities. The Final Rule is aimed at exerting greater U.S. government oversight over U.S. direct and indirect investments involving China, and may introduce new hurdles and uncertainties for cross-border collaborations, investments, and funding opportunities of China based issuers including us. Based on our regulatory counsel’s assessment, there is ambiguity with respect to how the U.S. Department of the Treasury may interpret the scope of the Final Rule and we cannot rule out the possibility that our development of autonomous driving systems could be considered a “covered activity” (as defined in the Final Rule) or that we may otherwise meet the definition of Covered Foreign Persons provided in the Final Rule. If we are deemed a Covered Foreign Person under the Final Rule because of our interaction with and potential engagement in the aforementioned sensitive technological sectors, such as artificial intelligence, investment in our potential future offerings, depending on the structure of these offerings, may nevertheless qualify for the “publicly traded securities” exemption to be outside the scope of “covered transactions” under the Final Rule. However, there is no assurance that the U.S. Department of the Treasury will take the same view as ours, and the U.S. Department of the Treasury has not provided guidance that would definitively confirm that any of our potential future offerings can be exempted from the Final Rule under the “publicly traded securities” exemption. If we were to be deemed a “covered foreign person,” and if U.S. persons engaged in a “covered transaction” (each as defined under the Final Rule) that involves the acquisition of our equity interests, such U.S. persons may need to make a notification pursuant to the Final Rule. In addition, even though U.S. persons’ acquisitions of certain publicly traded securities are exempted from the scope of covered transactions under the Final Rule, the Final Rule could still limit our ability to raise capital or contingent equity capital from U.S. investors given that relevant laws, regulations, and policies continue to evolve and we cannot rule out the possibility of being deemed a Covered Foreign Person in the future due to different views taken by the U.S. Department of the Treasury, potential amendments to the Final Rule or the introduction of similar regulations. If our ability to raise such capital is significantly and negatively affected, it could be detrimental to our business, financial condition and prospects. In such a case, the value of our shares may significantly decline, or in extreme cases, become worthless.</w:t>
      </w:r>
    </w:p>
    <w:p>
      <w:pPr>
        <w:spacing w:after="0" w:line="1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82"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The U.S. Department of Commerce’s Bureau of Industry and Security, or BIS, has promulgated a final rule, the BIS Final Rule, which went into effect on March 16, 2025, 60 days from the date of publication in the Federal Register on January 15, 2025. The BIS Final Rule prohibits connected vehicle system, or VCS, hardware importers from knowingly importing into the United States certain hardware for VCS and prohibits connected vehicle manufacturers from knowingly importing into the United States or selling within the United States completed connected vehicles that incorporate covered software, unless otherwise authorized. These prohibitions apply to transactions involving VCS hardware or software designed, developed, manufactured, or supplied by persons owned by, controlled by, or subject to the jurisdiction of the PRC or Russia. In addition, connected vehicle manufacturers under PRC or Russian control are prohibited from selling completed connected vehicles with VCS hardware or covered software in the United States, regardless of the origin of that hardware or software. Our business in the United States is limited to research and development and road testing, and the United States has not been, and will not be, a market for our products or services. We do not believe our current road testing activities in the United States are prohibited or restricted by the BIS Final Rule in its current form. However, if our road testing activities become prohibited or restricted, due to the future amendments of the BIS Final Rule, other potential prohibition of autonomous driving companies from conducting testing in the United States, or otherwise, we expect to be able to discontinue road testing in the United States without materially affecting our overall testing capabilities, given the limited scope of our testing activities in the United States. The data collected from our road testing in the United States is not necessary for our research and development activities in the United States, which are not otherwise prohibited or restricted by the BIS Final Rule. As such, we do not expect the BIS Final Rule to have a material impact on our ability to continue our research and development in the United States. The BIS Final Rule could prohibit or restrict third parties from reselling or importing our products or products using our technology into the United States, but to our knowledge no such third party resale or importation occurs at present. However, it is possible that this prohibition or restriction on third-party activities could deter customers from purchasing our products or services in the future.</w:t>
      </w:r>
    </w:p>
    <w:p>
      <w:pPr>
        <w:spacing w:after="0" w:line="19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Our business in Europe includes a commercial deployment in France, which is part of the EU, and a pilot project in Switzerland, which is part of the European Economic Area, or EEA. We have been closely monitoring policies in the EU and EEA which are relevant to our plans to offer services in these markets, including tariffs, export controls and other international trade issues that may affect our business. In addition, trade tensions between the U.S. and EU, such as the recent countermeasures imposed on U.S. steel and aluminum exports by the EU could have an impact on our business, in particular if they are expanded by the EU to cover China or alternatively if the EU adopts similar restrictions to the U.S. on VCS or our other technologies described above in order to secure decreases to, or avoid future escalation of U.S. tariffs on EU products.</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It is uncertain whether and how the U.S. government or EU government will further regulate the autonomous driving and artificial intelligence industries or whether any new and more stringent regulations and/or, limitations, restrictions or prohibitions will be promulgated and implemented on the application, development, commercialization and use in the United States or European Union of autonomous driving technology by entities deemed to be PRC affiliated, based or controlled, as well as how U.S. or EU entities interact with the foregoing entities. There could be regulatory or legislative changes targeting this industry that have a material adverse impact on our business and operations, our ability to raise capital and the market price of our ADSs.</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Moreover, national security and foreign policy concerns may prompt governments to impose trade or other restrictions, which could make it more difficult to restrict our access to certain markets or technology. The political landscape in the United States could affect U.S. government’s attitude towards China and cause uncertainty to restrictions it may impose on Chinese technology. Measures such as these could deter suppliers and investors in the United States and/or other countries that impose export controls and other restrictions from providing technologies and products to, making investments in, or otherwise engaging in transactions with Chinese companies. For example, on February 21, 2025, U.S. President Donald J. Trump issued a memo titled the “America First Investment Policy,” or the America First Memo, outlining the ongoing review and consideration of potential new or expanded restrictions on U.S. outbound investment in the PRC in sectors such as semiconductors, artificial intelligence, quantum, biotechnology, hypersonics, aerospace, advanced manufacturing, directed energy, and other areas implicated by the PRC’s national military-civil fusion strategy. The America First Memo also contemplates potential restrictions on investments in publicly traded securities by pension funds, university endowments and other limited partner investors. Investor concerns may also adversely affect the value and trading of the securities of China-based companies. As a result, Chinese companies would have to identify and secure alternative supplies or sources of financing, which they may not be able to do in a timely manner and on commercially acceptable terms, or at all. In addition, Chinese companies may have to limit and reduce their research and development and other business activities, or cease conducting transactions with parties, in the United States and other countries that impose export controls or other restrictions. Given that we operate a research and development center in the United States and we cooperate with certain U.S.-based suppliers, our business is particularly susceptible to these controls and restrictions. In addition, U.S. government could enhance scrutiny on China-based autonomous driving companies, including prohibiting these companies from conducting testing or making it not feasible for these companies to conduct testing in the U.S. Our financial condition and results of operations could be materially and adversely affected as a result.</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82"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establish, maintain, protect and enforce our intellectual property and proprietary rights or prevent others from unauthorized use of our technology and intellectual property rights, which could harm our business and competitive position and also make us subject to litigations brought by third parties.</w:t>
      </w:r>
    </w:p>
    <w:p>
      <w:pPr>
        <w:spacing w:after="0" w:line="67"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Our intellectual property is an essential asset of our business. Failure to adequately protect our intellectual property rights could result in our competitors offering similar products and services, potentially resulting in the loss of our competitive advantage and a decrease in our revenue, which would adversely affect our business, prospects, financial condition and operating results. Our success depends in part on our ability to protect our core technology and intellectual property. We rely on a combination of intellectual property rights, such as patents, trademarks, copyrights and trade secrets (including know-how), in addition to employee and third-party nondisclosure agreements, intellectual property licenses and other contractual rights, to establish, maintain, protect and enforce our rights in our technology, proprietary information and processes. Intellectual property laws and our procedures and restrictions provide only limited protection and any of our intellectual property rights may be challenged, invalidated, circumvented, infringed or misappropriated. If we fail to protect our intellectual property rights adequately, we may lose an important advantage in the markets in which we compete. While we take measures to protect our intellectual property, such efforts may be insufficient or ineffective, and any of our intellectual property rights may be challenged, which could result in them being narrowed in scope or declared invalid or unenforceable. Other parties may also independently develop technologies that are substantially similar or superior to ours. We may also be forced to bring claims against third parties, or defend claims that they may bring against us, to determine the ownership of what we regard as our intellectual property. However, the measures we take to protect our intellectual property from unauthorized use by others may not be effective and there can be no assurance that our intellectual property rights will be sufficient to protect against others offering products, services or technologies that are substantially similar or superior to ours and that compete with our business.</w:t>
      </w:r>
    </w:p>
    <w:p>
      <w:pPr>
        <w:spacing w:after="0" w:line="19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in the past initiated, and may in the future be involved in litigation to enforce our intellectual property rights and to protect our trade secrets. Our efforts to enforce our intellectual property rights have been, and may in the future be met with defenses, counterclaims and countersuits attacking the validity and enforceability of our intellectual property. Any litigation initiated by us concerning the violation by third parties of our intellectual property rights is likely to be expensive and time-consuming and could lead to the invalidation of, or render unenforceable, our intellectual property, or could otherwise have negative consequences for us. Furthermore, it could result in a court or governmental agency invalidating or rendering unenforceable our patents or other intellectual property rights upon which the suit is based. We will not be able to protect our intellectual property if we are unable to enforce our rights or if we do not detect unauthorized use of our intellectual property. Our inability to protect our proprietary technology against unauthorized copying or use, as well as any costly litigation or diversion of our management’s attention and resources, could delay the introduction and implementation of new technologies, result in our substituting inferior or more costly technologies into our products or injure our reputation. Moreover,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If we fail to meaningfully establish, maintain, protect and enforce our intellectual property and proprietary rights, our business, operating results and financial condition could be adversely affected.</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80"/>
          </w:cols>
          <w:pgMar w:left="320" w:top="482" w:right="4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 and changes in patent law could diminish the value of patents in general, thereby impairing our ability to protect our products.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routinely apply for and register intellectual property in mainland China and overseas. The protection of intellectual property rights in mainland China is different from that of the United States or other developed countries. In addition, filing, prosecuting, maintaining, defending and enforcing patents and other intellectual property rights on our products and services in all countries throughout the world would be prohibitively expensive, and our intellectual property rights in some countries outside China can be less extensive than those in mainland China. In addition, effective intellectual property protection may not be available in every jurisdiction in which we offer our products and services. Although we have generally taken measures to protect our intellectual property rights, there can be no assurance that we will be successful in protecting or enforcing our rights in every jurisdiction. Consequently, we may not be able to prevent third parties from practicing our inventions in all jurisdictions where we operate or expect to operate in the future, or from selling or importing products made using our inventions into other jurisdictions. Competitors may misappropriate our technologies in jurisdictions where we have not obtained patent protection or other intellectual property rights to develop their own products and may export otherwise infringing, misappropriating or violating products. These products may compete with our products, and our patents or other intellectual property rights may not be effective or sufficient to prevent them from competing.</w:t>
      </w:r>
    </w:p>
    <w:p>
      <w:pPr>
        <w:spacing w:after="0" w:line="19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may encounter problems in protecting and defending intellectual property rights in foreign jurisdictions. The legal systems of some countries where we may apply for registration of intellectual property may not favor the enforcement of patents and other intellectual property rights, which could make it difficult for us to stop the infringement, misappropriation, or other violation of our intellectual property rights generally. Proceedings to enforce our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p>
    <w:p>
      <w:pPr>
        <w:spacing w:after="0" w:line="18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addition, changes in U.S. patent law could diminish the value of patents in general, thereby impairing our ability to protect our innovations in the United States. The patent grant system in the United States has recently transitioned from a “first-to-invent” to a “first-to-file” system for deciding which party should be granted a patent when two or more patent applications are filed by different parties claiming the same invention. Under the current “first-to-file” system, assuming the other requirements for patentability are met, the first inventor to file a patent application generally will be entitled to a patent on the invention regardless of whether another inventor had made the invention earlier. As such, a third party that files a patent application in the United States Patent and Trademark Office before us could be awarded a patent covering an invention of ours even if we made the invention before it was made by the third party. This and other changes in the U.S. patent law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292"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patent applications may not issue as patents, which may have a material adverse effect on our ability to prevent others from commercially exploiting products and services similar to ours.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cannot be certain that we are the first inventor of the subject matter to which we have filed a particular patent application, or if we are the first party to file such a patent application. If another party has filed a patent application to the same subject matter as we have, we may not be entitled to the protection sought by the patent application. Further, the scope of protection of issued patent claims is often difficult to determine. As a result, we cannot be certain that the patent applications that we file will issue, or that our issued patents will be broad enough to protect our proprietary rights or otherwise afford protection against competitors with similar technology. In addition, the issuance of a patent is not conclusive as to its inventorship, scope, validity or enforceability. Our competitors may challenge or seek to invalidate our issued patents, or design around our issued patents, which may adversely affect our business, prospects, financial condition or operating results. Also, the costs associated with enforcing patents, confidentiality and invention agreements, or other intellectual property rights may make aggressive enforcement impracticable.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00"/>
          </w:cols>
          <w:pgMar w:left="320" w:top="482"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 addition to patented technology, we rely on our unpatented proprietary technology, trade secrets, processes and know-how.</w:t>
      </w:r>
    </w:p>
    <w:p>
      <w:pPr>
        <w:spacing w:after="0" w:line="121"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We rely on proprietary information (such as trade secrets, know-how and confidential information) to protect intellectual property that may not be patentable, or that we believe is best protected by means that do not require public disclosure. We generally seek to protect this proprietary information by entering into confidentiality agreements, or consulting, services or employment agreements that contain non-disclosure and non-use provisions with our employees, consultants, contractors, scientific advisors and third parties. However, we cannot guarantee that we have entered into such agreements with each party that has or may have had access to our trade secrets or proprietary information and, even if entered into, these agreements may be breached or may otherwise fail to prevent disclosure, third-party infringement or misappropriation of our proprietary information, may be limited as to their term and may not provide an adequate remedy in the event of unauthorized disclosure or use of proprietary information. We have limited control over the protection of trade secrets used by our third-party manufacturers and suppliers and could lose future trade secret protection if any unauthorized disclosure of such information occurs. In addition, our proprietary information may otherwise become known or be independently developed by our competitors or other third parties. To the extent that our employees, consultants, contractors and other third parties use intellectual property owned by others in their work for us, disputes may arise as to the rights in related or resulting know-how and inventions. Costly and time-consuming litigation could be necessary to enforce and determine the scope of our proprietary rights, and failure to obtain or maintain protection for our proprietary information could adversely affect our competitive business position. Furthermore, laws regarding trade secret rights in certain markets where we operate may afford little or no protection to our trade secrets. If any of our trade secrets were to be lawfully obtained or independently developed by a competitor or other third party, we would have no right to prevent them from using that trade secret to compete with us. If any of our trade secrets were to be disclosed (whether lawfully or otherwise) to or independently developed by a competitor or other third party, our business, operating results, and financial condition will be materially and adversely affected.</w:t>
      </w:r>
    </w:p>
    <w:p>
      <w:pPr>
        <w:spacing w:after="0" w:line="19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also rely on physical and electronic security measures to protect our proprietary information, but we cannot guarantee that these security measures provide adequate protection for such proprietary information or will never be breached. There is risk that third parties may obtain unauthorized access to and improperly utilize or disclose our proprietary information, which could harm our competitive advantages. We may not be able to detect or prevent the unauthorized access to or use of our information by third parties, and we may not be able to take appropriate and timely steps to mitigate the damages, or the damages may not be capable of being mitigated or remedied.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intellectual property infringement claims, which may be expensive to defend and may disrupt our business and operations.</w:t>
      </w:r>
    </w:p>
    <w:p>
      <w:pPr>
        <w:spacing w:after="0" w:line="121"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7"/>
          <w:szCs w:val="17"/>
          <w:color w:val="auto"/>
        </w:rPr>
        <w:t>The industry in which our business operates is characterized by a large number of patents, some of which may be of questionable scope, validity or enforceability, and some of which may appear to overlap with other issued patents. As a result, there is a significant amount of uncertainty in the industry regarding patent protection and infringement. In recent years, there has been significant litigation globally involving patents and other intellectual property rights. Third parties have asserted, and may in the future assert, that we have infringed, misappropriated or otherwise violated their intellectual property rights. Assertions of this kind may have a material adverse effect on our business and operations. We may not be able to obtain a commercially reasonable license or a license that we obtain (if any) may not entirely resolve the potential risks of intellectual property infringement. As we face increasing competition and as a public company, the possibility of intellectual property rights claims against us grows. Such claims and litigation may involve one or more of our competitors focused on using their patents and other intellectual property to obtain competitive advantage, or patent holding companies or other adverse intellectual property rights holders who have no relevant product and service revenue, and therefore our own pending patents and other intellectual property rights may provide little or no deterrence to these rights holders in bringing intellectual property rights claims against us. There may be intellectual property rights held by others, including issued or pending patents and trademarks, that cover significant aspects of our technologies or business methods, and we cannot assure that we are not infringing or violating, and have not infringed or violated, any third-party intellectual property rights or that we will not be held to have done so or be accused of doing so in the future. In addition, because patent applications can take many years until the patents issue, there may be applications now pending of which we are unaware, which may later result in issued patents that our products and services may infringe. We expect that in the future we may receive notices that claim we or our collaborators have misappropriated or misused other parties’ intellectual property rights, particularly as the number of competitors in our market grows.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82"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To defend ourselves against any intellectual property claims brought by third parties, whether with or without merits, can be time-consuming and could result in substantial costs and a diversion of our resources. These claims and any resulting lawsuits, if resolved adversely to us, could subject us to significant liability for damages, impose temporary or permanent injunctions against our products, technologies or business operations, or invalidate or render unenforceable our intellectual property.</w:t>
      </w:r>
    </w:p>
    <w:p>
      <w:pPr>
        <w:spacing w:after="0" w:line="180" w:lineRule="exact"/>
        <w:rPr>
          <w:sz w:val="20"/>
          <w:szCs w:val="20"/>
          <w:color w:val="auto"/>
        </w:rPr>
      </w:pPr>
    </w:p>
    <w:p>
      <w:pPr>
        <w:ind w:left="120" w:right="240" w:firstLine="440"/>
        <w:spacing w:after="0" w:line="257" w:lineRule="auto"/>
        <w:rPr>
          <w:sz w:val="20"/>
          <w:szCs w:val="20"/>
          <w:color w:val="auto"/>
        </w:rPr>
      </w:pPr>
      <w:r>
        <w:rPr>
          <w:rFonts w:ascii="Times New Roman" w:cs="Times New Roman" w:eastAsia="Times New Roman" w:hAnsi="Times New Roman"/>
          <w:sz w:val="18"/>
          <w:szCs w:val="18"/>
          <w:color w:val="auto"/>
        </w:rPr>
        <w:t>If our technology is determined to infringe a valid and enforceable patent, or if we wish to avoid potential intellectual property litigation on any alleged infringement, misappropriation or other violation of third party intellectual property rights, we may be required to do one or more of the following: (i) cease development, sales, provision or use of our products and services that incorporate or use the asserted intellectual property right;</w:t>
      </w:r>
    </w:p>
    <w:p>
      <w:pPr>
        <w:spacing w:after="0" w:line="1" w:lineRule="exact"/>
        <w:rPr>
          <w:sz w:val="20"/>
          <w:szCs w:val="20"/>
          <w:color w:val="auto"/>
        </w:rPr>
      </w:pPr>
    </w:p>
    <w:p>
      <w:pPr>
        <w:ind w:left="120" w:right="60" w:hanging="4"/>
        <w:spacing w:after="0" w:line="252" w:lineRule="auto"/>
        <w:tabs>
          <w:tab w:leader="none" w:pos="3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owner of the asserted intellectual property right, which may be unavailable on commercially reasonable terms, or at all, or which may be non-exclusive, thereby giving our competitors and other third parties access to the same technologies licensed to us; (iii) pay substantial royalties or other damages; or (iv) redesign our technology or one or more aspects or systems of our autonomous driving vehicles to avoid any infringement or allegations thereof. The aforementioned options sometimes may not be commercially feasible. Additionally, in our ordinary course of business, we agree to indemnify our customers, ecosystem partners and other commercial counterparties for any infringement arising out of their use of our intellectual property, so we may face liability to our business partners or third parties for indemnification or other remedies in the event that they are sued for infringement.</w:t>
      </w:r>
    </w:p>
    <w:p>
      <w:pPr>
        <w:spacing w:after="0" w:line="188"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may also in the future license third party technology or other intellectual property, and we may face claims that our use of such in-licensed technology or other intellectual property infringes, misappropriates or otherwise violates the intellectual property rights of others. In such cases, we will seek indemnification from our licensors. However, our rights to indemnification may be unavailable or insufficient to cover our costs and losses.</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also may not be successful in any attempt to redesign our technology to avoid any alleged infringement. A successful claim of infringement against us, or our failure or inability to develop and implement non-infringing technology or license the infringed technology on acceptable terms and on a timely basis, could materially adversely affect our business and results of operations. Furthermore, such lawsuits, regardless of their merits or success, would likely be time-consuming and expensive to resolve and would divert management’s time and attention from our business, which could seriously harm our business. Also, such lawsuits, regardless of their merits or success, could seriously harm our reputation with customers and in the industry at large.</w:t>
      </w:r>
    </w:p>
    <w:p>
      <w:pPr>
        <w:spacing w:after="0" w:line="291"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utilize open-source software, which may pose particular risks to our proprietary software, technologies, products, and services in a manner that could harm our business.</w:t>
      </w:r>
    </w:p>
    <w:p>
      <w:pPr>
        <w:spacing w:after="0" w:line="51" w:lineRule="exact"/>
        <w:rPr>
          <w:sz w:val="20"/>
          <w:szCs w:val="20"/>
          <w:color w:val="auto"/>
        </w:rPr>
      </w:pPr>
    </w:p>
    <w:p>
      <w:pPr>
        <w:ind w:left="120" w:right="60" w:firstLine="440"/>
        <w:spacing w:after="0" w:line="271" w:lineRule="auto"/>
        <w:rPr>
          <w:sz w:val="20"/>
          <w:szCs w:val="20"/>
          <w:color w:val="auto"/>
        </w:rPr>
      </w:pPr>
      <w:r>
        <w:rPr>
          <w:rFonts w:ascii="Times New Roman" w:cs="Times New Roman" w:eastAsia="Times New Roman" w:hAnsi="Times New Roman"/>
          <w:sz w:val="17"/>
          <w:szCs w:val="17"/>
          <w:color w:val="auto"/>
        </w:rPr>
        <w:t>We use open-source software in our in-vehicle software, which are installed on all of our autonomous vehicles. We anticipate to continue using open-source software in the future. The terms of many open-source licenses to which we are subject have not been interpreted by U.S. or foreign courts, and there is a risk that open-source software licenses could be construed in a manner that imposes unanticipated conditions or restrictions on our ability to provide or distribute our products or services or retain our ownership of our proprietary intellectual property. Additionally, we could face claims from third parties claiming ownership of, or demanding release of, the open-source software or derivative works that we developed using such software, which could include our proprietary source code, or otherwise seeking to enforce the terms of, or alleging breach of, the applicable open-source license. These claims could result in litigation and could require us to purchase a costly license or cease offering the implicated products or services unless and until we can re-engineer them to avoid breach of the applicable open-source software licenses or potential infringement. This re-engineering process could require us to expend significant additional research and development resources, and we cannot guarantee that we will be successful.</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82"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Additionally, the use of certain open-source software can lead to greater risks than use of third-party commercial software, as open-source licensors generally do not provide warranties or controls on the origin of software. There is typically no support available for open-source software, and we cannot ensure that the authors of such open-source software will implement or push updates to address security risks or will not abandon further development and maintenance. Many of the risks associated with the use of open-source software, such as the lack of warranties or assurances of title, non-infringement or performance, cannot be eliminated, and could, if not properly addressed, negatively affect our business. We have processes to help alleviate these risks, including a review process to disallow any open source code with licenses that will expose our own code and intellectual property, but we cannot be sure that all open-source software is identified or submitted for approval prior to use in our products and services. Any of these risks could be difficult to eliminate or manage, and, if not addressed properly, could adversely affect our ownership of proprietary intellectual property, the security of our vehicles, or our business, results of operations and financial condition.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severe or prolonged downturn in the Chinese or global economy could materially and adversely affect our business and financial condition.</w:t>
      </w:r>
    </w:p>
    <w:p>
      <w:pPr>
        <w:spacing w:after="0" w:line="12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The Chinese economy and global economy from 2020 to 2022 were adversely impacted by the COVID-19 pandemic, and the macroeconomic environments continue to face numerous challenges. The growth rate of the Chinese economy has been slowing since 2010 and the Chinese population began to decline in 2022. The Federal Reserve and other central banks outside of China have raised interest rates. The Russia-Ukraine conflict, the Hamas-Israel conflict and the attacks on shipping in the Red Sea have heightened geopolitical tensions across the world. Several factors have adversely impacted a global economy already weakened by the pandemic, including higher-than-expected inflation worldwide, supply chain disruptions and pressures, rising energy prices and further negative spillovers from the global conflicts. There have also been concerns on the relationship between China and other countries, which may potentially lead to foreign investors closing down their businesses or withdrawing their investments in mainland China and, thus, exiting the China market, and other economic effects. In particular, there is significant uncertainty about the future relationship between the United States and China with respect to a wide range of issues including trade policies, treaties, government regulations, tariffs, cybersecurity, market entry and supply chain regulations. Economic conditions in mainland China are sensitive to global economic conditions, as well as changes in domestic economic and political policies and the expected or perceived overall economic growth rate in mainland China. Any severe or prolonged slowdown in the global or Chinese economy may have a negative impact on our business, results of operations and financial condition, and continued turbulence in the international markets may adversely affect our ability to access the capital markets to meet liquidity needs. Our customers may reduce or delay purchasing or using our products and services, while we may have difficulty expanding our offerings and commercialization fast enough, or at all, to offset the impact of decreased demand by our existing customers.</w:t>
      </w:r>
    </w:p>
    <w:p>
      <w:pPr>
        <w:spacing w:after="0" w:line="300"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successful operation of our business depends upon the performance and reliability of internet, mobile and other infrastructures that are beyond our control.</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business depends on the performance and reliability of internet, mobile and other infrastructures that are not under our control. The functionality, connectivity and safe operation of our autonomous driving vehicles rely on the mobile communication infrastructure and wireless technology. The occurrence of an unanticipated problem, such as a power outage, telecommunications delay or failure, security breach or computer virus could result in delays or interruptions to our product and service offerings and our technology platform, as well as business interruptions for us and our users, customers and business partners. Any of these events could damage our reputation, significantly disrupt our operations and subject us to liability, which could adversely affect our business, financial condition, and operating results.</w:t>
      </w:r>
    </w:p>
    <w:p>
      <w:pPr>
        <w:spacing w:after="0" w:line="187"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In addition, disruptions in internet infrastructure or GPS signals or the failure of telecommunications network operators to provide us with the bandwidth we need to provide our product and service offerings may interfere with the speed and availability of our technology platform and product and service offerings. For example, if our </w:t>
      </w:r>
      <w:r>
        <w:rPr>
          <w:rFonts w:ascii="Times New Roman" w:cs="Times New Roman" w:eastAsia="Times New Roman" w:hAnsi="Times New Roman"/>
          <w:sz w:val="18"/>
          <w:szCs w:val="18"/>
          <w:i w:val="1"/>
          <w:iCs w:val="1"/>
          <w:color w:val="auto"/>
        </w:rPr>
        <w:t>WeRide Go</w:t>
      </w:r>
      <w:r>
        <w:rPr>
          <w:rFonts w:ascii="Times New Roman" w:cs="Times New Roman" w:eastAsia="Times New Roman" w:hAnsi="Times New Roman"/>
          <w:sz w:val="18"/>
          <w:szCs w:val="18"/>
          <w:color w:val="auto"/>
        </w:rPr>
        <w:t xml:space="preserve"> is unavailable when users of our robotaxi services attempt to access it due to any disruption to telecommunications network, they may not apply our services as often in the future, or at all, and may use our competitors’ product or service offerings more often. Furthermore, if mobile internet access fees or other charges to internet users increase, consumer traffic to our </w:t>
      </w:r>
      <w:r>
        <w:rPr>
          <w:rFonts w:ascii="Times New Roman" w:cs="Times New Roman" w:eastAsia="Times New Roman" w:hAnsi="Times New Roman"/>
          <w:sz w:val="18"/>
          <w:szCs w:val="18"/>
          <w:i w:val="1"/>
          <w:iCs w:val="1"/>
          <w:color w:val="auto"/>
        </w:rPr>
        <w:t>WeRide Go</w:t>
      </w:r>
      <w:r>
        <w:rPr>
          <w:rFonts w:ascii="Times New Roman" w:cs="Times New Roman" w:eastAsia="Times New Roman" w:hAnsi="Times New Roman"/>
          <w:sz w:val="18"/>
          <w:szCs w:val="18"/>
          <w:color w:val="auto"/>
        </w:rPr>
        <w:t xml:space="preserve"> may decrease, which may in turn cause our revenue to decrease.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82"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rights to use our leased properties may be defective and could be challenged by property owners or other third parties, which may disrupt our operations and incur relocation costs.</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As of December 31, 2024, we leased a number of premises in mainland China, which are used mainly as office space, research and development centers and workshops. Any defects in lessors’ title to the leased properties may disrupt our use of these properties, which may, in turn, affect our business operations. We had not been provided with building ownership certificates or the proofs of having the right to sublease the properties by the respective lessors with regard to 14 of our leased properties. Without valid real estate ownership certificates or proof of authorizations from the relevant lessor or property owner, we may not be entitled to use the leased property or may be affected by third parties’ claims or challenges against the relevant lease.</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Furthermore, under the Measures for Administration of Lease of Commodity Properties, which was promulgated by the Ministry of Housing and Urban-Rural Development of the PRC on December 1, 2010 and became effective on February 1, 2011, both lessors and lessees are required to file the lease agreements for registration and obtain property leasing filing certificates for their leases. As of December 31, 2024, 35 of our leased properties in mainland China had not been registered with the relevant PRC government authorities. Although failure to do so does not in itself invalidate the leases, we may be subject to fines if we fail to rectify such non-compliance within the prescribed time frame after receiving notice from the relevant PRC government authorities. The penalty ranges from RMB1,000 to RMB10,000 for each unregistered lease, at the discretion of the relevant authority. In the event that any fine is imposed on us for our failure to register our lease agreements, we may not be able to recover such losses from the lessors.</w:t>
      </w:r>
    </w:p>
    <w:p>
      <w:pPr>
        <w:spacing w:after="0" w:line="293" w:lineRule="exact"/>
        <w:rPr>
          <w:sz w:val="20"/>
          <w:szCs w:val="20"/>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and maintain an effective system of internal control over financial reporting, we may be unable to accurately report our financial results or prevent fraud.</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Effective internal control over financial reporting is necessary for us to provide reliable financial reports and, together with adequate disclosure control and procedures, are designed to prevent fraud. In connection with the audits of our consolidated financial statements included in this annual report, we have identified and our independent registered public accounting firm, in connection with the audits of our consolidated financial statements included in this annual report, identified, a material weakness in our internal control over financial reporting as of December 31, 2024. As defined in the standards established by the U.S. Public Company Accounting Oversight Board, or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8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material weakness identified is that we lack sufficient financial reporting and accounting personnel with appropriate knowledge of IFRS and the SEC reporting requirements to properly address complex IFRS accounting issues and related disclosures in accordance with IFRS and financial reporting requirements set forth by the SEC. The material weakness, if not remediated timely, may lead to material misstatements in our consolidated financial statements in the future. Neither we nor our independent registered public accounting firm undertook a comprehensive assessment of our internal control for purposes of identifying and reporting material weaknesses and other control deficiencies in our internal control over financial reporting. Had we performed a formal assessment of our internal control over financial reporting or had our independent registered public accounting firm performed an audit of our internal control over financial reporting, additional deficiencies may have been identified.</w:t>
      </w:r>
    </w:p>
    <w:p>
      <w:pPr>
        <w:spacing w:after="0" w:line="18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Following the identification of the material weakness, we have taken measures and plan to continue to take measures to remediate these deficiencies. See “Item 15. Controls and Procedures—Internal Control Over Financial Reporting.” However, the implementation of these measures may not fully address these deficiencies in our internal control over financial reporting, and we cannot conclude that they have been fully remediated. Our failure to correct these deficiencies or our failure to discover and address any other deficiencies could result in inaccuracies in our financial statements and impair our ability to comply with applicable financial reporting requirements and related regulatory filings on a timely basis. Moreover, ineffective internal control over financial reporting could significantly hinder our ability to prevent fraud.</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80"/>
          </w:cols>
          <w:pgMar w:left="320" w:top="482" w:right="4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We are subject to the Sarbanes-Oxley Act of 2002. Section 404 of the Sarbanes-Oxley Act of 2002, or Section 404, requires us to include a report from management on the effectiveness of our internal control over financial reporting in our annual report on Form 20-F beginning with our second annual report on Form 20-F after becoming a public company. In addition, once we cease to be an “emerging growth company” as such term is defined in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 or the level at which our control is documented, designed, operated, or reviewed, or if it interprets the relevant requirements differently from us. We may be unable to timely complete our evaluation testing and any required remediation.</w:t>
      </w:r>
    </w:p>
    <w:p>
      <w:pPr>
        <w:spacing w:after="0" w:line="188"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During the course of documenting and testing our internal control procedures, in order to satisfy the requirements of Section 404, we may identify other weaknesses and deficiencies in our internal control over financial reporting. In addition, if we fail to maintain adequate and effective internal control over financial reporting, as these standards are modified, supplemented, or amended from time to time, we may not be able to conclude on an ongoing basis that we have effective internal control over financial reporting in accordance with Section 404.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ADSs. Additionally, ineffective internal control over financial reporting could expose us to increasing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inventory obsolescence risk and credit risk of our customers.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inventories primarily consisted of production supplies and work in progress. Our inventories were RMB218.2 million and RMB204.7 million (US$28.0 million) as of December 31, 2023 and 2024. We cannot guarantee that our inventories can be fully utilized within their effective lifespan. As our business expands, our inventory obsolescence risk may also increase commensurately with the increase in our inventories and our inventory turnover days.</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addition, any deterioration in the financial position of our customers may materially or adversely affect our profits and cash flow as these customers may default on their payments to us. See the risk factor titled “Our customers’ ability to make payments may be negatively impacted by the economic downturns, leading to longer payment cycles and increased difficulties in collecting receivables, which poses a risk to our cash flow and overall liquidity.” We cannot assure you that the risks of default by our customers will not increase in the future or that we will not experience cash flow problems as a result of such defaults. Should these events develop into actual events, our operations and profitability will be adversely affected.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insurance coverage, which could expose us to significant costs and business disruption.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provide social security insurance including pension insurance, unemployment insurance, work-related injury insurance, maternity insurance and medical insurance for our employees. We also provide vehicle insurance for all of our vehicles in operation. However, insurance companies in China currently offer limited business-related insurance products. Consistent with customary industry practice in China, we do not maintain business interruption insurance or key-man insurance. We cannot assure you that our insurance coverage is sufficient to prevent us from any loss or that we will be able to successfully claim our losses under our current insurance policy on a timely basis, or at all. If we incur any loss that is not covered by our insurance policies, or the compensated amount is significantly less than our actual loss, our business, financial condition and results of operations could be materially and adversely affected.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82"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from time to time, be subject to legal proceedings during the course of our business operations.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may be subject to legal proceedings or administrative penalties from time to time in the ordinary course of our business, which could have a material adverse effect on our business, results of operations and financial condition. For example, we are currently subject to certain labor disputes. Claims arising out of actual or alleged violations of law could be asserted against us by consumers and businesses that utilize our services, by competitors, or by governmental entities in civil or criminal investigations and proceedings or by other entities. These claims could be asserted under a variety of laws, including but not limited to transportation and vehicle regulations, product liability laws, consumer protection laws, intellectual property laws, unfair competition laws, privacy laws, labor and employment laws, securities laws, real estate laws, tort laws, contract laws, property laws and employee benefit laws. We may continue to be involved in various legal or administrative proceedings and there is no guarantee that we will be successful in defending ourselves in legal and administrative actions or in asserting our rights under various laws. Even if we are successful in our attempt to defend ourselves in legal and administrative actions or to assert our rights under various laws, enforcing our rights against the various parties involved may be expensive, time-consuming and ultimately futile. These actions could expose us to negative publicity and to substantial monetary damages and legal defense costs, injunctive relief and criminal and civil fines and penalties, including but not limited to suspension or revocation of licenses to conduct business.</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natural disasters, public health crises, political crises, economic downturns or other unexpected events.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 significant natural disaster, such as an earthquake, fire, hurricane, tornado, flood or significant power outage, could disrupt our operations, mobile networks, the internet or the operations of our third-party technology providers. In addition, any further outbreaks of COVID-19 or other unforeseen public health crises, or political crises, such as terrorist attacks, war and other political instability, or other catastrophic events, whether in mainland China or abroad, could adversely affect our operations or the economies of the markets where we operate. The COVID-19 pandemic adversely affected our testing and commercialization efforts between 2020 and 2022, and we cannot assure you that new outbreaks, particularly with new variants, will not occur. Any such occurrences could cause severe disruption to our daily operations, including our research and development center and conducting test-drives of our autonomous driving vehicles, and may even require a temporary closure of our facilities. In recent years, there have been outbreaks of epidemics in mainland China and globally. Any natural disaster, act of terrorism or other disruption to us or our business partners’ abilities could result in decreased demand for our product and service offerings or a delay in the provision of our offerings, which could adversely affect our business, financial condition and results of operations. All of the aforementioned risks may be further increased if our disaster recovery plans prove to be inadequate. Disruptions or downturns in global or national or local economic conditions may cause demand for autonomous driving services to decline. An economic downturn resulting in a prolonged recessionary period would have a material adverse effect on our business, financial condition, and operating results.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Doing Business in Mainland China</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PCAOB had historically been unable to inspect our auditor in relation to their audit work.</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Our auditor is located in mainland China, a jurisdiction where the PCAOB was historically unable to conduct inspections and investigations completely before 2022. The inability of the PCAOB to conduct inspections of auditors in China in the past has made it more difficult to evaluate the effectiveness of our independent registered public accounting firm’s audit procedures or quality control procedures as compared to auditors outside of mainland China that are subject to the PCAOB inspections. On December 15, 2022, the PCAOB issued a report that vacated its December 16, 2021 determination and removed mainland China and Hong Kong from the list of jurisdictions where it is unable to inspect or investigate completely registered public accounting firms. However,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and investors in our ADSs would be deprived of the benefits of such PCAOB inspections, which could cause investors and potential investors in the ADSs to lose confidence in our audit procedures and reported financial information and the quality of our financial statements.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82"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ADSs may be prohibited from trading in the United States under the HFCAA in the future if the PCAOB is unable to inspect or investigate completely auditors located in China. The delisting or prohibition of trading of the ADSs, or the threat of their being delisted or prohibited from trading, may materially and adversely affect the value of your investment.</w:t>
      </w:r>
    </w:p>
    <w:p>
      <w:pPr>
        <w:spacing w:after="0" w:line="67"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Pursuant to the HFCAA, if the SEC determines that we have filed audit reports issued by a registered public accounting firm that has not been subject to inspections by the PCAOB because of a position taken by an authority in the foreign jurisdiction for two consecutive years, the SEC will prohibit our shares or ADSs from being traded on a national securities exchange or in the over-the-counter trading market in the United States.</w:t>
      </w:r>
    </w:p>
    <w:p>
      <w:pPr>
        <w:spacing w:after="0" w:line="17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On December 16, 2021, the PCAOB issued a report to notify the SEC of its determination that the PCAOB was unable to inspect or investigate completely registered public accounting firms headquartered in mainland China and Hong Kong and our auditor was subject to that determination. On December 15, 2022, the PCAOB removed mainland China and Hong Kong from the list of jurisdictions where it is unable to inspect or investigate completely registered public accounting firms.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If our shares and ADSs are prohibited from trading in the United States, there is no certainty that we will be able to list on a non-U.S. exchange or that a market for our shares will develop outside of the United States. A prohibition of being able to trade in the United States would substantially impair your ability to sell or purchase our ADSs when you wish to do so, and the risk and uncertainty associated with delisting would have a negative impact on the price of our ADSs. Also, such a prohibition would significantly affect our ability to raise capital on terms acceptable to us, or at all, which would have a material adverse impact on our business, financial condition, and prospects.</w:t>
      </w:r>
    </w:p>
    <w:p>
      <w:pPr>
        <w:spacing w:after="0" w:line="296" w:lineRule="exact"/>
        <w:rPr>
          <w:sz w:val="20"/>
          <w:szCs w:val="20"/>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China’s economic, political or social conditions or government policies could have a material adverse effect on our business and operations.</w:t>
      </w:r>
    </w:p>
    <w:p>
      <w:pPr>
        <w:spacing w:after="0" w:line="51" w:lineRule="exact"/>
        <w:rPr>
          <w:sz w:val="20"/>
          <w:szCs w:val="20"/>
          <w:color w:val="auto"/>
        </w:rPr>
      </w:pPr>
    </w:p>
    <w:p>
      <w:pPr>
        <w:jc w:val="both"/>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A substantial majority of our assets and operations are located in mainland China. Accordingly, our business, financial condition, results of operations and prospects may be influenced by political, economic and social conditions in mainland China generally and by continued economic growth in mainland China as a whole.</w:t>
      </w:r>
    </w:p>
    <w:p>
      <w:pPr>
        <w:spacing w:after="0" w:line="17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Chinese economy, political and social conditions differ from those of many other jurisdictions. Over the past decades, the Chinese government has taken various measures to promote the market economy and encourage entities to establish sound corporate governance. The PRC government has also implemented certain measures in the past, including interest rate adjustment, aiming at sustaining the pace of economic growth. Any such development may cause decreased economic activity and affect the overall economic growth, and may adversely affect our business and operating results, leading to reduction in demand for our services and adversely affect our competitive position. We currently enjoy preferential local governmental policies, which contain eligibility requirements. We cannot guarantee that we will be able to successfully renew our preferential treatment in the future.</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00"/>
          </w:cols>
          <w:pgMar w:left="320" w:top="482"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Litigation and negative publicity surrounding China-based companies listed in the U.S. may result in increased regulatory scrutiny of us and negatively impact the trading price of the ADSs and could have a material adverse effect upon our business, including our results of operations, financial condition, cash flows and prospects.</w:t>
      </w:r>
    </w:p>
    <w:p>
      <w:pPr>
        <w:spacing w:after="0" w:line="6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believe that litigation and negative publicity surrounding companies with operations in China that are listed in the U.S. have negatively impacted stock prices for such companies. Various equity-based research organizations have published reports on China-based companies after examining, among other things, their corporate governance practices, related party transactions, sales practices and financial statements that have led to special investigations and stock suspensions on national exchanges. Any similar scrutiny of us, regardless of its lack of merit, could result in a diversion of management resources and energy, potential costs to defend ourselves against rumors, decreases and volatility in the ADS trading price, and increased directors and officers insurance premiums and could have a material adverse effect upon our business, including our results of operations, financial condition, cash flows and prospects.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for overseas regulators to conduct investigation or collect evidence within mainland China.</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Shareholder claims or regulatory investigation that are common in the United States generally are difficult to pursue as a matter of law or practicality in China. For example, in China, there are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 According to Article 177 of the </w:t>
      </w:r>
      <w:r>
        <w:rPr>
          <w:rFonts w:ascii="Times New Roman" w:cs="Times New Roman" w:eastAsia="Times New Roman" w:hAnsi="Times New Roman"/>
          <w:sz w:val="18"/>
          <w:szCs w:val="18"/>
          <w:i w:val="1"/>
          <w:iCs w:val="1"/>
          <w:color w:val="auto"/>
        </w:rPr>
        <w:t>PRC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 Law</w:t>
      </w:r>
      <w:r>
        <w:rPr>
          <w:rFonts w:ascii="Times New Roman" w:cs="Times New Roman" w:eastAsia="Times New Roman" w:hAnsi="Times New Roman"/>
          <w:sz w:val="18"/>
          <w:szCs w:val="18"/>
          <w:color w:val="auto"/>
        </w:rPr>
        <w:t>, or Article 177, which became effective in March 2020, no overseas securities regulator is allowed to directly conduct investigation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evidence collection activities within the territory of the PRC. Furthermore, pursuant to the </w:t>
      </w:r>
      <w:r>
        <w:rPr>
          <w:rFonts w:ascii="Times New Roman" w:cs="Times New Roman" w:eastAsia="Times New Roman" w:hAnsi="Times New Roman"/>
          <w:sz w:val="18"/>
          <w:szCs w:val="18"/>
          <w:i w:val="1"/>
          <w:iCs w:val="1"/>
          <w:color w:val="auto"/>
        </w:rPr>
        <w:t>Provisions on Strengthening the Confidentiality and Archives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Administration Related to the Overseas Securities Offering and Listing by Domestic Enterprises </w:t>
      </w:r>
      <w:r>
        <w:rPr>
          <w:rFonts w:ascii="Times New Roman" w:cs="Times New Roman" w:eastAsia="Times New Roman" w:hAnsi="Times New Roman"/>
          <w:sz w:val="18"/>
          <w:szCs w:val="18"/>
          <w:color w:val="auto"/>
        </w:rPr>
        <w:t>which became effective on March 31, 2023,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investigation and evidence collection in relation to the oversea securities offering and listing of the PRC companies by overseas securities regulatory authorities and relevant authorities shall be conducted through the cross-border cooperation mechanism for supervision and administration. The PRC companies shall obtain the prior consent from the CSRC or relevant authorities before cooperating with such overseas securities regulatory authorities or relevant authorities in connection with relevant inspections or investigations or providing relevant documents to such overseas securities regulatory authorities or relevant authorities. The inability for an overseas securities regulator to directly conduct investigation or evidence collection activities within China may further increase difficulties faced by you in protecting your interests. See also “—Risks Related to Our ADSs—You may face difficulties in protecting your interests, and your ability to protect your rights through U.S. courts may be limited, because we are incorporated under Cayman Islands law” for risks associated with investing in us as a Cayman Islands company.</w:t>
      </w:r>
    </w:p>
    <w:p>
      <w:pPr>
        <w:spacing w:after="0" w:line="299"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may be changes from time to time in the interpretation and application of the laws of mainland China, and any failure to comply with laws and regulations could have a material adverse effect on our business, results of operations, financial condition and the value of our ADSs.</w:t>
      </w:r>
    </w:p>
    <w:p>
      <w:pPr>
        <w:spacing w:after="0" w:line="5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operations in mainland China are governed by PRC laws and regulations. Our mainland China subsidiaries are subject to laws and regulations applicable to foreign investment in mainland China. The PRC legal system is a civil law system based on written statutes. Unlike the common law system, prior court decisions under the civil law system may be cited for reference but have limited precedential value. Many laws, regulations and legal requirements are relatively new and may change from time to time. The PRC legal system is evolving quickly. The interpretation and enforcement of relevant laws and regulations are subject to change. New laws and regulations may be promulgated and existing laws and regulations, as well as the interpretation and enforcement thereof, may change quickly. In addition, any new or changes in PRC laws and regulations related to foreign investment in mainland China could affect the business environment and our ability to operate our business in mainland China.</w:t>
      </w:r>
    </w:p>
    <w:p>
      <w:pPr>
        <w:spacing w:after="0" w:line="18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From time to time, we may have to resort to administrative and court proceedings to enforce our legal rights. While this may also apply to other jurisdictions, administrative and court proceedings in mainland China may take a long time, resulting in substantial costs and diversion of resources and management attention. Since PRC administrative and court authorities retain discretion in interpreting and implementing statutory provisions and contractual terms like other jurisdictions do, it may be difficult to predict the outcome of administrative and court proceedings that we are involved in. These uncertainties may impede our ability to enforce the contracts we have entered into and could materially and adversely affect our business and results of operations.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82"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PRC government’s significant oversight and discretion over our business operation could result in a material adverse change in our operations and the value of our ADSs.</w:t>
      </w:r>
    </w:p>
    <w:p>
      <w:pPr>
        <w:spacing w:after="0" w:line="5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We conduct our business primarily in China. Our operations in mainland China are governed by PRC laws and regulations. The PRC government has significant oversight and discretion over the conduct of our business, and may intervene or influence our operations. The PRC government has recently published new policies that significantly affected certain industries and we cannot rule out the possibility that it will in the future release regulations or policies that directly or indirectly affect our industry or require us to seek additional permission to continue our operations, which could result in a material adverse change in our operation and/or the value of our ADSs. Any such action could significantly limit or completely hinder our ability to offer or continue to offer securities to investors and cause the value of such securities to significantly decline or become worthless. Therefore, investors of our company and our business face potential uncertainty from actions taken by the PRC government affecting our business.</w:t>
      </w:r>
    </w:p>
    <w:p>
      <w:pPr>
        <w:spacing w:after="0" w:line="293"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complete filing procedures with the China Securities Regulatory Commission in connection with our future offerings. We cannot predict whether we will be able to complete such filing on a timely manner, or at all.</w:t>
      </w:r>
    </w:p>
    <w:p>
      <w:pPr>
        <w:spacing w:after="0" w:line="4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On July 6, 2021, the relevant PRC government authorities issued </w:t>
      </w:r>
      <w:r>
        <w:rPr>
          <w:rFonts w:ascii="Times New Roman" w:cs="Times New Roman" w:eastAsia="Times New Roman" w:hAnsi="Times New Roman"/>
          <w:sz w:val="18"/>
          <w:szCs w:val="18"/>
          <w:i w:val="1"/>
          <w:iCs w:val="1"/>
          <w:color w:val="auto"/>
        </w:rPr>
        <w:t>Opinions on Strictly Cracking Down Illegal Securities Activities in Accordance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the Law</w:t>
      </w:r>
      <w:r>
        <w:rPr>
          <w:rFonts w:ascii="Times New Roman" w:cs="Times New Roman" w:eastAsia="Times New Roman" w:hAnsi="Times New Roman"/>
          <w:sz w:val="18"/>
          <w:szCs w:val="18"/>
          <w:color w:val="auto"/>
        </w:rPr>
        <w:t>. These opinions emphasized the need to strengthen the administration over illegal securities activities and the supervision on overseas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listings by China-based companies and proposed to take effective measures, such as promoting the construction of relevant regulatory systems to deal with the risks and incidents faced by China-based overseas-listed companies. We do not believe that any provision in these opinions had a material adverse impact on our business or offshore listing plan.</w:t>
      </w:r>
    </w:p>
    <w:p>
      <w:pPr>
        <w:spacing w:after="0" w:line="185"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On February 17, 2023, the CSRC, as approved by the State Council, released the Filing Rules. The Filing Rules took effect on March 31, 2023, when the CSRC started to accept filing applications. Pursuant to the Filing Rules, PRC domestic enterprises that directly or indirectly offer or list their securities in an overseas market are required to file with the CSRC within three business days after submitting their listing application documents to the relevant regulator in the place of intended listing. Failure to complete such filing may subject a PRC domestic enterprise to an order of rectification, a warning or a fine between RMB1 million and RMB10 million. Pursuant to these regulations, a domestic enterprise applying for listing abroad shall, among others, complete record filing procedures and report relevant information to the securities regulatory authority as required. We completed the CSRC filing procedures in connection with our initial public offering.</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future capital raising activities such as follow-on equity or debt offerings, listing on other stock exchanges and going private transactions, may also be subject to the filing requirement with the CSRC. Failure to complete such filing procedures as required under the Filing Rules, or a rescission of any such filings completed by us, would subject us to sanctions by the CSRC or other PRC regulatory authorities, which could include fines and penalties on our operations in mainland China, and other forms of sanctions that may materially and adversely affect our business, financial condition and results of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exchange rates could have a material and adverse effect on our results of operations and the value of your investment.</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conversion of Renminbi into other currencies, including U.S. dollars, is based on rates set by the People’s Bank of China. The Renminbi has fluctuated against other currencies, at times significantly and unpredictably. The value of the Renminbi against the U.S. dollar and other currencies may fluctuate and is affected by, among other things, changes in global and geographical political and economic conditions and China’s foreign exchange policies. It is difficult to predict how market forces or PRC or U.S. government policy may impact the exchange rate between the Renminbi and the U.S. dollar in the future.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40"/>
          </w:cols>
          <w:pgMar w:left="320" w:top="482"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Significant revaluation of the Renminbi may have a material and adverse effect on your investment. For example, to the extent that we need to convert U.S. dollars we received from our initial public offering and the concurrent private placements and will receive in any future offerings into Renminbi for our operations, appreciation of the Renminbi against the U.S. dollar would have an adverse effect on the Renminbi amount we would receive from the conversion. Conversely, if we decide to convert our Renminbi into U.S. dollars for the purpose of making payments for dividends on our Class A ordinary shares or ADSs or for other business purposes, appreciation of the U.S. dollar against the Renminbi would have a negative effect on the U.S. dollar amount available to us.</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Limited hedging options are available in China to reduce our exposure to exchange rate fluctuations. To date, we have not entered into any hedging transaction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Foreign exchange regulations that restrict our ability to convert Renminbi into foreign currency.</w:t>
      </w:r>
    </w:p>
    <w:p>
      <w:pPr>
        <w:spacing w:after="0" w:line="284" w:lineRule="exact"/>
        <w:rPr>
          <w:sz w:val="20"/>
          <w:szCs w:val="20"/>
          <w:color w:val="auto"/>
        </w:rPr>
      </w:pPr>
    </w:p>
    <w:p>
      <w:pPr>
        <w:ind w:left="120"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China’s M&amp;A Rules and certain other PRC regulations establish complex procedures for certain acquisitions of PRC companies by foreign investors, which could make it more difficult for us to pursue growth through acquisitions in China.</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A number of PRC laws and regulations have established procedures and requirements that could make merger and acquisition activities in China by foreign investors more time consuming and complex, such as the PRC Anti-monopoly Law, the </w:t>
      </w:r>
      <w:r>
        <w:rPr>
          <w:rFonts w:ascii="Times New Roman" w:cs="Times New Roman" w:eastAsia="Times New Roman" w:hAnsi="Times New Roman"/>
          <w:sz w:val="18"/>
          <w:szCs w:val="18"/>
          <w:i w:val="1"/>
          <w:iCs w:val="1"/>
          <w:color w:val="auto"/>
        </w:rPr>
        <w:t>Rules on the Merger and Acquisition of Domestic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Enterprises by Foreign Investors</w:t>
      </w:r>
      <w:r>
        <w:rPr>
          <w:rFonts w:ascii="Times New Roman" w:cs="Times New Roman" w:eastAsia="Times New Roman" w:hAnsi="Times New Roman"/>
          <w:sz w:val="18"/>
          <w:szCs w:val="18"/>
          <w:color w:val="auto"/>
        </w:rPr>
        <w:t>, or the M&amp;A Rules, the</w:t>
      </w:r>
      <w:r>
        <w:rPr>
          <w:rFonts w:ascii="Times New Roman" w:cs="Times New Roman" w:eastAsia="Times New Roman" w:hAnsi="Times New Roman"/>
          <w:sz w:val="18"/>
          <w:szCs w:val="18"/>
          <w:i w:val="1"/>
          <w:iCs w:val="1"/>
          <w:color w:val="auto"/>
        </w:rPr>
        <w:t xml:space="preserve"> Rules of the Ministry of Commerce on Implementation of Security Review System of Mergers and Acquisitions of Domestic Enterprises by Foreign Investors</w:t>
      </w:r>
      <w:r>
        <w:rPr>
          <w:rFonts w:ascii="Times New Roman" w:cs="Times New Roman" w:eastAsia="Times New Roman" w:hAnsi="Times New Roman"/>
          <w:sz w:val="18"/>
          <w:szCs w:val="18"/>
          <w:color w:val="auto"/>
        </w:rPr>
        <w:t>, or the M&amp;A Security Review Rules, and the</w:t>
      </w:r>
      <w:r>
        <w:rPr>
          <w:rFonts w:ascii="Times New Roman" w:cs="Times New Roman" w:eastAsia="Times New Roman" w:hAnsi="Times New Roman"/>
          <w:sz w:val="18"/>
          <w:szCs w:val="18"/>
          <w:i w:val="1"/>
          <w:iCs w:val="1"/>
          <w:color w:val="auto"/>
        </w:rPr>
        <w:t xml:space="preserve"> Measures for the Security Review of Foreign Investment</w:t>
      </w:r>
      <w:r>
        <w:rPr>
          <w:rFonts w:ascii="Times New Roman" w:cs="Times New Roman" w:eastAsia="Times New Roman" w:hAnsi="Times New Roman"/>
          <w:sz w:val="18"/>
          <w:szCs w:val="18"/>
          <w:color w:val="auto"/>
        </w:rPr>
        <w:t>. These laws and regulations impose requirements in some instances that MOFCOM and the NDRC be notified in advance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change-of-control transaction in which a foreign investor takes control of a PRC domestic enterprise. In addition, the Anti-Monopoly Law requires that MOFCOM be notified in advance of any concentration of undertaking if certain thresholds are triggered. The M&amp;A Security Review Rules provide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MOFCOM, and prohibit any attempt to bypass a security review, including by structuring the transaction through a proxy or contractual control arrangement. Moreover, the Measures for the Security Review of Foreign Investment provide that foreign investors or the relevant parties in China shall proactively report to the Office of the Working Mechanism any foreign investment in, among other sectors, important information technology and key technology that involve national security concerns and result in the foreign investor’s acquisition of actual control of the enterprise invested in before making such investment. In the future, we may grow our business by acquiring complementary businesses. Complying with the applicable requirements of the relevant regulations to complete any future acquisitions that we may engage in could be time consuming, and any required approval processes, including approval from MOFCOM, may delay or inhibit our ability to complete such acquisitions, which could affect our ability to expand our business or maintain our market share.</w:t>
      </w:r>
    </w:p>
    <w:p>
      <w:pPr>
        <w:spacing w:after="0" w:line="1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80"/>
          </w:cols>
          <w:pgMar w:left="320" w:top="482" w:right="4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2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PRC regulations relating to offshore investment activities by PRC residents may limit our mainland China subsidiaries’ ability to change their registered capital or distribute profits to us or otherwise expose us or our PRC resident beneficial owners to liability and penalties under PRC law.</w:t>
      </w:r>
    </w:p>
    <w:p>
      <w:pPr>
        <w:spacing w:after="0" w:line="13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In July 2014, the State Administration of Foreign Exchange, or SAFE, promulgated the </w:t>
      </w:r>
      <w:r>
        <w:rPr>
          <w:rFonts w:ascii="Times New Roman" w:cs="Times New Roman" w:eastAsia="Times New Roman" w:hAnsi="Times New Roman"/>
          <w:sz w:val="18"/>
          <w:szCs w:val="18"/>
          <w:i w:val="1"/>
          <w:iCs w:val="1"/>
          <w:color w:val="auto"/>
        </w:rPr>
        <w:t>Circular of the State Administration of Foreign 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 Relevant Issues Concerning Foreign Exchange Control on Domestic Residents’ Offshore Investment and Financing and Roundtrip Investment Through Special Purpose Vehicles</w:t>
      </w:r>
      <w:r>
        <w:rPr>
          <w:rFonts w:ascii="Times New Roman" w:cs="Times New Roman" w:eastAsia="Times New Roman" w:hAnsi="Times New Roman"/>
          <w:sz w:val="18"/>
          <w:szCs w:val="18"/>
          <w:color w:val="auto"/>
        </w:rPr>
        <w:t>, or SAFE Circular 37. SAFE Circular 37 requires PRC residents (including PRC individuals and PRC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entities as well as foreign individuals that are deemed as PRC residents for foreign exchange administration purpose) to register with SAFE or its local branches in connection with their direct or indirect offshore investment activities and also requires the foreign-invested enterprise that is established through round-trip investment to truthfully disclose its controller(s). SAFE Circular 37 further requires amendment to the SAFE registrations in the event of any changes with respect to the basic information of the offshore special purpose vehicle, such as change of a PRC individual shareholder, name and operation term, or any significant changes with respect to the offshore special purpose vehicle, such as increase or decrease of capital contribution, share transfer or exchange, or mergers or divisions. SAFE Circular 37 is applicable to our shareholders or beneficial owners who are PRC residents and may be applicable to any offshore acquisitions that we make in the future. In February 2015, SAFE promulgated the </w:t>
      </w:r>
      <w:r>
        <w:rPr>
          <w:rFonts w:ascii="Times New Roman" w:cs="Times New Roman" w:eastAsia="Times New Roman" w:hAnsi="Times New Roman"/>
          <w:sz w:val="18"/>
          <w:szCs w:val="18"/>
          <w:i w:val="1"/>
          <w:iCs w:val="1"/>
          <w:color w:val="auto"/>
        </w:rPr>
        <w:t>Notice of the State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Administration of Foreign Exchange on Further Simplifying and Improving Foreign Exchange Administration Policy on Direct Investment</w:t>
      </w:r>
      <w:r>
        <w:rPr>
          <w:rFonts w:ascii="Times New Roman" w:cs="Times New Roman" w:eastAsia="Times New Roman" w:hAnsi="Times New Roman"/>
          <w:sz w:val="18"/>
          <w:szCs w:val="18"/>
          <w:color w:val="auto"/>
        </w:rPr>
        <w:t>, or SAFE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Notice 13, effective since June 2015. Under SAFE Notice 13, applications for foreign exchange registration of inbound foreign direct investments and outbound overseas direct investments, including those required under SAFE Circular 37, should be registered with qualified banks instead of SAFE. The qualified banks examine the applications and accept registrations under the supervision of SAFE. Any failure or inability of the relevant shareholders or beneficial owners who are PRC residents to comply with the registration procedures set forth in these regulations, or any failure to disclose or misrepresentation of the controller(s) of the foreign-invested enterprise that is established through round-trip investment, may subject us to fines and legal sanctions, such as restrictions on our cross-border investment activities, on the ability of our PRC subsidiaries to distribute dividends and the proceeds from any reduction in capital, share transfer or liquidation to us.</w:t>
      </w:r>
    </w:p>
    <w:p>
      <w:pPr>
        <w:spacing w:after="0" w:line="19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may not at all times be fully informed of the identities of all the PRC residents holding direct or indirect interest in our company, and we cannot provide any assurance that these PRC residents will comply with our request to make or obtain any applicable registrations or continually comply with all requirements under SAFE Circular 37 or other related rules. As a result, we cannot assure you that all of our shareholders or beneficial owners who are PRC residents or entities have complied with, and will in the future make or obtain any applicable registrations or approvals required by, SAFE regulations. Registration for the change in our round-trip invested entity might not be completed in a timely manner. Failure by our shareholders or beneficial owners to comply with SAFE regulations, or failure by us to amend the foreign exchange registrations of our PRC subsidiaries, could subject us to fines or legal sanctions, restrict our overseas or cross-border investment activities, limit our PRC subsidiaries’ ability to make distributions or pay dividends or affect our ownership structure. As a result, our business operations and our ability to distribute profits to you could be materially and adversely affected.</w:t>
      </w:r>
    </w:p>
    <w:p>
      <w:pPr>
        <w:spacing w:after="0" w:line="292"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4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In February 2012, SAFE promulgated the </w:t>
      </w:r>
      <w:r>
        <w:rPr>
          <w:rFonts w:ascii="Times New Roman" w:cs="Times New Roman" w:eastAsia="Times New Roman" w:hAnsi="Times New Roman"/>
          <w:sz w:val="18"/>
          <w:szCs w:val="18"/>
          <w:i w:val="1"/>
          <w:iCs w:val="1"/>
          <w:color w:val="auto"/>
        </w:rPr>
        <w:t>Notice of the State Administration of Foreign Exchange of Issues Related to the Foreign 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Administration for Domestic Individuals Participating in Stock Incentive Plan of Overseas Listed Company</w:t>
      </w:r>
      <w:r>
        <w:rPr>
          <w:rFonts w:ascii="Times New Roman" w:cs="Times New Roman" w:eastAsia="Times New Roman" w:hAnsi="Times New Roman"/>
          <w:sz w:val="18"/>
          <w:szCs w:val="18"/>
          <w:color w:val="auto"/>
        </w:rPr>
        <w:t>, replacing earlier rules promulgated in 2007.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these rules,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mainland China subsidiaries of such overseas-listed company, and complete certain other procedures. In addition, an overseas-entrusted institution must be retained to handle matters in connection with the exercise or sale of stock options and the purchase or sale of shares and interests. We and our executive officers and other employees who are PRC citizens or who reside in China for a continuous period of not less than one year and who have been granted options are subject to these regulations as we became a Nasdaq listed company. Failure to complete SAFE registrations may subject them to fines of up to RMB300,000 for entities and up to RMB50,000 for individuals, and legal sanctions and may also limit our ability to contribute additional capital into our PRC subsidiary and limit our PRC subsidiary’s ability to distribute dividends to us. We also face regulatory uncertainties that could restrict our ability to adopt additional incentive plans for our directors, executive officers and employees under PRC law. See “Item 4. Information on the Company—B. Business Overview—Regulations—Regulations Relating to Share Incentive Plans.”</w:t>
      </w:r>
    </w:p>
    <w:p>
      <w:pPr>
        <w:spacing w:after="0" w:line="192"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In addition, the State Administration of Taxation, or SAT, has issued certain circulars concerning employee share options and restricted shares. Under these circulars, our employees working in China who exercise share options or are granted restricted share unites will be subject to PRC individual income tax. Our mainland China subsidiaries have obligations to file documents related to employee share options or restricted share units with relevant tax authorities and to withhold individual income taxes of those employees who exercise their share options. If our employees fail to pay or we fail to withhold their income taxes according to relevant laws and regulations, we may face sanctions imposed by the tax authorities or other PRC government authorities. See “Item 4. Information on the Company—B. Business Overview—Regulations—Regulations Relating to Share Incentive Plans.”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82"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Increases in labor costs and enforcement of stricter labor laws and regulations in China may adversely affect our business and our financial condition.</w:t>
      </w:r>
    </w:p>
    <w:p>
      <w:pPr>
        <w:spacing w:after="0" w:line="5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China’s overall economy and the average wage in China have increased in recent years and are expected to continue to grow. The average wage level for our employees has also increased in recent years. We expect that our labor costs, including wages and employee benefits, will continue to increase. Unless we are able to pass on these increased labor costs to those who pay for our products and services, our results of operations may be materially and adversely affected.</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In addition, we have been subject to stricter regulatory requirements in terms of entering into labor contracts with our employees and paying various statutory employee benefits, including pensions, housing provident fund, medical insurance, work-related injury insurance, unemployment insurance and maternity insurance to designated government agencies for the benefit of our employees. In order to efficiently administer the contribution of employment benefit plans of our employees in some cities, we engaged third-party agents to make the contribution for our employees. In addition, for some of our employees, we did not pay social insurance and housing provident fund in full. If the relevant competent government authority is of the view that we have underpaid social insurance and housing provident fund for our employees or the third-party agency arrangement does not satisfy the requirements under the relevant PRC laws and regulations, we may be required to pay the shortage of our contributions or subject to fines or other legal sanctions. If we are subject to full distribution, late fees or fines in relation to the underpaid employee benefits, our financial condition and results of operations may be adversely affected. Pursuant to the </w:t>
      </w:r>
      <w:r>
        <w:rPr>
          <w:rFonts w:ascii="Times New Roman" w:cs="Times New Roman" w:eastAsia="Times New Roman" w:hAnsi="Times New Roman"/>
          <w:sz w:val="18"/>
          <w:szCs w:val="18"/>
          <w:i w:val="1"/>
          <w:iCs w:val="1"/>
          <w:color w:val="auto"/>
        </w:rPr>
        <w:t>PRC Labor Contract Law</w:t>
      </w:r>
      <w:r>
        <w:rPr>
          <w:rFonts w:ascii="Times New Roman" w:cs="Times New Roman" w:eastAsia="Times New Roman" w:hAnsi="Times New Roman"/>
          <w:sz w:val="18"/>
          <w:szCs w:val="18"/>
          <w:color w:val="auto"/>
        </w:rPr>
        <w:t xml:space="preserve"> and its implementation rules, employers are subject to stricter requirements in terms of signing labor contracts, minimum wages, paying remuneration, determining the term of employee’s probation and unilaterally terminating labor contracts. In the event that we decide to terminate some of our employees or otherwise change our employment or labor practices, the </w:t>
      </w:r>
      <w:r>
        <w:rPr>
          <w:rFonts w:ascii="Times New Roman" w:cs="Times New Roman" w:eastAsia="Times New Roman" w:hAnsi="Times New Roman"/>
          <w:sz w:val="18"/>
          <w:szCs w:val="18"/>
          <w:i w:val="1"/>
          <w:iCs w:val="1"/>
          <w:color w:val="auto"/>
        </w:rPr>
        <w:t xml:space="preserve">PRC Labor Contract Law </w:t>
      </w:r>
      <w:r>
        <w:rPr>
          <w:rFonts w:ascii="Times New Roman" w:cs="Times New Roman" w:eastAsia="Times New Roman" w:hAnsi="Times New Roman"/>
          <w:sz w:val="18"/>
          <w:szCs w:val="18"/>
          <w:color w:val="auto"/>
        </w:rPr>
        <w:t>and its implementation rules may limit our ability to effect those changes in a cost-effective manner, which could adversely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 our business and results of operations. Furthermore, under relevant PRC laws and regulations, we are required to enter into labor contracts with test drivers. We have historically outsourced test driving operations to a third-party service provider, with whom the test drivers maintain employment relationships. We have entered into labor contracts or service contracts with some of our test drivers, and are in the process of entering into labor contracts or service contracts with the rest of the test drivers as of the date of this annual report.</w:t>
      </w:r>
    </w:p>
    <w:p>
      <w:pPr>
        <w:spacing w:after="0" w:line="193"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In October 2010, the SCNPC promulgated the </w:t>
      </w:r>
      <w:r>
        <w:rPr>
          <w:rFonts w:ascii="Times New Roman" w:cs="Times New Roman" w:eastAsia="Times New Roman" w:hAnsi="Times New Roman"/>
          <w:sz w:val="18"/>
          <w:szCs w:val="18"/>
          <w:i w:val="1"/>
          <w:iCs w:val="1"/>
          <w:color w:val="auto"/>
        </w:rPr>
        <w:t>PRC Social Insurance Law</w:t>
      </w:r>
      <w:r>
        <w:rPr>
          <w:rFonts w:ascii="Times New Roman" w:cs="Times New Roman" w:eastAsia="Times New Roman" w:hAnsi="Times New Roman"/>
          <w:sz w:val="18"/>
          <w:szCs w:val="18"/>
          <w:color w:val="auto"/>
        </w:rPr>
        <w:t xml:space="preserve">, effective on July 1, 2011 and amended on December 29, 2018. On April 3, 1999, the State Council promulgated the </w:t>
      </w:r>
      <w:r>
        <w:rPr>
          <w:rFonts w:ascii="Times New Roman" w:cs="Times New Roman" w:eastAsia="Times New Roman" w:hAnsi="Times New Roman"/>
          <w:sz w:val="18"/>
          <w:szCs w:val="18"/>
          <w:i w:val="1"/>
          <w:iCs w:val="1"/>
          <w:color w:val="auto"/>
        </w:rPr>
        <w:t>Regulations on the Administration of Housing Provident Funds</w:t>
      </w:r>
      <w:r>
        <w:rPr>
          <w:rFonts w:ascii="Times New Roman" w:cs="Times New Roman" w:eastAsia="Times New Roman" w:hAnsi="Times New Roman"/>
          <w:sz w:val="18"/>
          <w:szCs w:val="18"/>
          <w:color w:val="auto"/>
        </w:rPr>
        <w:t>, which was amended on March 24, 2002 and March 24, 2019. Companies registered and operating in China are required under the Social Insurance Law and the Regulations on the Administration of Housing Provident Funds to apply for social insurance registration and housing provident fund deposit registration within 30 days of their establishment and to pay for their employees different social insurance including pension insurance, medical insurance, work-related injury insurance, unemployment insurance and maternity insurance to the extent required by law. As advised by our PRC legal counsel, (i) under the Regulations on Administration of Housing Provident Fund, (a) if we fail to complete housing provident fund registration before the prescribed deadlines, we may be subject to a fine ranging from RMB10,000 to RMB50,000; and (b) if we fail to pay housing provident fund contributions within the prescribed deadlines, we may be subject to an order by the relevant PRC authorities to make such payments; and (ii) according to the Social Insurance Law, (a) for outstanding social insurance fund contributions that we did not fully pay within the prescribed deadlines, the relevant PRC authorities may demand that we pay the outstanding social insurance contributions within a stipulated deadline and we may be liable for a late payment fee equal to 0.05% of the outstanding contribution amount for each day of delay; and (b) if we fail to make such payments, we may be liable to a fine of one to three times the outstanding contribution amount.</w:t>
      </w:r>
    </w:p>
    <w:p>
      <w:pPr>
        <w:spacing w:after="0" w:line="18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As the interpretation and implementation of labor-related laws and regulations are still evolving, we cannot assure you that our employment practices do not and will not violate labor-related laws and regulations in China, which may subject us to labor disputes or government investigations. We cannot assure you that we have complied or will be able to comply with all labor-related law and regulations including those relating to obligations to make social insurance payments and contribute to the housing provident funds. If we are deemed to have violated relevant labor laws and regulations, we could be required to provide additional compensation to our employees and our business, financial condition and results of operations will be adversely affected.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82"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rely on dividends and other distributions on equity paid by our mainland China subsidiaries to fund any cash and financing requirements we may have, and any limitation on the ability of our mainland China subsidiaries to make payments to us could have a material and adverse effect on our ability to conduct our business.</w:t>
      </w:r>
    </w:p>
    <w:p>
      <w:pPr>
        <w:spacing w:after="0" w:line="6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a Cayman Islands holding company and we may rely on dividends and other distributions on equity paid by our mainland China subsidiaries for our cash and financing requirements, including the funds necessary to pay dividends and other cash distributions to our shareholders and service any debt we may incur. If our existing mainland China subsidiaries or any newly formed ones incur debt on their own behalf in the future, the instruments governing their debt may restrict their ability to pay dividends to us. In addition, our mainland China subsidiaries, may pay dividends to us only out of its retained earnings, if any, as determined in accordance with PRC accounting standards and regulations. Under PRC laws, each of our mainland China subsidiaries is required to set aside at least 10% of its after-tax profits each year, if any, to fund certain statutory reserve funds until such reserve funds reach 50% of their registered capital.</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mainland China subsidiaries generate primarily all of their revenue in Renminbi, which is not freely convertible into other currencies. As a result, any restriction on currency exchange may limit the ability of our mainland China subsidiaries to use their Renminbi revenue to pay dividends to us. For instance, when we repatriate funds to the PRC from overseas financing activities, we may be required to complete certain filing or approval procedures to transfer funds out of the PRC for purposes such as investment, acquisition, or other capital account activities. Failure to complete these procedures could negatively affect our ability to pursue overseas expansion. Additionally, we cannot assure that additional regulatory requirements governing the convertibility of RMB into foreign currencies will not be imposed in the future, such as due to foreign exchange policy adjustments in response to changes in global economic conditions. If we are unable to access sufficient foreign currencies to meet our needs, we may face challenges in paying dividends to shareholders in foreign currencies or funding our overseas expansion efforts. Any limitation on the ability of our mainland China subsidiaries to pay dividends or make other kinds of payments to us could materially and adversely limit our ability to grow, make investments or acquisitions that could be beneficial to our business, pay dividends, or otherwise fund and conduct our business.</w:t>
      </w:r>
    </w:p>
    <w:p>
      <w:pPr>
        <w:spacing w:after="0" w:line="192" w:lineRule="exact"/>
        <w:rPr>
          <w:sz w:val="20"/>
          <w:szCs w:val="20"/>
          <w:color w:val="auto"/>
        </w:rPr>
      </w:pPr>
    </w:p>
    <w:p>
      <w:pPr>
        <w:jc w:val="both"/>
        <w:ind w:left="120" w:right="100" w:firstLine="440"/>
        <w:spacing w:after="0" w:line="267" w:lineRule="auto"/>
        <w:rPr>
          <w:sz w:val="20"/>
          <w:szCs w:val="20"/>
          <w:color w:val="auto"/>
        </w:rPr>
      </w:pPr>
      <w:r>
        <w:rPr>
          <w:rFonts w:ascii="Times New Roman" w:cs="Times New Roman" w:eastAsia="Times New Roman" w:hAnsi="Times New Roman"/>
          <w:sz w:val="18"/>
          <w:szCs w:val="18"/>
          <w:color w:val="auto"/>
        </w:rPr>
        <w:t xml:space="preserve">In addition, the </w:t>
      </w:r>
      <w:r>
        <w:rPr>
          <w:rFonts w:ascii="Times New Roman" w:cs="Times New Roman" w:eastAsia="Times New Roman" w:hAnsi="Times New Roman"/>
          <w:sz w:val="18"/>
          <w:szCs w:val="18"/>
          <w:i w:val="1"/>
          <w:iCs w:val="1"/>
          <w:color w:val="auto"/>
        </w:rPr>
        <w:t>EIT Law</w:t>
      </w:r>
      <w:r>
        <w:rPr>
          <w:rFonts w:ascii="Times New Roman" w:cs="Times New Roman" w:eastAsia="Times New Roman" w:hAnsi="Times New Roman"/>
          <w:sz w:val="18"/>
          <w:szCs w:val="18"/>
          <w:color w:val="auto"/>
        </w:rPr>
        <w:t xml:space="preserve"> and its implementation rules provide that a withholding tax rate of up to 10% will be applicable to dividends payable by PRC companies to non-PRC-resident enterprises unless otherwise exempted or reduced according to treaties or arrangements between the PRC central government and governments of other countries or regions where the non-PRC-resident enterprises are incorporated.</w:t>
      </w:r>
    </w:p>
    <w:p>
      <w:pPr>
        <w:spacing w:after="0" w:line="279"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chops of our mainland China subsidiaries are not kept safely, are stolen or are used by unauthorized persons or for unauthorized purposes, the corporate governance of these entities could be severely and adversely compromised.</w:t>
      </w:r>
    </w:p>
    <w:p>
      <w:pPr>
        <w:spacing w:after="0" w:line="51"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In China, a company chop or seal serves as the legal representation of the company towards third parties even when unaccompanied by a signature. Each legally registered company in China is required to maintain a company chop, which must be registered with the local Public Security Bureau. In addition to this mandatory company chop, companies may have several other chops which can be used for specific purposes. The chops of our mainland China subsidiaries are generally held securely by personnel designated or approved by us in accordance with our internal control procedures. To the extent those chops are not kept safely, are stolen or are used by unauthorized persons or for unauthorized purposes, the corporate governance of these entities could be severely and adversely compromised and those corporate entities may be bound to abide by the terms of any documents so chopped, even if they were chopped by an individual who lacked the requisite power and authority to do so. In addition, if the chops are misused by unauthorized persons, we could experience disruption to our normal business operations. We may have to take corporate or legal action, which could involve significant time and resources to resolve while distracting management from our operations.</w:t>
      </w:r>
    </w:p>
    <w:p>
      <w:pPr>
        <w:spacing w:after="0" w:line="292" w:lineRule="exact"/>
        <w:rPr>
          <w:sz w:val="20"/>
          <w:szCs w:val="20"/>
          <w:color w:val="auto"/>
        </w:rPr>
      </w:pPr>
    </w:p>
    <w:p>
      <w:pPr>
        <w:jc w:val="both"/>
        <w:ind w:left="1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PRC regulation of loans to and direct investment in PRC entities by offshore holding companies and governmental control of currency conversion may delay or prevent us from using the proceeds of our offshore offerings to make loans or additional capital contributions to our mainland China subsidiaries, which could materially and adversely affect our liquidity and our ability to fund and expand our business.</w:t>
      </w:r>
    </w:p>
    <w:p>
      <w:pPr>
        <w:spacing w:after="0" w:line="175"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are an offshore holding company conducting our operations in mainland China through our mainland China subsidiaries. We may make loans to our mainland China subsidiaries subject to the approval from governmental authorities and limitation of amount, or we may make additional capital contributions to our mainland China subsidiaries.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00"/>
          </w:cols>
          <w:pgMar w:left="320" w:top="482"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Any loans to our mainland China subsidiaries, which are treated as foreign-invested enterprises under PRC law, are subject to PRC regulations and foreign exchange loan registrations. For example, loans by us to our mainland China subsidiaries to finance their activities cannot exceed statutory limits and must be registered with the local counterpart of SAFE, and medium or long-term loans by us to our mainland China subsidiaries must be recorded and registered with the National Development and Reform Committee, or the NDRC. In addition, a foreign invested enterprise shall use its capital pursuant to the principle of authenticity and self-use within its business scope. The capital of a foreign invested enterprise shall not be used for the following purposes: (i) directly or indirectly used for payment beyond the business scope of the enterprises or the payment prohibited by relevant laws and regulations; (ii) directly or indirectly used for investment in securities or investments other than banks’ principal-secured products unless otherwise provided by relevant laws and regulations; (iii) the granting of loans to non-affiliated enterprises, except where it is expressly permitted in the business license; and (iv) paying the expenses related to the purchase of real estate that is not for self-use (except for the foreign-invested real estate enterprises).</w:t>
      </w:r>
    </w:p>
    <w:p>
      <w:pPr>
        <w:spacing w:after="0" w:line="19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SAFE promulgated the </w:t>
      </w:r>
      <w:r>
        <w:rPr>
          <w:rFonts w:ascii="Times New Roman" w:cs="Times New Roman" w:eastAsia="Times New Roman" w:hAnsi="Times New Roman"/>
          <w:sz w:val="18"/>
          <w:szCs w:val="18"/>
          <w:i w:val="1"/>
          <w:iCs w:val="1"/>
          <w:color w:val="auto"/>
        </w:rPr>
        <w:t>Notice of the State Administration of Foreign Exchange on Reforming the Administration of Foreign Exchange Settlement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Capital of Foreign-invested Enterprises</w:t>
      </w:r>
      <w:r>
        <w:rPr>
          <w:rFonts w:ascii="Times New Roman" w:cs="Times New Roman" w:eastAsia="Times New Roman" w:hAnsi="Times New Roman"/>
          <w:sz w:val="18"/>
          <w:szCs w:val="18"/>
          <w:color w:val="auto"/>
        </w:rPr>
        <w:t>, or SAFE Circular 19, effective June 2015, in replacement of the Circular of General Affairs Department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State Administration of Foreign Exchange on the Relevant Operating Issues Concerning the Improvement of the Administration of the Payment and Settlement of Foreign Currency Capital of Foreign-Invested Enterprises, Supplementary Notice of General Affairs Department of State Administration of Foreign Exchange on Issues Relating to Improving the Relevant Business Operations of Administration of Foreign Exchange Settlement for Payment of Foreign Currency Capital Funds of Foreign Investment Enterprises and Notice of the State Administration of Foreign Exchange on Issues Relating to Pilot Scheme of Reform of Administration of Foreign Currency Capital Settlement by Foreign Investment Enterprises in Certain Localities. According to SAFE Circular 19, the flow and use of the RMB capital converted from foreign currency-denominated registered capital of a foreign-invested company is regulated such that RMB capital may not be used for the issuance of RMB entrusted loans, the repayment of inter-enterprise loans or the repayment of banks loans that have been transferred to a third party. Although SAFE Circular 19 allows RMB capital converted from foreign currency-denominated registered capital of a foreign-invested enterprise to be used for equity investments within China, it also reiterates the principle that RMB converted from the foreign currency-denominated capital of a foreign-invested company may not be directly or indirectly used for purposes beyond its business scope. Thus, it is unclear whether SAFE will permit such capital to be used for equity investments in China in actual practice. SAFE promulgated the </w:t>
      </w:r>
      <w:r>
        <w:rPr>
          <w:rFonts w:ascii="Times New Roman" w:cs="Times New Roman" w:eastAsia="Times New Roman" w:hAnsi="Times New Roman"/>
          <w:sz w:val="18"/>
          <w:szCs w:val="18"/>
          <w:i w:val="1"/>
          <w:iCs w:val="1"/>
          <w:color w:val="auto"/>
        </w:rPr>
        <w:t>Notice of the State Administration of Foreign Exchange on Reforming and Standardizing the Foreign Exchange Settlement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 Policy of Capital Account</w:t>
      </w:r>
      <w:r>
        <w:rPr>
          <w:rFonts w:ascii="Times New Roman" w:cs="Times New Roman" w:eastAsia="Times New Roman" w:hAnsi="Times New Roman"/>
          <w:sz w:val="18"/>
          <w:szCs w:val="18"/>
          <w:color w:val="auto"/>
        </w:rPr>
        <w:t>, or SAFE Circular 16, effective on June 9, 2016, which reiterates some of the rules set forth in SAFE Circular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 but changes the prohibition against using RMB capital converted from foreign currency-denominated registered capital of a foreign-invested company to issue RMB entrusted loans to a prohibition against using such capital to issue loans to non-associated enterprises. Violations of SAFE Circular 19 and SAFE Circular 16 could result in administrative penalties. SAFE Circular 19 and SAFE Circular 16 may affect our ability to transfer any foreign currency we hold, including the proceeds from our initial public offering, the concurrent private placements and any future offerings to our mainland China subsidiaries, which may adversely affect our liquidity and our ability to fund and expand our business in China.</w:t>
      </w:r>
    </w:p>
    <w:p>
      <w:pPr>
        <w:spacing w:after="0" w:line="191" w:lineRule="exact"/>
        <w:rPr>
          <w:sz w:val="20"/>
          <w:szCs w:val="20"/>
          <w:color w:val="auto"/>
        </w:rPr>
      </w:pPr>
    </w:p>
    <w:p>
      <w:pPr>
        <w:jc w:val="both"/>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In light of the various requirements imposed by PRC regulations on loans to and direct investment in PRC entities by offshore holding companies, we cannot assure you that we will be able to complete the necessary government registrations or obtain the necessary government approvals on a timely basis, if at all, with respect to future loans to our mainland China subsidiaries or future capital contributions by us to our mainland China subsidiaries.</w:t>
      </w:r>
    </w:p>
    <w:p>
      <w:pPr>
        <w:spacing w:after="0" w:line="2" w:lineRule="exact"/>
        <w:rPr>
          <w:sz w:val="20"/>
          <w:szCs w:val="20"/>
          <w:color w:val="auto"/>
        </w:rPr>
      </w:pPr>
    </w:p>
    <w:p>
      <w:pPr>
        <w:ind w:left="120" w:right="240"/>
        <w:spacing w:after="0" w:line="253" w:lineRule="auto"/>
        <w:rPr>
          <w:sz w:val="20"/>
          <w:szCs w:val="20"/>
          <w:color w:val="auto"/>
        </w:rPr>
      </w:pPr>
      <w:r>
        <w:rPr>
          <w:rFonts w:ascii="Times New Roman" w:cs="Times New Roman" w:eastAsia="Times New Roman" w:hAnsi="Times New Roman"/>
          <w:sz w:val="18"/>
          <w:szCs w:val="18"/>
          <w:color w:val="auto"/>
        </w:rPr>
        <w:t>As a result, uncertainties exist as to our ability to provide prompt financial support to our mainland China subsidiaries when needed. If we fail to complete such registrations or obtain such approvals, our ability to use the proceeds we receive from our initial public offering, the concurrent private placements and any future offerings and to capitalize or otherwise fund our PRC operations may be negatively affected, which could materially and adversely affect our liquidity and our ability to fund and expand our business.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40"/>
          </w:cols>
          <w:pgMar w:left="320" w:top="482"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classified as a PRC resident enterprise for PRC income tax purposes, such classification could result in unfavorable tax consequences to us and our non-PRC shareholders or ADS holders.</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Under the EIT Law and its implementation rules, an enterprise established outside of the PRC with “de facto management body” within China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In 2009, the SAT, issued the Circular of the State Administration of Taxation on Issues Relating to Identification of PRC-Controlled Overseas Registered Enterprises as Resident Enterprises in Accordance with the De Facto Standards of Organizational Management, or SAT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SAT’s general position on how the “de facto management body” text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China; (ii) decisions relating to the enterprise’s financial and human resource matters are made or are subject to approval by organizations or personnel in China; (iii) the enterprise’s primary assets, accounting books and records, company seals, and board and shareholder resolutions, are located or maintained in China; and (iv) at least 50% of voting board members or senior executives habitually reside in China.</w:t>
      </w:r>
    </w:p>
    <w:p>
      <w:pPr>
        <w:spacing w:after="0" w:line="19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believe that we are not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we are a PRC resident enterprise for enterprise income tax purposes, we could be subject to PRC tax at a rate of 25% on our worldwide income, which could materially reduce our net income, and we may be required to withhold a 10% withholding tax from dividends we pay to our shareholders that are non-resident enterprises, including the holders of our ADSs, if such dividends are treated as sourced from within the PRC. In addition, non-resident enterprise shareholders (including our ADS holders) may be subject to PRC tax on gains realized on the sale or other disposition of ADSs or Class A ordinary shares, if such income is treated as sourced from within China. Furthermore, if we are deemed a PRC resident enterprise, dividends payable to our non-PRC individual shareholders (including our ADS holders) and any gain realized on the transfer of ADSs or Class A ordinary shares by such shareholders may be subject to PRC tax at a rate of 10% in the case of non-PRC enterprises or a rate of 20% in the case of non-PRC individuals unless a tax reduction or exemption is available under an applicable tax treaty. It is unclear whether non-PRC shareholders of our company would be able to claim the benefits of any tax treaties between their country of tax residence and the PRC in the event that we are treated as a PRC resident enterprise. Any such tax may reduce the returns on your investment in the ADSs or Class A ordinary shares.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face uncertainty with respect to indirect transfers of equity interests in PRC resident enterprises by their non-PRC holding companies.</w:t>
      </w:r>
    </w:p>
    <w:p>
      <w:pPr>
        <w:spacing w:after="0" w:line="119"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In February 2015, the SAT issued the </w:t>
      </w:r>
      <w:r>
        <w:rPr>
          <w:rFonts w:ascii="Times New Roman" w:cs="Times New Roman" w:eastAsia="Times New Roman" w:hAnsi="Times New Roman"/>
          <w:sz w:val="18"/>
          <w:szCs w:val="18"/>
          <w:i w:val="1"/>
          <w:iCs w:val="1"/>
          <w:color w:val="auto"/>
        </w:rPr>
        <w:t>Public Notice Regarding Certain Enterprise Income Tax Matters on Indirect Transfer of Properties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Non-Resident Enterprises</w:t>
      </w:r>
      <w:r>
        <w:rPr>
          <w:rFonts w:ascii="Times New Roman" w:cs="Times New Roman" w:eastAsia="Times New Roman" w:hAnsi="Times New Roman"/>
          <w:sz w:val="18"/>
          <w:szCs w:val="18"/>
          <w:color w:val="auto"/>
        </w:rPr>
        <w:t>, or SAT Public Notice 7. SAT Public Notice 7 extends its tax jurisdiction to not only indirect transfers but also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involving transfer of other taxable assets, through the offshore transfer of a foreign intermediate holding company. In addition, SAT Public Notice 7 provides certain criteria on how to assess reasonable commercial purposes and has introduced safe harbors for internal group restructurings and the purchase and sale of equity through a public securities market. SAT Public Notice 7 also brings challenges to both the foreign transferor and transferee (or other person who is obligated to pay for the transfer) of the taxable assets. Where a non-resident enterprise conducts an “indirect transfer” by transferring the taxable assets indirectly by disposing of the equity interests of an overseas holding company, the non-resident enterprise being the transferor, or the transferee, or the PRC entity which directly owns the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tax rate of 10% for the transfer of equity interests in a PRC resident enterprise. Both the transferor and the transferee may be subject to penalties under PRC tax laws if the transferee fails to withhold the taxes and the transferor fails to pay the taxes. However, according to the aforesaid safe harbor rule, the PRC tax would not be applicable to the transfer by any non-resident enterprise of the ADSs acquired and sold on public securities markets.</w:t>
      </w:r>
    </w:p>
    <w:p>
      <w:pPr>
        <w:spacing w:after="0" w:line="1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80"/>
          </w:cols>
          <w:pgMar w:left="320" w:top="482" w:right="4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On October 17, 2017, the SAT issued the Public Notice on Issues Relating to Withholding at Source of Income Tax of Non-resident Enterprises, or SAT Public Notice 37, which became effective on December 1, 2017. According to SAT Public Notice 37, where the non-resident enterprise fails to declare its tax payable pursuant to Article 39 of the EIT Law, the tax authority may order it to pay its tax due within required time limits, and the non-resident enterprise shall declare and pay its tax payable within such time limits specified by the tax authority. If the non-resident enterprise voluntarily declares and pays its tax payable before the tax authority orders it to do so, it shall be deemed that such enterprise has paid its tax payable in time.</w:t>
      </w:r>
    </w:p>
    <w:p>
      <w:pPr>
        <w:spacing w:after="0" w:line="200" w:lineRule="exact"/>
        <w:rPr>
          <w:sz w:val="20"/>
          <w:szCs w:val="20"/>
          <w:color w:val="auto"/>
        </w:rPr>
      </w:pPr>
    </w:p>
    <w:p>
      <w:pPr>
        <w:spacing w:after="0" w:line="20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face uncertainties on the reporting and consequences of previous and future private equity financing transactions, share exchanges or other transactions involving the transfer of shares in our company by investors that are non-PRC resident enterprises. The PRC tax authorities may pursue such non-resident enterprises with respect to a filing or the transferees with respect to withholding obligation and request our mainland China subsidiaries to assist in the filing. As a result, we and non-resident enterprises in such transactions may become at risk of being subject to filing obligations or being taxed under SAT Public Notice 7 and SAT Public Notice 37, and may be required to expend valuable resources to comply with them or to establish that we and our non-resident enterprises should not be taxed under these regulations, which may have a material adverse effect on our financial condition and results of operations.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ADSs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ADSs may be volatile, which could result in substantial losses to you.</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trading price of our ADSs can be volatile and fluctuate widely in response to a variety of factors, many of which are beyond our control. In addition, the performance and fluctuation of the market prices of other companies with business operations located mainly in the PRC that have listed their securities in the United States may affect the volatility in the price of and trading volumes for our ADSs. Some of these companies have experienced significant volatility. The trading performances of these PRC companies’ securities may affect the overall investor sentiment towards other PRC companies listed in the United States and consequently may impact the trading performance of our ADSs, regardless of our actual operating performance.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to the above factors, the price and trading volume of our ADSs may be highly volatile due to multiple factors, including the following:</w:t>
      </w:r>
    </w:p>
    <w:p>
      <w:pPr>
        <w:spacing w:after="0" w:line="131"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us or our industry, strategic business partners and third parties that collaborate with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studies and reports relating to the quality of our products and services or those of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results of operations and changes or revisions of our expected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research analysts;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autonomous driving industry;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82"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acquisitions, strategic relationships, joint ventures, capital raisings or capital commitments;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departures of our senior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exchange rates between the RMB and the U.S. dollar;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expiry of lock-up or other transfer restrictions on our issued and outstanding shares or ADSs;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listing on other overseas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potential sales of additional Class A ordinary shares or ADSs;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relations between the United States and China;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or regulatory investigations.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principal shareholders have substantial influence over our key corporate matters and will continue to have such influence.</w:t>
      </w:r>
    </w:p>
    <w:p>
      <w:pPr>
        <w:spacing w:after="0" w:line="121"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Certain principal shareholders of our company have certain special rights with respect to our key corporate matters, in addition to voting power based on beneficial ownership in our company. Pursuant to our currently effective memorandum and articles of association, Tonyhan Limited, an entity beneficially owned by Dr. Tony Xu Han, our chairman and chief executive officer, and Yanli Holdings Limited, an entity beneficially owned by Dr. Yan Li, our director and chief technology officer, are entitled to appoint, remove, and replace at least two directors, subject to certain conditions. Pursuant to a nominating and support agreement dated July 26, 2024 with Alliance Ventures, B.V., a shareholder of our Series C-1 Preferred Shares, Dr. Tony Xu Han and Dr. Yan Li, which became effective upon the completion of our initial public offering, Alliance Ventures, B.V. is entitled to the right to appoint, remove, and replace two directors, subject to certain conditions. These special rights enable these principal shareholders to have substantial influence over our key corporate matters and could discourage others from pursuing any change of control transaction that holders of our ordinary shares and ADSs may view as beneficial. See “Item 6. Directors, Senior Management and Employees—B. Board Practices—Terms of Directors and Officers” and “Item 7. Major Shareholders and Related Party Transactions—B. Related Party Transactions—Nominating and Support Agreement.”</w:t>
      </w:r>
    </w:p>
    <w:p>
      <w:pPr>
        <w:spacing w:after="0" w:line="281"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51" w:lineRule="exact"/>
        <w:rPr>
          <w:sz w:val="20"/>
          <w:szCs w:val="20"/>
          <w:color w:val="auto"/>
        </w:rPr>
      </w:pPr>
    </w:p>
    <w:p>
      <w:pPr>
        <w:jc w:val="both"/>
        <w:ind w:left="120" w:right="60" w:firstLine="440"/>
        <w:spacing w:after="0" w:line="272" w:lineRule="auto"/>
        <w:rPr>
          <w:sz w:val="20"/>
          <w:szCs w:val="20"/>
          <w:color w:val="auto"/>
        </w:rPr>
      </w:pPr>
      <w:r>
        <w:rPr>
          <w:rFonts w:ascii="Times New Roman" w:cs="Times New Roman" w:eastAsia="Times New Roman" w:hAnsi="Times New Roman"/>
          <w:sz w:val="17"/>
          <w:szCs w:val="17"/>
          <w:color w:val="auto"/>
        </w:rPr>
        <w:t>We have in place a dual-class share structure such that our ordinary shares will consist of Class B ordinary shares and Class A ordinary shares. In respect of matters requiring the votes of shareholders, holders of Class A ordinary shares will be entitled to one vote per share, while holders of Class B ordinary shares will be entitled to 40 votes per share based on our proposed dual-class share structure. Our ADSs represent Class A ordinary shares.</w:t>
      </w:r>
    </w:p>
    <w:p>
      <w:pPr>
        <w:spacing w:after="0" w:line="2" w:lineRule="exact"/>
        <w:rPr>
          <w:sz w:val="20"/>
          <w:szCs w:val="20"/>
          <w:color w:val="auto"/>
        </w:rPr>
      </w:pPr>
    </w:p>
    <w:p>
      <w:pPr>
        <w:ind w:left="120" w:right="420"/>
        <w:spacing w:after="0" w:line="260" w:lineRule="auto"/>
        <w:rPr>
          <w:sz w:val="20"/>
          <w:szCs w:val="20"/>
          <w:color w:val="auto"/>
        </w:rPr>
      </w:pPr>
      <w:r>
        <w:rPr>
          <w:rFonts w:ascii="Times New Roman" w:cs="Times New Roman" w:eastAsia="Times New Roman" w:hAnsi="Times New Roman"/>
          <w:sz w:val="18"/>
          <w:szCs w:val="18"/>
          <w:color w:val="auto"/>
        </w:rPr>
        <w:t>Each Class B ordinary share is convertible into one Class A ordinary share at any time by the holder thereof, while Class A ordinary shares are not convertible into Class B ordinary shares under any circumstances.</w:t>
      </w:r>
    </w:p>
    <w:p>
      <w:pPr>
        <w:spacing w:after="0" w:line="181" w:lineRule="exact"/>
        <w:rPr>
          <w:sz w:val="20"/>
          <w:szCs w:val="20"/>
          <w:color w:val="auto"/>
        </w:rPr>
      </w:pPr>
    </w:p>
    <w:p>
      <w:pPr>
        <w:ind w:left="120" w:right="180" w:firstLine="440"/>
        <w:spacing w:after="0" w:line="276" w:lineRule="auto"/>
        <w:rPr>
          <w:sz w:val="20"/>
          <w:szCs w:val="20"/>
          <w:color w:val="auto"/>
        </w:rPr>
      </w:pPr>
      <w:r>
        <w:rPr>
          <w:rFonts w:ascii="Times New Roman" w:cs="Times New Roman" w:eastAsia="Times New Roman" w:hAnsi="Times New Roman"/>
          <w:sz w:val="17"/>
          <w:szCs w:val="17"/>
          <w:color w:val="auto"/>
        </w:rPr>
        <w:t>Dr. Tony Xu Han, our founder, chairman and chief executive officer, and Dr. Yan Li, our co-founder, director and chief technology officer, beneficially own all of our issued Class B ordinary shares. As of the date of this annual report, these Class B ordinary shares constitute approximately</w:t>
      </w:r>
    </w:p>
    <w:p>
      <w:pPr>
        <w:spacing w:after="0" w:line="1"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6.4% of our total issued and outstanding share capital and 73.3% of the aggregate voting power of our total issued and outstanding share capital due to the disparate voting powers associated with our dual-class share structure. See “Item 6. Directors, Senior Management and Employees—E. Share ownership.” As a result of the dual-class share structure and the concentration of ownership, holders of Class B ordinary shares will have considerable influence over matters such as decisions regarding mergers, consolidations and the sale of all or substantially all of our assets, election of directors and other significant corporate actions. Such holders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spacing w:after="0" w:line="1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80"/>
          </w:cols>
          <w:pgMar w:left="320" w:top="482" w:right="4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or if they adversely change their recommendations regarding our ADSs, the market price for our ADSs and trading volume could decline.</w:t>
      </w:r>
    </w:p>
    <w:p>
      <w:pPr>
        <w:spacing w:after="0" w:line="5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trading market for our ADSs will depend in part on the research and reports that securities or industry analysts publish about us or our business. If research analysts do not establish and maintain adequate research coverage or if one or more of the analysts who covers us downgrades our ADSs or publishes inaccurate or unfavorable research about our business, the market price for our ADSs would likely decline. If one or more of these analysts cease coverage of our company or fail to publish reports on us regularly, we could lose visibility in the financial markets, which, in turn, could cause the market price or trading volume for our ADSs to decline.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Techniques employed by short sellers may drive down the market price of the ADSs.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Public companies that have a substantial majority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any investment in the ADSs could be greatly reduced or even rendered worthless.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in the foreseeable future, you must rely on price appreciation of our ADSs for return on your investment.</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our ADSs as a source for any future dividend income.</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board of directors has complete discretion as to whether to distribute dividends, subject to certain requirements of Cayman Islands law. In addition, our shareholders may by ordinary resolution declare a dividend, but no dividend may exceed the amount recommended by our directors. Under Cayman Islands law, a Cayman Islands company may pay a dividend out of either profit or share premium account of the company, provided that in no circumstances may a dividend be paid out of share premium if this would result in the company being unable to pay its debts as they fall due in the ordinary course of business.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or even maintain the price at which you purchased the ADSs. You may not realize a return on your investment in our ADSs and you may even lose your entire investment in our ADSs.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00"/>
          </w:cols>
          <w:pgMar w:left="320" w:top="482" w:right="4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Substantial future sales or perceived potential sales of our ADSs in the public market could cause the price of our ADSs to decline.</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Sales of our ADSs in the public market, or the perception that these sales could occur, could cause the market price of our ADSs to decline. Such sales also might make it more difficult for us to sell equity or equity-related securities in the future at a time and price that we deem appropriate. Additionally, our shareholders may, subject to any applicable lock-up restrictions, sell their securities in the market. We cannot predict what effect, if any, that market sales of securities held by a principal shareholder or any other shareholder or the availability of these securities for future sale will have on the market price of our ADSs. In addition, if we issue additional ordinary shares, in the form of ADSs or otherwise, either through private transactions or in the public markets in the United States or other jurisdiction, your ownership interests in our company would be diluted and this, in turn, would have an adverse effect on the price of our ADSs.</w:t>
      </w:r>
    </w:p>
    <w:p>
      <w:pPr>
        <w:spacing w:after="0" w:line="18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our initial public offering, we, our then directors, officers, pre-IPO shareholders holding at least 95% of our total outstanding share capital and concurrent private placement investors have agreed not to sell, transfer or dispose of any ADSs, ordinary shares or similar securities during the period ending 180 days (or 12 months for Guangqizhixing Holdings Limited for the ordinary shares subscribed in the concurrent private placement) after October 24, 2024, the date of the prospectus used in our initial public offering, without the prior written consent of the representatives of the underwriters in such offering, or the IPO representatives, subject to certain exceptions. After the expiration of such lock-up period, the ordinary shares or ADSs held by our then directors, executive officers or shareholders may be sold subject to the restrictions under Rule 144 under the Securities Act or by means of registered public offerings. In addition, to the extent shares are released early at the discretion of the IPO representatives before the expiration of the lock-up period and sold into the market, the market price of our ADSs could decline significantly.</w:t>
      </w:r>
    </w:p>
    <w:p>
      <w:pPr>
        <w:spacing w:after="0" w:line="192"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Certain major holders of our ordinary shares have the right to cause us to register under the Securities Act the sale of their shares under certain conditions, subject to the applicable lock-up periods in connection with our initial public offering. Registration of these shares under the Securities Act would result in ADSs representing these shares becoming freely tradable without restriction under the Securities Act immediately upon the effectiveness of the registration. Sales of ADSs representing these registered shares in the public market could cause the price of the ADSs to decline significantly.</w:t>
      </w:r>
    </w:p>
    <w:p>
      <w:pPr>
        <w:spacing w:after="0" w:line="268"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voting rights of holders of ADSs are limited by the terms of the deposit agreement, and you may not be able to exercise the same rights as our shareholders.</w:t>
      </w:r>
    </w:p>
    <w:p>
      <w:pPr>
        <w:spacing w:after="0" w:line="51"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Holders of ADSs do not have the same rights as our shareholders. As a holder of our ADSs, you will not have any direct right to attend general meetings of our shareholders or to cast any votes at such meetings. As an ADS holder, you will only be able to exercise the voting rights carried by the underlying Class A ordinary shares which are represented by your ADSs indirectly by giving voting instructions to the depositary in accordance with the provisions of the deposit agreement. Under the deposit agreement, you may vote only by giving voting instructions to the depositary. Upon receipt of your voting instructions, the depositary will try, as far as is practicable, to vote the Class A ordinary shares underlying your ADSs in accordance with your instructions. If we ask for your instructions, then upon receipt of your voting instructions, the depositary will try to vote the underlying Class A ordinary shares in accordance with these instructions. If we do not instruct the depositary to ask for your instructions, the depositary may still vote in accordance with instructions you give, but it is not required to do so. You will not be able to directly exercise your right to vote with respect to the underlying Class A ordinary shares unless you withdraw the shares, and become the registered holder of such shares prior to the record date for the general meeting. When a general meeting is convened, you may not receive sufficient advance notice of the meeting to withdraw the Class A ordinary shares underlying your ADSs and become the registered holder of such shares to allow you to attend the general meeting and to vote directly with respect to any specific matter or resolution to be considered and voted upon at the general meeting. In addition, under our currently effective memorandum and articles of association,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Class A ordinary shares underlying your ADSs and becoming the registered holder of such shares prior to the record date, so that you would not be able to attend the general meeting or to vote directly. If we ask for your instructions, the depositary will notify you of the upcoming vote and will arrange to deliver our voting materials to you. We have agreed to give the depositary notice of shareholder meetings sufficiently in advance of such meetings. Nevertheless, we cannot assure you that you will receive the voting materials in time to ensure that you can instruct the depositary to vote the underlying Class A ordinary shares represented by your ADSs. In addition, the depositary and its agents are not responsible for failing to carry out voting instructions or for their manner of carrying out your voting instructions. This means that you may not be able to exercise your right to direct how the Class A ordinary shares underlying your ADSs are voted and you may have no legal remedy if the Class A ordinary shares underlying your ADSs are not voted as you requested. In addition, in your capacity as an ADS holder, you will not be able to call a shareholders’ meeting. Except in limited circumstances, the depositary for our ADSs will give us a discretionary proxy to vote the Class A ordinary shares underlying your ADSs if you do not provide timely instructions to the depositary as to how to vote the shares underlying your ADSs at shareholders’ meetings, which could adversely affect your interests.</w:t>
      </w:r>
    </w:p>
    <w:p>
      <w:pPr>
        <w:spacing w:after="0" w:line="1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82"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deposit agreement for the ADSs, if you do not provide timely instructions to the depositary as to how to vote the shares underlying your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ADSs, the depositary will give us a discretionary proxy to vote the Class A ordinary shares underlying your ADSs at shareholders’ meetings unless:</w:t>
      </w:r>
    </w:p>
    <w:p>
      <w:pPr>
        <w:spacing w:after="0" w:line="112"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instructed the depositary that we do not wish a discretionary proxy to be given;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informed the depositary that there is substantial opposition as to a matter to be voted on at the meeting;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matter to be voted on at the meeting would have a material adverse impact on shareholders;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at the meeting is to be made on a show of hands.</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effect of this discretionary proxy is that you cannot prevent the Class A ordinary shares underlying your ADSs from being voted, except under the circumstances described above. This may make it more difficult for ADS holders to influence the management of our company. Holders of our Class A ordinary shares are not subject to this discretionary proxy.</w:t>
      </w:r>
    </w:p>
    <w:p>
      <w:pPr>
        <w:spacing w:after="0" w:line="280" w:lineRule="exact"/>
        <w:rPr>
          <w:sz w:val="20"/>
          <w:szCs w:val="20"/>
          <w:color w:val="auto"/>
        </w:rPr>
      </w:pPr>
    </w:p>
    <w:p>
      <w:pPr>
        <w:jc w:val="both"/>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Forum selection provisions in our currently effective memorandum and articles of association and our deposit agreement with the depositary bank could limit the ability of holders of our Class A ordinary shares, ADSs or other securities to obtain a favorable judicial forum for disputes with us, our directors and officers, the depositary bank, and potentially others.</w:t>
      </w:r>
    </w:p>
    <w:p>
      <w:pPr>
        <w:spacing w:after="0" w:line="67"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Our currently effective memorandum and articles of association provide that the United States District Court for the Southern District of New York (or, if the United States District Court for the Southern District of New York lacks subject matter jurisdiction over a particular dispute, the state courts in New York County, New York) shall be the exclusive forum within the United States for the resolution of any complaint asserting a cause of action arising out of or relating in any way to the federal securities laws of the United States, including those arising from the Securities Act and the Exchange Act, regardless of whether such legal suit, action, or proceeding also involves parties other than our company. Our deposit agreement with the depositary bank also provides that the United States District Court for the Southern District of New York (or, if the United States District Court for the Southern District of New York lacks subject matter jurisdiction over a particular dispute, the state courts in New York County, New York) will have jurisdiction to hear and determine any suit, action, or proceeding and to settle any dispute between the depositary bank and us that may arise out of or relate in any way to the deposit agreement, including claims under the Securities Act or the Exchange Act. Holders and beneficial owners of our ADSs, by holding an ADS or an interest therein, understand and irrevocably agree that any legal suit, action, or proceeding against or involving us or the depositary bank arising out of or related in any way to the deposit agreement, ADSs, or the transactions contemplated thereby or by virtue of ownership thereof, including without limitation claims under the Securities Act or the Exchange Act, may only be instituted in the United States District Court for the Southern District of New York (or, if the United States District Court for the Southern District of New York lacks jurisdiction or such designation of the exclusive forum is, or becomes, invalid, illegal, or unenforceable, in the state courts of New York County, New York). However, the enforceability of similar federal court choice of forum provisions has been challenged in legal proceedings in the United States, and a court could find this type of provision to be inapplicable, unenforceable, or inconsistent with other documents relevant to the filing of such lawsuits. If a court were to find the federal court choice of forum provision contained in our currently effective memorandum and articles of association or our deposit agreement with the depositary bank to be inapplicable or unenforceable in an action, we may incur additional costs associated with resolving such action in other jurisdictions. If upheld, the forum selection clause in our currently effective memorandum and articles of association, as well as the forum selection provisions in the deposit agreement, may limit a security-holder’s ability to bring a claim against us, our directors and officers, the depositary bank, and potentially others in his or her preferred judicial forum, and this limitation may discourage such lawsuits. In addition, the Securities Act provides that both federal and state courts have jurisdiction over suits brought to enforce any duty or liability under the Securities Act or the rules and regulations thereunder. Accepting or consent to this forum selection provision does not constitute a waiver by you of compliance with federal securities laws and the rules and regulations thereunder. You may not waive compliance with federal securities laws and the rules and regulations thereunder. The exclusive forum provision in our currently effective memorandum and articles of association will not operate so as to deprive the courts of the Cayman Islands from having jurisdiction over matters relating to our internal affairs.</w:t>
      </w:r>
    </w:p>
    <w:p>
      <w:pPr>
        <w:spacing w:after="0" w:line="1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82"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entitled to amend the deposit agreement and to change the rights of ADS holders under the terms of such agreement, or to terminate the deposit agreement, without the prior consent of the ADS holders.</w:t>
      </w:r>
    </w:p>
    <w:p>
      <w:pPr>
        <w:spacing w:after="0" w:line="5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Amendments may reflect, among other things, operational changes in the ADS program, legal developments affecting ADSs or changes in the terms of our business relationship with the depositary. In the event that the terms of an amendment impose or increase fees or charges (other than taxes and other governmental charges, registration fees, cable (including SWIFT) or facsimile transmission costs, delivery costs or other such expenses) or that would otherwise prejudice any substantial existing right of the ADS holders, such amendment will not become effective as to outstanding ADSs until the expiration of 30 days after notice of that amendment has been disseminated to the ADS holders, but no prior consent of the ADS holders is required under the deposit agreement. Furthermore, we may decide to terminate the ADS facility at any time for any reason. For example, terminations may occur when the ADSs are delisted from the stock exchange in the United States on which the ADSs are listed and we do not list the ADSs on another stock exchange in the United States, nor is there a symbol available for over-the-counter trading of the ADSs in the United States. If the ADS facility is terminated, ADS holders will receive at least 90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Class A ordinary shares, but will have no right to any compensation whatsoever.</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Your rights to pursue claims against the depositary as a holder of ADSs are limited by the terms of the deposit agreement.</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the deposit agreement, any legal suit, action or proceeding against or involving the depositary, arising out of or relating in any way to the deposit agreement or the transactions contemplated thereby or by virtue of owning the ADSs may only be instituted in the United States District Court of the Southern District of New York (or, if the United States District Court of the Southern District of New York lacks subject matter jurisdiction over a particular dispute, the state courts of New York County, New York) and you, as a holder of our ADSs, will have irrevocably waived any objection which you may have to the laying of venue of any such proceeding, and irrevocably submitted to the exclusive jurisdiction of such courts in any such action or proceeding.</w:t>
      </w:r>
    </w:p>
    <w:p>
      <w:pPr>
        <w:spacing w:after="0" w:line="187"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The deposit agreement provides that the depositary may, in its sole discretion, require that any dispute or difference arising from the relationship created by the deposit agreement be referred to and finally settled by an arbitration conducted under the terms described in the deposit agreement, although the arbitration provisions do not preclude you from pursuing any claims under the Securities Act or the Exchange Act in state or federal court.</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not receive cash dividends if the depositary decides it is impractical to make them available to you.</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depositary will pay cash dividends on the ADSs only to the extent that we decide to distribute dividends on our Class A ordinary shares or other deposited securities, and we do not have any present plan to pay any cash dividends on our Class A ordinary shares in the foreseeable future. To the extent that there is a distribution, the depositary of our ADSs has agreed to pay to you the cash dividends or other distributions it or the custodian receives on our Class A ordinary shares or other deposited securities after deducting its fees and expenses. You will receive these distributions in proportion to the number of Class A ordinary shares your ADSs represent. However, the depositary may, at its discretion, decide that it is inequitable or impractical to make a distribution available to any holders of ADSs. For example, the depositary may determine that it is not practicable to distribute certain property through the mail, or that the value of certain distributions may be less than the cost of mailing them. In these cases, the depositary may decide not to distribute such property to you.</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00"/>
          </w:cols>
          <w:pgMar w:left="320" w:top="482" w:right="4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deposit agreement governing the ADSs representing our ordinary shares provides that, subject to the depositary’s right to require a claim to be submitted to arbitration, the United States District Court of the Southern District of New York (or, if the United States District Court of the Southern District of New York lacks subject matter jurisdiction over a particular dispute, the state courts of New York County, New York) have exclusive jurisdiction to hear and determine claims arising under the deposit agreement and in that regard, to the fullest extent permitted by law, ADS holders waive the right to a jury trial of any claim they may have against us or the depositary arising out of or relating to our Class A ordinary shares, the ADSs or the deposit agreement, including any claim under the U.S. federal securities laws.</w:t>
      </w:r>
    </w:p>
    <w:p>
      <w:pPr>
        <w:spacing w:after="0" w:line="18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w:t>
      </w:r>
    </w:p>
    <w:p>
      <w:pPr>
        <w:ind w:left="120"/>
        <w:spacing w:after="0" w:line="252" w:lineRule="auto"/>
        <w:rPr>
          <w:sz w:val="20"/>
          <w:szCs w:val="20"/>
          <w:color w:val="auto"/>
        </w:rPr>
      </w:pPr>
      <w:r>
        <w:rPr>
          <w:rFonts w:ascii="Times New Roman" w:cs="Times New Roman" w:eastAsia="Times New Roman" w:hAnsi="Times New Roman"/>
          <w:sz w:val="18"/>
          <w:szCs w:val="18"/>
          <w:color w:val="auto"/>
        </w:rPr>
        <w:t>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In determining whether to enforce a contractual pre-dispute jury trial waiver provision, courts will generally consider whether a party knowingly, intelligently and voluntarily waive the right to a jury trial. We believe that this is the case with respect to the deposit agreement and the ADSs. It is advisable that you consult legal counsel regarding the jury waiver provision before entering into the deposit agreement.</w:t>
      </w:r>
    </w:p>
    <w:p>
      <w:pPr>
        <w:spacing w:after="0" w:line="19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spacing w:after="0" w:line="18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Nevertheless, if this jury trial waiver provision is not enforced, to the extent a court action proceeds, it would proceed under the terms of the deposit agreement with a jury trial. No condition, stipulation or provision of the deposit agreement or ADSs shall relieve us or the depositary from our respective obligations to comply with the Securities Act and the Exchange Act.</w:t>
      </w:r>
    </w:p>
    <w:p>
      <w:pPr>
        <w:spacing w:after="0" w:line="280"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with limited liability. Our corporate affairs are governed by our memorandum and articles of association, the Companies Act (Revised) of the Cayman Islands, which we refer to as the Companies Act,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82"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corporate records (other than copies of the memorandum and articles of association, the register of mortgages and charges and any special resolutions passed by the shareholders) or to obtain copies of lists of shareholders of these companies. Our directors have discretion under our currently effective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7"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 For a discussion of significant differences between the provisions of the Companies Act and the laws applicable to companies incorporated in the United States and their shareholders, see “Item 10. Additional Information—B. Memorandum and Articles of Association— Differences in Corporate Law.”</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transfer of your ADSs.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Your ADSs are transferable on the books of the depositary. However, the depositary may close its transfer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Your right to participate in any future rights offerings may be limited, which may cause dilution to your holdings.</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our securities. However, we cannot make rights available to you in the United States unless we register both the rights and the securities to which the rights relate under the Securities Act or an exemption from the registration requirements is available. Under the deposit agreement, the depositary will not make rights available to you unless both the rights and the underlying securities to be distributed to ADS holders are either registered under the Securities Act or exempt from registration under the Securities Act. We are under no obligation to file a registration statement with respect to any such rights or securities or to endeavor to cause such a registration statement to be declared effective and we may not be able to establish a necessary exemption from registration under the Securities Act. Accordingly, you may be unable to participate in our rights offerings and may experience dilution in your holdings.</w:t>
      </w:r>
    </w:p>
    <w:p>
      <w:pPr>
        <w:spacing w:after="0" w:line="293"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difficulties in effecting service of legal process, enforcing foreign judgments or bringing actions in China against us or our management based on foreign laws.</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a company incorporated under the laws of the Cayman Islands. We conduct a majority of our operations in mainland China and a majority of our assets are located in China. In addition, most of our directors and senior executive officers reside within China for a significant portion of the time and most are PRC nationals. As a result, it may be difficult for you to effect service of process upon us or those persons inside China. It may also be difficult for you to enforce in U.S. courts judgments obtained in U.S. courts based on the civil liability provisions of the U.S. federal securities laws against us and our officers and directors who reside and whose assets are located outside the United States. In addition, there is uncertainty as to whether the courts of the Cayman Islands or the PRC would recognize or enforce judgments of U.S. courts against us or such persons predicated upon the civil liability provisions of the securities laws of the United States or any state.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82"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United States and the Cayman Islands do not have a treaty providing for reciprocal recognition and enforcement of judgments of U.S. courts in civil and commercial matters and that there is uncertainty as to whether the courts of the Cayman Islands would (i) recognize or enforce judgments of U.S. courts obtained against us or our directors or officers, predicated upon the civil liability provisions of the securities laws of the United States or any state in the United States, or (ii) entertain original actions brought in the Cayman Islands against us or our directors or officers, predicated upon the securities laws of the United States or any state in the United States. A judgment obtained in any federal or state court in the United States will be recognized and enforced in the courts of the Cayman Islands at common law, without any re-examination of the merits of the underlying dispute, by an action commenced on the foreign judgment debt in the Grand Court of the Cayman Islands, provided such judgment (i) is given by a foreign court of competent jurisdiction, (ii) imposes on the judgment debtor a liability to pay a liquidated sum for which the judgment has been given, (iii) is final, (iv) is not in respect of taxes, a fine or a penalty, and (v) was not obtained in a manner and is not of a kind the enforcement of which is contrary to natural justice or the public policy of the Cayman Islands. 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 Because the courts of the Cayman Islands have yet to rule on whether such judgments are penal or punitive in nature, it is uncertain whether such civil liability judgments from U.S. courts would be enforceable in the Cayman Islands.</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recognition and enforcement of foreign judgments are provided for under the PRC Civil Procedures Law. PRC courts may recognize and enforce foreign judgments in accordance with the requirements of the PRC Civil Procedures Law and other applicable laws and regulations based either on treaties between China and the country where the judgment is made or on principles of reciprocity between jurisdictions. China does not have any treaties or other forms of reciprocity with the United States that provide for the reciprocal recognition and enforcement of foreign judgments. In addition, according to the PRC Civil Procedures Law, the PRC courts will not enforce a foreign judgment against us or our directors and officers if they decide that the judgment violates the basic principles of PRC laws or national sovereignty, security or public interest. As a result, as this may also apply to other jurisdictions, it is uncertain whether and on what basis a PRC court would enforce a judgment rendered by a court in the United States. Under the PRC Civil Procedures Law, foreign shareholders may originate actions based on PRC law against a company in China for disputes if they can establish sufficient nexus to the PRC for a PRC court to have jurisdiction, and meet other procedural requirements. It will be, however, difficult for U.S. shareholders to originate actions against us in the PRC in accordance with PRC laws because we are incorporated under the laws of the Cayman Islands and it will be difficult for U.S. shareholders, by virtue only of holding the ADSs or ordinary shares, to establish a connection to the PRC for a PRC court to have jurisdiction as required under the PRC Civil Procedures Law.</w:t>
      </w:r>
    </w:p>
    <w:p>
      <w:pPr>
        <w:spacing w:after="0" w:line="294"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currently effective memorandum and articles of association contain anti-takeover provisions that could discourage a third party from acquiring us and adversely affect the rights of holders of our Class A ordinary shares and the ADSs.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currently effective memorandum and articles of association contain provisions to limit the ability of others to acquire control of our company or cause us to engage in change of 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Class A ordinary shares, in the form of ADS or otherwise. Preferred shares could be issued quickly with terms calculated to delay or prevent a change in control of our company or make removal of management more difficult. If our board of directors decides to issue preferred shares, the price of our ADSs may fall and the voting and other rights of the holders of our Class A ordinary shares and ADSs may be materially and adversely affected.</w:t>
      </w:r>
    </w:p>
    <w:p>
      <w:pPr>
        <w:spacing w:after="0" w:line="298" w:lineRule="exact"/>
        <w:rPr>
          <w:sz w:val="20"/>
          <w:szCs w:val="20"/>
          <w:color w:val="auto"/>
        </w:rPr>
      </w:pPr>
    </w:p>
    <w:p>
      <w:pPr>
        <w:ind w:left="120"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51"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67" w:lineRule="exact"/>
        <w:rPr>
          <w:sz w:val="20"/>
          <w:szCs w:val="20"/>
          <w:color w:val="auto"/>
        </w:rPr>
      </w:pPr>
    </w:p>
    <w:p>
      <w:pPr>
        <w:ind w:left="5540" w:right="380" w:hanging="4884"/>
        <w:spacing w:after="0" w:line="454" w:lineRule="auto"/>
        <w:tabs>
          <w:tab w:leader="none" w:pos="109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 62</w:t>
      </w:r>
    </w:p>
    <w:p>
      <w:pPr>
        <w:sectPr>
          <w:pgSz w:w="11900" w:h="16838" w:orient="portrait"/>
          <w:cols w:equalWidth="0" w:num="1">
            <w:col w:w="11100"/>
          </w:cols>
          <w:pgMar w:left="320" w:top="482"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1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 promulgated by SEC;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audit committee independence requirements in Rule 10A-3 of the Exchange Act.</w:t>
      </w:r>
    </w:p>
    <w:p>
      <w:pPr>
        <w:spacing w:after="0" w:line="225"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will be required to file an annual report on Form 20-F within four months of the end of each fiscal year. In addition, we intend to publish our results on a quarterly basis as press releases, distributed pursuant to the rules and regulations of the Nasdaq Stock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287" w:lineRule="exact"/>
        <w:rPr>
          <w:sz w:val="20"/>
          <w:szCs w:val="20"/>
          <w:color w:val="auto"/>
        </w:rPr>
      </w:pPr>
    </w:p>
    <w:p>
      <w:pPr>
        <w:jc w:val="both"/>
        <w:ind w:left="120"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an exempted company incorporated in the Cayman Islands, we are permitted to adopt certain home country practices in relation to corporate governance matters that differ significantly from the Nasdaq Stock Market’s corporate governance requirements; these practices may afford less protection to shareholders than they would enjoy if we complied fully with the Nasdaq Stock Market’s corporate governance requirements.</w:t>
      </w:r>
    </w:p>
    <w:p>
      <w:pPr>
        <w:spacing w:after="0" w:line="6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As a Cayman Islands company listed on the Nasdaq Stock Market, we are subject to the corporate governance listing standards of the Nasdaq Stock Market. However, rules of the Nasdaq Stock Market permit a foreign private issuer like us to follow the corporate governance practices of its home country. Certain corporate governance practices in the Cayman Islands, which is our home country, may differ significantly from the corporate governance listing standards of the Nasdaq Stock Market. If we choose to follow home country practices in the future, our shareholders may be afforded less protection than they would otherwise enjoy under the corporate governance listing standards of the Nasdaq Stock Market that are applicable to U.S. domestic issuers.</w:t>
      </w:r>
    </w:p>
    <w:p>
      <w:pPr>
        <w:spacing w:after="0" w:line="291"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deemed an “investment company” under the Investment Company Act of 1940, it could adversely affect the price of the ADSs and could materially and adversely affect our business, results of operations, and financial condition.</w:t>
      </w:r>
    </w:p>
    <w:p>
      <w:pPr>
        <w:spacing w:after="0" w:line="51"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We do not intend to become registered as an “investment company” under Section 3(a) of the Investment Company Act of 1940, or the Investment Company Act. We are primarily engaged in the businesses of the research, development and commercialization of autonomous driving technology.</w:t>
      </w:r>
    </w:p>
    <w:p>
      <w:pPr>
        <w:spacing w:after="0" w:line="140"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Under Sections 3(a)(1)(A) and 3(a)(1)(C) of the Investment Company Act, a company is deemed to be an “investment company” if it is or holds itself out as being engaged primarily, or proposes to engage primarily, in the business of investing, reinvesting, or trading in securities or if it is engaged, or proposes to engage, in the business of investing, reinvesting, owning, holding, or trading in securities and owns or proposes to acquire investment securities having a value exceeding 40% of the value of its total assets (exclusive of government securities and cash items) on an unconsolidated basis. Section 3(b)(1) of the Investment Company Act provides that notwithstanding Section 3(a)(1)(C) of the Investment Company Act a company will not be deemed to be an “investment company” if it is primarily engaged, directly or through a wholly owned subsidiary or subsidiaries, in a business or businesses other than that of investing, reinvesting, owning, holding, or trading in securities. Rule 3a-8 under the Investment Company Act provides a nonexclusive safe harbor from the definition of “investment company” for certain research and development companies. We do not believe that we are an “investment company” under the Investment Company Act, including by operation of Section 3(b)(1) of the Investment Company Act and as a result of our compliance with the safe harbor of Rule 3a-8 under the Investment Company as a research and development company, within the meaning of such rule. We currently conduct, and intend to continue to conduct, our operations so that neither we, nor any of our subsidiaries, is required to register as an “investment company” under the Investment Company Act. If we and/or certain of our subsidiaries are deemed to be an investment company within the meaning of the Investment Company Act, we would have to dispose of investment securities (as defined in the Investment Company Act) in order to fall outside the definition of an investment company. Additionally, we may have to forego potential future acquisitions of investment securities (as defined in the Investment Company Act). Failure to avoid being deemed an investment company under the Investment Company Act, coupled with our inability as a foreign private issuer to register under the Investment Company Act, could make us unable to comply with our reporting obligations as a public company in the United States and lead to our being delisted from the Nasdaq, which would materially and adversely affect the liquidity and value of the ADSs. We would also be unable to raise capital through the sale of securities in the United States or to conduct business in the United States. In addition, we may be subject to SEC enforcement action or purported class action lawsuits for alleged violations of U.S. securities laws. Defending ourselves against any such enforcement action or lawsuits would require significant attention from our management and divert resources from our existing businesses and could materially and adversely affect our business, results of operations, and financial condition.</w:t>
      </w:r>
    </w:p>
    <w:p>
      <w:pPr>
        <w:spacing w:after="0" w:line="3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82"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not be classified as a passive foreign investment company for U.S. federal income tax purposes, which could result in adverse U.S. federal income tax consequences to U.S. Holders of our ADSs or Class A ordinary shares.</w:t>
      </w:r>
    </w:p>
    <w:p>
      <w:pPr>
        <w:spacing w:after="0" w:line="5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 non-U.S. corporation, such as our company, will generally be classified as a passive foreign investment company, or PFIC, for U.S. federal income tax purposes, for any taxable year, if either (i) 75% or more of its gross income for such year consists of certain types of “passive” income or (ii) 50% or more of its assets (generally determined on the basis of a quarterly average) during such year produce or are held for the production of passive income, or the asset test.</w:t>
      </w:r>
    </w:p>
    <w:p>
      <w:pPr>
        <w:spacing w:after="0" w:line="18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Based on the current and anticipated value of our assets and composition of our income and assets, including goodwill, we do not presently expect to be or become a PFIC for the current taxable year or the foreseeable future.</w:t>
      </w:r>
    </w:p>
    <w:p>
      <w:pPr>
        <w:spacing w:after="0" w:line="16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While we do not expect to be or become a PFIC, no assurance can be given in this regard because the determination of whether we are or will become a PFIC for any taxable year is a fact-intensive inquiry made on an annual basis that depends, in part, upon the composition and classification of our income and assets. Fluctuations in the market price of our ADSs may cause us to be or become a PFIC for the current or subsequent taxable years because the value of our assets for the purpose of the asset test, including the value of our goodwill and other unbooked intangibles, may be determined by reference to the market price of our ADSs from time to time (which may be volatile). The composition of our income and assets may also be affected by how, and how quickly, we use our liquid assets including cash raised in our initial public offering and the concurrent private placement. Under circumstances where revenues from activities that produce passive income significantly increase relative to our revenues from activities that produce non-passive income, or where we determine not to deploy significant amounts of cash for active purposes, our risk of being or becoming classified as a PFIC may substantially increase.</w:t>
      </w:r>
    </w:p>
    <w:p>
      <w:pPr>
        <w:spacing w:after="0" w:line="18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(as defined in “Taxation—United States Federal Income Tax Considerations”) holds our ADSs or Class A ordinary shares, certain adverse U.S. federal income tax consequences could apply to such U.S. Holder. For more information, see “Item 10. Additional Information — E. Taxation—United States Federal Income Tax Considerations—Passive Foreign Investment Company Considerations”.</w:t>
      </w:r>
    </w:p>
    <w:p>
      <w:pPr>
        <w:spacing w:after="0" w:line="284" w:lineRule="exact"/>
        <w:rPr>
          <w:sz w:val="20"/>
          <w:szCs w:val="20"/>
          <w:color w:val="auto"/>
        </w:rPr>
      </w:pPr>
    </w:p>
    <w:p>
      <w:pPr>
        <w:jc w:val="both"/>
        <w:ind w:left="120" w:right="3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Because under certain attribution rules our non-U.S. subsidiaries may be treated as controlled foreign corporations for U.S. federal income tax purposes, there could be adverse U.S. federal income tax consequences to certain U.S. Holders of our ADSs who are Ten Percent Shareholders.</w:t>
      </w:r>
    </w:p>
    <w:p>
      <w:pPr>
        <w:spacing w:after="0" w:line="28"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For U.S. federal income tax purposes, each “Ten Percent Shareholder” (as defined below) in a non- U.S. corporation that is classified as a “controlled foreign corporation,” or CFC, generally is required to include in income such Ten Percent Shareholder’s pro rata share of the CFC’s “Subpart F income,” investment of earnings in U.S. property, and “global intangible low-taxed income,” even if the CFC has made no distributions to its shareholders. “Subpart F income” generally includes dividends, interest, rents, royalties, gains from the sale of securities and income from certain transactions with related parties, and “global intangible low-taxed income” generally consists of net income of the CFC, other than Subpart F income and certain other types of income, in excess of certain thresholds. A non-U.S. corporation generally will be classified as a CFC if Ten Percent Shareholders own, directly, indirectly or constructively (through attribution), more than 50% of either the total combined voting power of all classes of stock entitled to vote of such corporation or of the total value of the stock of such corporation. A “Ten Percent Shareholder” is a United States person (as defined by the U.S. Internal Revenue Code of 1986, as amended) who owns or is considered to own, directly, indirectly or constructively, 10% or more of either the total combined voting power of all classes of stock entitled to vote of such corporation or the total value of the stock of such corporation. The determination of CFC status is complex and includes certain “downward attribution” rules pursuant to which our non-U.S. subsidiaries may be treated as constructively owned by our U.S. subsidiaries and, therefore, our non-U.S. subsidiaries may be treated as CFCs. Prospective holders of our ADSs that may be or become Ten Percent Shareholders should consult their tax advisors with respect to the potential adverse tax consequences of investing in us.</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within the meaning of the Securities Act and may take advantage of certain reduced reporting requirements.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As a company with less than US$1.235 billion in revenue for our last fiscal year, we qualify as an “emerging growth company” pursuant to the JOBS Act. For as long as we continue to be an emerging growth company, we intend to take advantage of exemptions from various reporting requirements that are applicable to other public companies that are not emerging growth companies, including, among others, the exemption from the auditor attestation requirement under Section 404 of the Sarbanes-Oxley Act in the assessment of the emerging growth company’s internal control over financial reporting. As a result, our investors may not have access to certain information they may deem important.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82"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being a public company.</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are a public company and expect to incur significant legal, accounting and other expenses that we did not incur as a private company. The Sarbanes-Oxley Act, as well as rules subsequently implemented by the SEC and Nasdaq Stock Market, impose various requirements on the corporate governance practices of public companies. We expect these rules and regulations to increase our legal and financial compliance costs and to make some corporate activities more time-consuming and costly.</w:t>
      </w:r>
    </w:p>
    <w:p>
      <w:pPr>
        <w:spacing w:after="0" w:line="180"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As a public company, we have appointed independent directors and have adopted policies regarding internal controls and disclosure controls and procedures. We also expect that operating as a public company will make it more difficult and more expensive for us to obtain director and officer liability insurance with acceptable policy limits and coverage, should we decide to obtain such insurance. In addition, we incur additional costs associated with our public company reporting requirements. It may also be more difficult for us to find qualified persons to serve on our board of directors or as executive officers.</w:t>
      </w:r>
    </w:p>
    <w:p>
      <w:pPr>
        <w:spacing w:after="0" w:line="183" w:lineRule="exact"/>
        <w:rPr>
          <w:sz w:val="20"/>
          <w:szCs w:val="20"/>
          <w:color w:val="auto"/>
        </w:rPr>
      </w:pPr>
    </w:p>
    <w:p>
      <w:pPr>
        <w:jc w:val="both"/>
        <w:ind w:left="120" w:right="240" w:firstLine="440"/>
        <w:spacing w:after="0" w:line="312" w:lineRule="auto"/>
        <w:rPr>
          <w:sz w:val="20"/>
          <w:szCs w:val="20"/>
          <w:color w:val="auto"/>
        </w:rPr>
      </w:pPr>
      <w:r>
        <w:rPr>
          <w:rFonts w:ascii="Times New Roman" w:cs="Times New Roman" w:eastAsia="Times New Roman" w:hAnsi="Times New Roman"/>
          <w:sz w:val="17"/>
          <w:szCs w:val="17"/>
          <w:color w:val="auto"/>
        </w:rPr>
        <w:t>In addition, after we are no longer an “emerging growth company,” we expect to incur significant expenses and devote substantial management effort toward ensuring compliance with the requirements of Section 404 of the Sarbanes-Oxley Act of and the other rules and regulations of the SEC.</w:t>
      </w:r>
    </w:p>
    <w:p>
      <w:pPr>
        <w:spacing w:after="0" w:line="284"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INFORMATION ON THE COMPANY</w:t>
      </w:r>
    </w:p>
    <w:p>
      <w:pPr>
        <w:spacing w:after="0" w:line="131" w:lineRule="exact"/>
        <w:rPr>
          <w:sz w:val="20"/>
          <w:szCs w:val="20"/>
          <w:color w:val="auto"/>
        </w:rPr>
      </w:pPr>
    </w:p>
    <w:p>
      <w:pPr>
        <w:ind w:left="540" w:hanging="424"/>
        <w:spacing w:after="0"/>
        <w:tabs>
          <w:tab w:leader="none" w:pos="5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HISTORY AND DEVELOPMENT OF THE COMPANY</w:t>
      </w:r>
    </w:p>
    <w:p>
      <w:pPr>
        <w:spacing w:after="0" w:line="121" w:lineRule="exact"/>
        <w:rPr>
          <w:sz w:val="20"/>
          <w:szCs w:val="20"/>
          <w:color w:val="auto"/>
        </w:rPr>
      </w:pPr>
    </w:p>
    <w:p>
      <w:pPr>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We commenced our business in February 2017. In March 2017, our Cayman Islands holding company, WeRide Inc., formerly known as JingChi Inc., was incorporated, and later became the sole shareholder of WeRide Corp. Our Cayman Islands holding company further established WeRide HongKong Limited, or WeRide HK, formerly known as JingChi Hong Kong Limited, as its wholly-owned subsidiary in Hong Kong in May 2017.</w:t>
      </w:r>
    </w:p>
    <w:p>
      <w:pPr>
        <w:spacing w:after="0" w:line="158"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commenced our operations in mainland China shortly after the establishment of our offshore structure. In December 2017, we selected Guangzhou as our global headquarters. In January 2018, WeRide HK established a wholly-owned subsidiary, Guangzhou Wenyuan Zhixing Technology Co., Ltd., or the WFOE, in mainland China. In March 2018, our founder established Guangzhou Jingqi Technology Co., Ltd., or Guangzhou Jingqi, in mainland China. In July 2018, we started to direct the activities of and consolidate the financial results of Guangzhou Jingqi by entering into a series of contractual arrangements by and among our WFOE, Guangzhou Jingqi and its nominee shareholders. In March 2023, we terminated such contractual arrangements and acquired Guangzhou Jingqi as a wholly-owned subsidiary of our company.</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August 2019, for the operation of our robotaxi business, Guangzhou Jingqi, WeRide HK, and two investors jointly established Wenyuan Yuexing (Guangdong) Travel Technology Co., Ltd., in which Guangzhou Jingqi currently holds 69% equity interests. In order to conduct test driving in Nanjing, Guangzhou Jingqi further established Wenyuan Suxing (Jiangsu) Technology Co., Ltd., its wholly-owned subsidiary. In addition, Guangzhou Jingqi established wholly-owned subsidiaries, Shenzhen Wenyuan Zhixing Intelligent Technology Co., Ltd. and Wenyuan Jingxing (Beijing) Technology Co., Ltd. for business operation and research and development center in Shenzhen and Beijing, respectively, and established a wholly-owned subsidiary in Shanghai, namely Shanghai Wenyuan Zhixing Technology Co., Ltd. From June 2022 to the date of this annual report, WFOE further established wholly-owned subsidiaries in various cities, including Guangzhou, Shenzhen, Wuhan, Nanjing, Beijing, Shanghai, Zhengzhou, Wuxi, Xi’an, Anqing and Chongqing.</w:t>
      </w:r>
    </w:p>
    <w:p>
      <w:pPr>
        <w:spacing w:after="0" w:line="19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On October 25, 2024, our ADSs commenced trading on Nasdaq under the symbol “WRD.” We raised an aggregate of US$125.5 million in net proceeds from our initial public offering and the underwriters’ partial exercise of their option to purchase additional ADSs after deducting underwriting commissions and the offering expenses payable by us.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82"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120" w:firstLine="440"/>
        <w:spacing w:after="0" w:line="230" w:lineRule="auto"/>
        <w:rPr>
          <w:sz w:val="20"/>
          <w:szCs w:val="20"/>
          <w:color w:val="auto"/>
        </w:rPr>
      </w:pPr>
      <w:r>
        <w:rPr>
          <w:rFonts w:ascii="Times New Roman" w:cs="Times New Roman" w:eastAsia="Times New Roman" w:hAnsi="Times New Roman"/>
          <w:sz w:val="18"/>
          <w:szCs w:val="18"/>
          <w:color w:val="auto"/>
        </w:rPr>
        <w:t>Our principal executive offices are located at 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Floor, Tower A, Guanzhou Life Science Innovation Center, No. 51, Luoxuan Road, Guangzhou International Biotech Island, Guangzhou, People’s Republic of China. Our telephone number at this address is +86 (20) 2909-3388. Our registered office in the Cayman Islands is located at the offices of International Corporation Services Ltd, P.O. Box 472, Harbour Place, 2nd Floor, 103 South Church Street, George Town, Grand Cayman KY1-1106, Cayman Islands.</w:t>
      </w:r>
    </w:p>
    <w:p>
      <w:pPr>
        <w:spacing w:after="0" w:line="198"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SEC maintains a website at www.sec.gov that contains reports, proxy and information statements, and other information regarding registrants that make electronic filings with the SEC using its EDGAR system. We maintain our website for investor relations at http://ir.weride.ai. The information contained on this website is not a part of this annual report.</w:t>
      </w:r>
    </w:p>
    <w:p>
      <w:pPr>
        <w:spacing w:after="0" w:line="320" w:lineRule="exact"/>
        <w:rPr>
          <w:sz w:val="20"/>
          <w:szCs w:val="20"/>
          <w:color w:val="auto"/>
        </w:rPr>
      </w:pPr>
    </w:p>
    <w:p>
      <w:pPr>
        <w:ind w:left="540" w:hanging="424"/>
        <w:spacing w:after="0"/>
        <w:tabs>
          <w:tab w:leader="none" w:pos="5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WeRide is a global leading provider of L4 autonomous driving products and solutions, including commercial robotaxi services, around the world. Our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unified approach is cost effective, adaptable and scalable. In addition to L4 autonomous driving products and solutions, we also provide L2 and L3 solutions.</w:t>
      </w:r>
    </w:p>
    <w:p>
      <w:pPr>
        <w:spacing w:after="0" w:line="17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Our technology is the foundation of our success. Our technology stack is built on a robust, in-house infrastructure, high-quality datasets, hybrid architectures and sophisticated AI models. These capabilities allow us to consistently develop and deliver commercially viable, safe and reliable autonomous vehicles that meet the demands of everyday use. To harness and unleash the power of our technology at scale, we developed an integrated platform to manage and fine-tune the operations of our products in commercial settings.</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believe the ultimate tests of autonomous technology and systems are in real-world performance and safety track record. The successful and continued deployment of our vehicles in over 30 cities across ten countries validates the strength and reliability of our technology and operational expertise. To date, we have produced and operated nearly a thousand vehicles for multiple applications, and we are committed to further expanding our operations.</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are dedicated to making autonomous driving accessible globally. We have a demonstrated track record of responsible market entry and global expansion through strategic local partnerships with stakeholders, which is not only effective but also replicable in new markets. As we expand to new markets, we are focused on delivering efficient execution, exceptional experience, as well as safe technology, products, and solutions.</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are committed to fostering dialogue and building relationships with regulators and governments to understand their needs and work collaboratively to support the development of responsible autonomous driving. We have also built a robust ecosystem around our innovative technology and solutions, including forming strategic partnerships with leading global vehicle OEMs, shared mobility platforms, Tier-1 suppliers, logistics providers, urban service operators, and other key industry stakeholders. Through these collaborations, we aim to drive industry development and accelerate the responsible adoption of autonomous driving, ultimately creating a positive impact on society.</w:t>
      </w:r>
    </w:p>
    <w:p>
      <w:pPr>
        <w:spacing w:after="0" w:line="18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Our extensive experience in international markets, growing brand recognition, robust safety record, advanced technology, and strong partnerships will serve as key assets, solidifying our position as a global leader in autonomous driving.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WeRide Addresses Key Industry Challenges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Autonomous driving is difficult technologically and even more challenging to reliably deliver in the real world. WeRide addresses these unique challenges in the following ways:</w:t>
      </w:r>
    </w:p>
    <w:p>
      <w:pPr>
        <w:spacing w:after="0" w:line="63" w:lineRule="exact"/>
        <w:rPr>
          <w:sz w:val="20"/>
          <w:szCs w:val="20"/>
          <w:color w:val="auto"/>
        </w:rPr>
      </w:pPr>
    </w:p>
    <w:p>
      <w:pPr>
        <w:ind w:left="1080" w:right="100" w:hanging="424"/>
        <w:spacing w:after="0" w:line="25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Technology readiness. </w:t>
      </w:r>
      <w:r>
        <w:rPr>
          <w:rFonts w:ascii="Times New Roman" w:cs="Times New Roman" w:eastAsia="Times New Roman" w:hAnsi="Times New Roman"/>
          <w:sz w:val="18"/>
          <w:szCs w:val="18"/>
          <w:color w:val="auto"/>
        </w:rPr>
        <w:t>From a technology perspective, L4 autonomous driving products and solutions often require significant custom-built infrastructure to handle training, development and deployment due to the lack of off-the-shelf commercial solutions, vast amounts of high-quality and properly annotated data for training, models to assist in decision making, and custom vehicle platforms to bring the solution to life. Additionally, these solutions must be designed to enable and monitor the operations of the vehicles in a variety of weather conditions and environments. WeRide has developed a cohesive technology stack that powers highly capable and reliable solutions. Over time, as we expand our operations, our capabilities in data, models and hardware and software integration will rapidly advance to keep us on the cutting edge and continue to deepen our competitive moat.</w:t>
      </w:r>
    </w:p>
    <w:p>
      <w:pPr>
        <w:spacing w:after="0" w:line="88" w:lineRule="exact"/>
        <w:rPr>
          <w:rFonts w:ascii="Times New Roman" w:cs="Times New Roman" w:eastAsia="Times New Roman" w:hAnsi="Times New Roman"/>
          <w:sz w:val="18"/>
          <w:szCs w:val="18"/>
          <w:color w:val="auto"/>
        </w:rPr>
      </w:pPr>
    </w:p>
    <w:p>
      <w:pPr>
        <w:ind w:left="1080" w:right="20" w:hanging="424"/>
        <w:spacing w:after="0" w:line="257"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Operational safety. </w:t>
      </w:r>
      <w:r>
        <w:rPr>
          <w:rFonts w:ascii="Times New Roman" w:cs="Times New Roman" w:eastAsia="Times New Roman" w:hAnsi="Times New Roman"/>
          <w:sz w:val="18"/>
          <w:szCs w:val="18"/>
          <w:color w:val="auto"/>
        </w:rPr>
        <w:t>Although L4 vehicles are reported to be safer than human driven cars, consumers and public are much less tolerant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towards machine errors than human errors, and often expect autonomous vehicles to be flawless. This is why we take a zero-fault tolerance approach to safety. We supplement our fully redundant hardware and software autonomous driving systems with additional operational safeguards such as remote monitoring and environment-specific protocols, all designed to prioritize safety as our foundational commitment. As of the date of this annual report, our autonomous driving vehicles have not caused any safety incidents, after five years of commercial operations on open roads.</w:t>
      </w:r>
    </w:p>
    <w:p>
      <w:pPr>
        <w:sectPr>
          <w:pgSz w:w="11900" w:h="16838" w:orient="portrait"/>
          <w:cols w:equalWidth="0" w:num="1">
            <w:col w:w="11120"/>
          </w:cols>
          <w:pgMar w:left="320" w:top="482" w:right="459" w:bottom="1440" w:gutter="0" w:footer="0" w:header="0"/>
        </w:sectPr>
      </w:pP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82" w:right="45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080" w:right="60" w:hanging="424"/>
        <w:spacing w:after="0" w:line="255"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Regulatory support and consumer confidence. </w:t>
      </w:r>
      <w:r>
        <w:rPr>
          <w:rFonts w:ascii="Times New Roman" w:cs="Times New Roman" w:eastAsia="Times New Roman" w:hAnsi="Times New Roman"/>
          <w:sz w:val="18"/>
          <w:szCs w:val="18"/>
          <w:color w:val="auto"/>
        </w:rPr>
        <w:t>To achieve scalability, L4 autonomous technology must not only reach maturity but also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secure regulatory support and consumer confidence. The regulatory landscape varies significantly from place to place. Additionally, given the continued improvement of the autonomous driving technology, regulators begin to recognize the potential for this technology to have a positive impact on society. We undertake careful analysis of a number of factors and engage in thoughtful dialogue to ensure our technology is ready and suitable for the market. We believe that autonomous driving technology can be deployed alongside existing mobility solutions to provide greater benefits to consumers without detriment to labor due to existing labor shortages and imbalances, either geographic, seasonal or temporal. Additionally, our broad product portfolio allows us to deliver unique value to governments and society as products such as robobuses and robosweepers can provide public services of significant utility.</w:t>
      </w:r>
    </w:p>
    <w:p>
      <w:pPr>
        <w:spacing w:after="0" w:line="90" w:lineRule="exact"/>
        <w:rPr>
          <w:rFonts w:ascii="Times New Roman" w:cs="Times New Roman" w:eastAsia="Times New Roman" w:hAnsi="Times New Roman"/>
          <w:sz w:val="18"/>
          <w:szCs w:val="18"/>
          <w:color w:val="auto"/>
        </w:rPr>
      </w:pPr>
    </w:p>
    <w:p>
      <w:pPr>
        <w:ind w:left="1080" w:right="40" w:hanging="424"/>
        <w:spacing w:after="0" w:line="25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Supply chain and operational infrastructure. </w:t>
      </w:r>
      <w:r>
        <w:rPr>
          <w:rFonts w:ascii="Times New Roman" w:cs="Times New Roman" w:eastAsia="Times New Roman" w:hAnsi="Times New Roman"/>
          <w:sz w:val="18"/>
          <w:szCs w:val="18"/>
          <w:color w:val="auto"/>
        </w:rPr>
        <w:t>While the zero-to-one expansion into new geographies is important to us, we are also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focused on scaling in new markets once we have established our operations. Scaling requires supply chain support, operational capabilities as well as a robust and dependable network of partners to maximize efficiency. In addition to the ability to manufacture, assemble and deliver massive numbers of vehicles, infrastructure to maintain and repair the vehicles must be established. Additionally, operational oversight is required to ensure quality of service and safety. Partner support across financing and insurance is also crucial to scaling quickly and cost effectively. We have a robust and growing network of regional and local partners. As we expand into new markets, this network of partners and our experience working with them create a significant competitive moat that is hard to replicate.</w:t>
      </w:r>
    </w:p>
    <w:p>
      <w:pPr>
        <w:spacing w:after="0" w:line="88" w:lineRule="exact"/>
        <w:rPr>
          <w:rFonts w:ascii="Times New Roman" w:cs="Times New Roman" w:eastAsia="Times New Roman" w:hAnsi="Times New Roman"/>
          <w:sz w:val="18"/>
          <w:szCs w:val="18"/>
          <w:color w:val="auto"/>
        </w:rPr>
      </w:pPr>
    </w:p>
    <w:p>
      <w:pPr>
        <w:ind w:left="1080" w:right="40" w:hanging="424"/>
        <w:spacing w:after="0" w:line="255"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Operational knowledge. </w:t>
      </w:r>
      <w:r>
        <w:rPr>
          <w:rFonts w:ascii="Times New Roman" w:cs="Times New Roman" w:eastAsia="Times New Roman" w:hAnsi="Times New Roman"/>
          <w:sz w:val="18"/>
          <w:szCs w:val="18"/>
          <w:color w:val="auto"/>
        </w:rPr>
        <w:t>Given robotaxis are driverless in nature and operate on technologies fundamentally different from traditional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taxis, operating and deploying robotaxis efficiently require real-world operational expertise specific to robotaxi operations. Leveraging our unparalleled experience operating robotaxis on open roads, we have established standard deployment procedures for efficient market entry covering localization, cloud infrastructure, homologation, on-site training for remote safety officers, and setup of local operational instructions. We have also developed operational protocols for vehicle integration, app onboarding, emergency handling, accident response, repair processes, and real-time fleet status monitoring. The deployment and operational standard-operating-procedures allow us to operate more efficiently and enter new markets more rapidly. They are extremely valuable for us, as they can be developed only through commercial operational experience that takes time to accumulate.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WeRide Technology</w:t>
      </w:r>
    </w:p>
    <w:p>
      <w:pPr>
        <w:spacing w:after="0" w:line="119" w:lineRule="exact"/>
        <w:rPr>
          <w:sz w:val="20"/>
          <w:szCs w:val="20"/>
          <w:color w:val="auto"/>
        </w:rPr>
      </w:pPr>
    </w:p>
    <w:p>
      <w:pPr>
        <w:jc w:val="both"/>
        <w:ind w:left="120" w:right="4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By adopting our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unified approach, our technology stack and operations capabilities cut across all application scenarios, with the utmost effectiveness and efficiency. Our technology stack is designed in-house as no commercially available alternatives could meet our stringent requirements or integrate as seamlessly. This technology stack is built on four core elements: infrastructure and core capabilities, data, technology solutions, and an operations platform.</w:t>
      </w:r>
    </w:p>
    <w:p>
      <w:pPr>
        <w:spacing w:after="0" w:line="83" w:lineRule="exact"/>
        <w:rPr>
          <w:sz w:val="20"/>
          <w:szCs w:val="20"/>
          <w:color w:val="auto"/>
        </w:rPr>
      </w:pPr>
    </w:p>
    <w:p>
      <w:pPr>
        <w:ind w:left="1080" w:right="20" w:hanging="424"/>
        <w:spacing w:after="0" w:line="259"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Infrastructure and Core Capabilities. </w:t>
      </w:r>
      <w:r>
        <w:rPr>
          <w:rFonts w:ascii="Times New Roman" w:cs="Times New Roman" w:eastAsia="Times New Roman" w:hAnsi="Times New Roman"/>
          <w:sz w:val="18"/>
          <w:szCs w:val="18"/>
          <w:color w:val="auto"/>
        </w:rPr>
        <w:t>Our infrastructure forms the backbone of our technology capabilities, encompassing data processing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annotation, storage, collaborative distributed model and cloud-native development platform. We also have proprietary model training and inference platforms and an expansive suite of tools for simulation, incident analysis, and data analytics, among others. These capabilities have not only enabled the development of our solutions but are also important to broader AI applications that will be critical to our continued success and innovation.</w:t>
      </w:r>
    </w:p>
    <w:p>
      <w:pPr>
        <w:spacing w:after="0" w:line="84" w:lineRule="exact"/>
        <w:rPr>
          <w:rFonts w:ascii="Times New Roman" w:cs="Times New Roman" w:eastAsia="Times New Roman" w:hAnsi="Times New Roman"/>
          <w:sz w:val="18"/>
          <w:szCs w:val="18"/>
          <w:color w:val="auto"/>
        </w:rPr>
      </w:pPr>
    </w:p>
    <w:p>
      <w:pPr>
        <w:ind w:left="1080" w:hanging="424"/>
        <w:spacing w:after="0" w:line="257"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Data. </w:t>
      </w:r>
      <w:r>
        <w:rPr>
          <w:rFonts w:ascii="Times New Roman" w:cs="Times New Roman" w:eastAsia="Times New Roman" w:hAnsi="Times New Roman"/>
          <w:sz w:val="18"/>
          <w:szCs w:val="18"/>
          <w:color w:val="auto"/>
        </w:rPr>
        <w:t>Data is the lifeblood of our development and training process. We are the only player globally with an extensive library of real-world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data collected under L2 to L4 use cases from diverse vehicle types. We have generated data from over five years of operations and our partnerships. To date, we have accumulated nearly 40 million km of driving data. Additionally, we generate highly relevant synthetic data, which is capable of significantly reducing the time needed for data processing and greatly improving development efficiency. With our comprehensive datasets, we excel at covering corner cases for autonomous driving. As we accumulate more operational miles and encounter more diverse cases, and with the assistance of synthetic data and simulated scenarios, our models improve continuously.</w:t>
      </w:r>
    </w:p>
    <w:p>
      <w:pPr>
        <w:spacing w:after="0" w:line="87" w:lineRule="exact"/>
        <w:rPr>
          <w:rFonts w:ascii="Times New Roman" w:cs="Times New Roman" w:eastAsia="Times New Roman" w:hAnsi="Times New Roman"/>
          <w:sz w:val="18"/>
          <w:szCs w:val="18"/>
          <w:color w:val="auto"/>
        </w:rPr>
      </w:pPr>
    </w:p>
    <w:p>
      <w:pPr>
        <w:ind w:left="1080" w:right="100" w:hanging="424"/>
        <w:spacing w:after="0" w:line="28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Technology Solutions. </w:t>
      </w:r>
      <w:r>
        <w:rPr>
          <w:rFonts w:ascii="Times New Roman" w:cs="Times New Roman" w:eastAsia="Times New Roman" w:hAnsi="Times New Roman"/>
          <w:sz w:val="18"/>
          <w:szCs w:val="18"/>
          <w:color w:val="auto"/>
        </w:rPr>
        <w:t>Our infrastructure and core capabilities have allowed us to build highly capable, sophisticated autonomous driving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technology solutions:</w:t>
      </w:r>
    </w:p>
    <w:p>
      <w:pPr>
        <w:spacing w:after="0" w:line="62" w:lineRule="exact"/>
        <w:rPr>
          <w:rFonts w:ascii="Times New Roman" w:cs="Times New Roman" w:eastAsia="Times New Roman" w:hAnsi="Times New Roman"/>
          <w:sz w:val="18"/>
          <w:szCs w:val="18"/>
          <w:color w:val="auto"/>
        </w:rPr>
      </w:pPr>
    </w:p>
    <w:p>
      <w:pPr>
        <w:ind w:left="1540" w:right="60" w:hanging="331"/>
        <w:spacing w:after="0" w:line="267" w:lineRule="auto"/>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Hybrid Architecture: </w:t>
      </w:r>
      <w:r>
        <w:rPr>
          <w:rFonts w:ascii="Times New Roman" w:cs="Times New Roman" w:eastAsia="Times New Roman" w:hAnsi="Times New Roman"/>
          <w:sz w:val="18"/>
          <w:szCs w:val="18"/>
          <w:color w:val="auto"/>
        </w:rPr>
        <w:t>We utilize a hybrid approach that combines a deterministic overlay with an end-to-end model. While pure end-to-end models have many benefits, they may not suit every real-world driving scenario. Our approach provides a balance of adaptability, reliability, safety, and transparency for the most robust and reliable commercial autonomous driving solutions.</w:t>
      </w:r>
    </w:p>
    <w:p>
      <w:pPr>
        <w:spacing w:after="0" w:line="78" w:lineRule="exact"/>
        <w:rPr>
          <w:rFonts w:ascii="Times New Roman" w:cs="Times New Roman" w:eastAsia="Times New Roman" w:hAnsi="Times New Roman"/>
          <w:sz w:val="18"/>
          <w:szCs w:val="18"/>
          <w:color w:val="auto"/>
        </w:rPr>
      </w:pPr>
    </w:p>
    <w:p>
      <w:pPr>
        <w:ind w:left="1540" w:right="20" w:hanging="331"/>
        <w:spacing w:after="0" w:line="261" w:lineRule="auto"/>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World Simulator: </w:t>
      </w:r>
      <w:r>
        <w:rPr>
          <w:rFonts w:ascii="Times New Roman" w:cs="Times New Roman" w:eastAsia="Times New Roman" w:hAnsi="Times New Roman"/>
          <w:sz w:val="18"/>
          <w:szCs w:val="18"/>
          <w:color w:val="auto"/>
        </w:rPr>
        <w:t>Our AI agent simulator, used daily for model training, simulates the real-world complexity of driving on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road. It also stress-tests our vehicles through fuzzy logic, and fault and noise injection. This world model extensively simulates long-tail cases, enabling multi-factor validation for real-world deployment. Our AI agent simulator significantly reduces R&amp;D burdens, allowing us to scale effectively using both real and synthetic data.</w:t>
      </w:r>
    </w:p>
    <w:p>
      <w:pPr>
        <w:spacing w:after="0" w:line="85" w:lineRule="exact"/>
        <w:rPr>
          <w:rFonts w:ascii="Times New Roman" w:cs="Times New Roman" w:eastAsia="Times New Roman" w:hAnsi="Times New Roman"/>
          <w:sz w:val="18"/>
          <w:szCs w:val="18"/>
          <w:color w:val="auto"/>
        </w:rPr>
      </w:pPr>
    </w:p>
    <w:p>
      <w:pPr>
        <w:ind w:left="1540" w:right="40" w:hanging="331"/>
        <w:spacing w:after="0" w:line="261" w:lineRule="auto"/>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HD Mapping and Map-less Solutions: </w:t>
      </w:r>
      <w:r>
        <w:rPr>
          <w:rFonts w:ascii="Times New Roman" w:cs="Times New Roman" w:eastAsia="Times New Roman" w:hAnsi="Times New Roman"/>
          <w:sz w:val="18"/>
          <w:szCs w:val="18"/>
          <w:color w:val="auto"/>
        </w:rPr>
        <w:t>Leveraging precise localization and high level of active scene understanding, we offer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high-precision map systems, as well as map-less/light-map systems that enable vehicles to navigate effectively using multi-sensor data on both structured roads and no-lane environments, where our vehicles are capable of real-time map construction. Both systems are integrated into L2 to L4 use cases.</w:t>
      </w:r>
    </w:p>
    <w:p>
      <w:pPr>
        <w:sectPr>
          <w:pgSz w:w="11900" w:h="16838" w:orient="portrait"/>
          <w:cols w:equalWidth="0" w:num="1">
            <w:col w:w="11120"/>
          </w:cols>
          <w:pgMar w:left="320" w:top="482" w:right="459" w:bottom="1440" w:gutter="0" w:footer="0" w:header="0"/>
        </w:sectPr>
      </w:pP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82" w:right="45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080" w:right="20" w:hanging="424"/>
        <w:spacing w:after="0" w:line="259"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Operations platform. </w:t>
      </w:r>
      <w:r>
        <w:rPr>
          <w:rFonts w:ascii="Times New Roman" w:cs="Times New Roman" w:eastAsia="Times New Roman" w:hAnsi="Times New Roman"/>
          <w:sz w:val="18"/>
          <w:szCs w:val="18"/>
          <w:color w:val="auto"/>
        </w:rPr>
        <w:t>All of our services are offered on a market-proven, unified platform that can be utilized for deployment and day-to-day operations. We leverage this platform to replicate our successful deployment experience in new markets. Operationally, we also utilize this platform to manage dynamic trip demand, enhance vehicle utilization, and improve passenger experience. With this platform, we have significantly reduced the time to market for entering new verticals. We have launched a broad range of autonomous products, from L2 to L4, addressing transportation needs across a range of use cases on open road across mobility, logistics, and sanitation.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Autonomous Driving Products and Solutions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Robotaxi</w:t>
      </w:r>
    </w:p>
    <w:p>
      <w:pPr>
        <w:spacing w:after="0" w:line="121"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Robotaxi is our debut product and one of the most impactful manifestations of our technology and a key part of our expansion and growth strategy. We partner with multiple world-class OEMs to produce our robotaxis.</w:t>
      </w:r>
    </w:p>
    <w:p>
      <w:pPr>
        <w:spacing w:after="0" w:line="162"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Robotaxi is a helpful complement and supplement to traditional mobility providers and up to 70% cheaper as compared to traditional mobility. They can be deployed alongside existing mobility solutions to provide greater benefits to consumers without detriment to labor due to existing labor shortages and imbalances. We believe robotaxis offer superior unit economics and higher profitability compared to traditional taxis.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Business Model</w:t>
      </w:r>
    </w:p>
    <w:p>
      <w:pPr>
        <w:spacing w:after="0" w:line="11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deliver robotaxi and related services as a whole package. Our latest generation of robotaxi — GXR, introduced in October 2024, is a first-of-its-kind, next-generation robotaxi platform, leveraging over 1,900 days of robotaxi public operation experience. GXR features next-generation Sensor Suite 5.6, and the HPC 2.0 high-performance computing platform, redefining the autonomous driving experience.</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For robotaxi, we generate revenue from vehicle sales and recurring fees based on ongoing operational and technical support services. We could also generate revenue through ride-hailing services.</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partner with go-to-market partners and supplement their existing fleets with our robotaxis fleets. Once we enter a new market, we build a robust ecosystem around our innovative technology and solutions, including forming strategic partnerships with leading global vehicle OEMs, shared mobility platforms, and more. For more information relating to our partnership with these OEMs, see “— Our Ecosystem and Partnerships.”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Ride-Hailing through Robotaxi</w:t>
      </w:r>
    </w:p>
    <w:p>
      <w:pPr>
        <w:spacing w:after="0" w:line="117" w:lineRule="exact"/>
        <w:rPr>
          <w:sz w:val="20"/>
          <w:szCs w:val="20"/>
          <w:color w:val="auto"/>
        </w:rPr>
      </w:pPr>
    </w:p>
    <w:p>
      <w:pPr>
        <w:jc w:val="both"/>
        <w:ind w:left="120" w:right="80" w:firstLine="440"/>
        <w:spacing w:after="0" w:line="267" w:lineRule="auto"/>
        <w:rPr>
          <w:sz w:val="20"/>
          <w:szCs w:val="20"/>
          <w:color w:val="auto"/>
        </w:rPr>
      </w:pPr>
      <w:r>
        <w:rPr>
          <w:rFonts w:ascii="Times New Roman" w:cs="Times New Roman" w:eastAsia="Times New Roman" w:hAnsi="Times New Roman"/>
          <w:sz w:val="18"/>
          <w:szCs w:val="18"/>
          <w:color w:val="auto"/>
        </w:rPr>
        <w:t xml:space="preserve">We operate a small robotaxi fleet for the </w:t>
      </w:r>
      <w:r>
        <w:rPr>
          <w:rFonts w:ascii="Times New Roman" w:cs="Times New Roman" w:eastAsia="Times New Roman" w:hAnsi="Times New Roman"/>
          <w:sz w:val="18"/>
          <w:szCs w:val="18"/>
          <w:i w:val="1"/>
          <w:iCs w:val="1"/>
          <w:color w:val="auto"/>
        </w:rPr>
        <w:t>WeRide Go</w:t>
      </w:r>
      <w:r>
        <w:rPr>
          <w:rFonts w:ascii="Times New Roman" w:cs="Times New Roman" w:eastAsia="Times New Roman" w:hAnsi="Times New Roman"/>
          <w:sz w:val="18"/>
          <w:szCs w:val="18"/>
          <w:color w:val="auto"/>
        </w:rPr>
        <w:t xml:space="preserve"> app, our own shared mobility network and generate an insignificant amount of revenue from the offering of robotaxi rides through </w:t>
      </w:r>
      <w:r>
        <w:rPr>
          <w:rFonts w:ascii="Times New Roman" w:cs="Times New Roman" w:eastAsia="Times New Roman" w:hAnsi="Times New Roman"/>
          <w:sz w:val="18"/>
          <w:szCs w:val="18"/>
          <w:i w:val="1"/>
          <w:iCs w:val="1"/>
          <w:color w:val="auto"/>
        </w:rPr>
        <w:t>WeRide Go</w:t>
      </w:r>
      <w:r>
        <w:rPr>
          <w:rFonts w:ascii="Times New Roman" w:cs="Times New Roman" w:eastAsia="Times New Roman" w:hAnsi="Times New Roman"/>
          <w:sz w:val="18"/>
          <w:szCs w:val="18"/>
          <w:color w:val="auto"/>
        </w:rPr>
        <w:t xml:space="preserve"> starting in 2020. Robotaxis that we use on </w:t>
      </w:r>
      <w:r>
        <w:rPr>
          <w:rFonts w:ascii="Times New Roman" w:cs="Times New Roman" w:eastAsia="Times New Roman" w:hAnsi="Times New Roman"/>
          <w:sz w:val="18"/>
          <w:szCs w:val="18"/>
          <w:i w:val="1"/>
          <w:iCs w:val="1"/>
          <w:color w:val="auto"/>
        </w:rPr>
        <w:t>WeRide Go</w:t>
      </w:r>
      <w:r>
        <w:rPr>
          <w:rFonts w:ascii="Times New Roman" w:cs="Times New Roman" w:eastAsia="Times New Roman" w:hAnsi="Times New Roman"/>
          <w:sz w:val="18"/>
          <w:szCs w:val="18"/>
          <w:color w:val="auto"/>
        </w:rPr>
        <w:t xml:space="preserve"> are either our own or leased through financing arrangement.</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Achievements and Global Expansion</w:t>
      </w:r>
    </w:p>
    <w:p>
      <w:pPr>
        <w:spacing w:after="0" w:line="11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achieved multiple milestones in the robotaxi sector and continue to grow our business: As of the date of this annual report, our robotaxis had completed over 1,900 days of commercial operations on open roads. We firmly believe in zero tolerance for accidents. As of the date of this annual report, we maintained a track record of no regulatory discipline for autonomous driving system failure. Our latest generation of robotaxis, GXR, entered commercial production in 2024, and we aim to continue to scale in 2025. We have also made continued global expansion with strategic launches across Europe, the Middle East and Asia.</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80"/>
          </w:cols>
          <w:pgMar w:left="320" w:top="482" w:right="4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L4 Autonomous Driving Products and Solutions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addition to robotaxis, we offer other L4 products and solutions across mobility, logistics, and sanitation. These solutions leverage our existing infrastructure and technology stack, including a unified operations platform, and provide a greater diversity of operational data while allowing us to service distinct customer use cases. For robobuses, robovans and robosweepers, we typically generate revenue from vehicle sales and recurring fees based on ongoing operational and technical support.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Robobus</w:t>
      </w:r>
    </w:p>
    <w:p>
      <w:pPr>
        <w:spacing w:after="0" w:line="119" w:lineRule="exact"/>
        <w:rPr>
          <w:sz w:val="20"/>
          <w:szCs w:val="20"/>
          <w:color w:val="auto"/>
        </w:rPr>
      </w:pPr>
    </w:p>
    <w:p>
      <w:pPr>
        <w:jc w:val="both"/>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Our robobus can be flexibly deployed in various public and private transportation use cases. We partner with Yutong and Golden Dragon to produce robobuses. Our robobus is designed for a fully autonomous driving experience with no steering wheel or driver cabin with a top speed of 40km/h. Our robobus can handle open roads in urban settings under all weather conditions.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Customers such as local transport service providers typically purchase our robobuses as well as bundled technical supports and services, including system upgrades, maintenance and repair, fleet management, as well as remote assistance services on an as-needed basis. These services are typically charged separately to our customers for an ongoing fee payable on an annual basis.</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To date, we have deployed robobus fleets across eight countries, namely Switzerland, France, Japan, Singapore, Saudi Arabia, the UAE, Qatar and China.</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also successfully expanded our business development efforts beyond China and achieved commercialization on the global stage.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Robovan</w:t>
      </w:r>
    </w:p>
    <w:p>
      <w:pPr>
        <w:spacing w:after="0" w:line="11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Our robovans provide a more efficient, and cost-effective alternative to traditional logistics vehicles. We partner with JMC-Ford Motors and Ecar Tech to manufacture our robovans.</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typically sell robovans and charge recurring fees from ongoing operational and technical support services. We also use our robovans to provide more capital efficient logistics-as-a service solutions. To date, we have received over 10,000 indicative orders, demonstrating market reception. Our latest robovan W5 model offers a driverless delivery solution that provides long-distance and bulk delivery capabilities and addresses key challenges in express delivery, urban distribution and various point-to-point logistics.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Robosweeper</w:t>
      </w:r>
    </w:p>
    <w:p>
      <w:pPr>
        <w:spacing w:after="0" w:line="119"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Our L4 robosweeper delivers a state-of-the-art sanitation solution that rivals traditional sweepers. We partner with Yutong and Ecar Tech to manufacture our robosweepers.</w:t>
      </w:r>
    </w:p>
    <w:p>
      <w:pPr>
        <w:spacing w:after="0" w:line="162"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We sell robosweepers to public cleaning service providers and charge recurring fees for technical supports and services. We also use our robosweeper fleet to provide sanitation-as a-service solutions.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currently offer robosweepers in two sizes: WeRide S6, the larger model, is designed to address various cleaning needs, including standard road washing and sweeping, road edge cleaning, dust suppression and high-pressure water jetting. WeRide S1, the smaller model, is an L4 autonomous sanitation device designed for open roads and capable of navigating smoothly around smaller obstacles while effectively cleaning various road surfaces and offering automatic trash dumping and self-parking functionalities. Orders for WeRide S1 reached several million dollars shortly after launch, demonstrating a strong market reception.</w:t>
      </w:r>
    </w:p>
    <w:p>
      <w:pPr>
        <w:spacing w:after="0" w:line="183"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In China, we have successfully rolled out fee-charging large-scale commercial pilots of robosweepers in Guangzhou since 2022. We have also been expanding our robosweeper operations globally.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82"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ADAS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Leveraging our technology capabilities, our ADAS is capable of outperforming peers across highway, urban and parking use cases. Our technologies coverage all-weather operating conditions and are supported by a future-proof and scalable architecture as well as system-level safety designs. These solutions are further optimized by our advanced full-stack deep learning algorithm and are backed by the QNX Safety operational system and multiple industrial certifications such as ISO/SAE 21434, ISO 26262, and ASPICE CL2, ensuring top-tier quality assurance, auto-grade design and function safety. Our work in developing and commercializing ADAS allows us to leverage our leading L4 technology as well as test it in the real world. Additionally, this affords us valuable data that helps us advance our L4 efforts.</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provide ADAS to auto OEMs through partners such as Bosch. In our Bosch partnership, we provide state-of-the-art ADAS technology and rich experience in product development, and Bosch contributes from supply chain, quality control, rigorous industrial design, verification and validation capabilities and broad OEM client network. We collect development fees in respect of the services we deliver as well as milestone-based royalties settled based on sales volume under this partnership.</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Technology Stack and Operations Capabilities</w:t>
      </w:r>
    </w:p>
    <w:p>
      <w:pPr>
        <w:spacing w:after="0" w:line="119" w:lineRule="exact"/>
        <w:rPr>
          <w:sz w:val="20"/>
          <w:szCs w:val="20"/>
          <w:color w:val="auto"/>
        </w:rPr>
      </w:pPr>
    </w:p>
    <w:p>
      <w:pPr>
        <w:ind w:left="120" w:right="2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By adopting our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unified approach, our technology stack and operations capabilities cut across all application scenarios, with the utmost effectiveness and efficiency. Our proprietary autonomous driving stack encompasses localization, perception, prediction, planning and control functionalities.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Features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Universal</w:t>
      </w:r>
    </w:p>
    <w:p>
      <w:pPr>
        <w:spacing w:after="0" w:line="11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Our autonomous driving system directly works with LiDAR-camera pre-fusion redundancy setup and camera-only setup. Our models are able to self-adapt to different sensor positions and combinations while maintaining consistent performance. As a result, our products can operate based on the same software system. Our modular sensor suite includes GNSS, IMU, LiDARs, radars, cameras, and a custom sensor board. This suite, sharing over 90% of components across our products, ensures precise sensing tailored to particular vehicle types. At the same time, fast iterative design and our commercial production standards ensure high reliability and performance.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Self-Improving</w:t>
      </w:r>
    </w:p>
    <w:p>
      <w:pPr>
        <w:spacing w:after="0" w:line="11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Instead of hard-coding the entire decision-making processes, our smart models can perform the driving tasks taking into account complex factors in real-world situations, such as intensive interactions with bikers, pedestrians and other vehicles in heavy traffic conditions.</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in-house deep learning models encompassing perception, prediction, planning, and control are trained on a distributed cloud platform and can self-improve with data. Verified models are deployed fleet-wide, enabling human-like driving and efficient decision-making in complex traffic scenarios, mimicking experienced drivers. Our models are also able to predict scenarios with great accuracy and provide analytical results based on known information, such as deducting the sign of an occluded traffic light from surrounding traffic.</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Data-Driven</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cutting-edge data loop is a one-stop tool for data collection, upload, classification, desensitization, labeling, model input, performance evaluation, simulation verification, and deployment. It automatically filters out redundancy and feed high-quality data pool—tens of millions of L4 high-quality data packets (each packet with a video length of over one minute)—for model training, maximizing the utilization efficiency of data collected across autonomous driving capabilities (from L2 to L4) and product lines. It supports comprehensive scenario coverage, all model application, rich simulation types, full visualization, and large-scale diverse data collection. Our data loop is capable of maintaining extremely high GPU utilization through cluster scheduling and interval optimization, achieving maximum utilization effect with limited resources.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00"/>
          </w:cols>
          <w:pgMar w:left="320" w:top="482" w:right="4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Fully Redundant</w:t>
      </w:r>
    </w:p>
    <w:p>
      <w:pPr>
        <w:spacing w:after="0" w:line="119"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Our system ensures safety through full redundancy in software, hardware, and operations. This includes redundant sensors, computing units, connectivity, power supplies, and drive-by-wire systems. Software redundancy exists both at the system and algorithm levels, enhancing reliability. Causal prediction and planning models guarantee worst-case scenario handling while interacting with other road users, supplemented by a remote assistance platform for complex conditions. This redundancy ensures both safety and comfort for passengers.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Showcases of Our Technological Leadership</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Navigating Urban Villages</w:t>
      </w:r>
    </w:p>
    <w:p>
      <w:pPr>
        <w:spacing w:after="0" w:line="119"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Our technologies have been tested and commercially proven in urban villages in China, formerly rural areas that have been taken over by the country’s growing cities and where road conditions are extremely dense and complex.</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robotaxi achieved safe and smooth cruising in the meandering downtown in Guangzhou in 2020, which can only be achieved with the backing of sophisticated autonomous driving algorithms. Without the need of any human intervention, our robotaxi successfully navigated the congested and unpredictable road environment in an urban village setting.</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Operating on Highways</w:t>
      </w:r>
    </w:p>
    <w:p>
      <w:pPr>
        <w:spacing w:after="0" w:line="119"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Operating on highways necessitates more stringent requirements for autonomous vehicles, as it compels the systems to detect and react to fast-moving objects with exceptional precision and minimal delay, given that the repercussions of errors are considerably more challenging to rectify. WeRide’s vehicles have been operating on the highways between Yas Island and Saadiyat Island in Abu Dhabi.</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Enduring Extreme Weather</w:t>
      </w:r>
    </w:p>
    <w:p>
      <w:pPr>
        <w:spacing w:after="0" w:line="11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One of the most critical challenges in the development of autonomous driving vehicles and driver assistance systems is their relatively poor performance under adverse weather conditions such as snow and sandstorms. In 2022, our autonomous driving fleet successfully completed their trials in Heihe, China, and Abu Dhabi, UAE, operating under an external temperature range of between -25°C to 45°C. Our autonomous vehicles have also completed commercial operation in Singapore, France, and testing operation in Saudi Arabia and Qatar.</w:t>
      </w:r>
    </w:p>
    <w:p>
      <w:pPr>
        <w:spacing w:after="0" w:line="180"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Despite the significant amount of noises challenging our sensors during heavy snow and the strong reflection coming out of the icy road surface, our robotaxi and robobus were able to maintain accurate and safe operations in their road tests in Heihe. Our autonomous driving vehicles have also braved the sandy ambiance and extreme heat in Abu Dhabi where dusts and high temperatures have the potential to cause electronic and mechanical components to malfunction. In addition, during Singapore’s heavy rain, our Robobus operated smoothly and functioned well, demonstrating stable performance.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Ecosystem and Partnerships</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We have established a robust ecosystem consisting of world-class partners. One important layer of the ecosystem is our partnership with world-class OEMs and Tier 1 suppliers, who played an important role in the development and production of our autonomous driving vehicles. These partnerships enable us to maintain strong control over supply chain and hardware design, while remaining asset-light and focusing on developing and upgrading our proprietary autonomous driving products and services.</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partner with OEMs for the production of our L4 autonomous driving vehicles. Typically, under these partnerships, we purchase vehicles which satisfy our requirements in terms of hardware from OEM partners and then deploy these specialized autonomous driving vehicles to provide mobility, logistics and other urban services or sell to our customers, after integrating our autonomous driving software and hardware (including sensor suites) and landing deployment services to make the autonomous driving vehicles optimized to provide public transportation service on specific roads meeting the customer-specific technical metrics and autonomous functions. In addition, our company also provides L4 autonomous driving and ADAS research and development services to the OEM partners and Tier-1 supplier partner. We enter into separate contracts with OEM partners and Tier-1 supplier partner on market terms for these transactions.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82"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also work closely with other ecosystem partners in developing our L4 autonomous technologies, products and services.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Major Customers</w:t>
      </w:r>
    </w:p>
    <w:p>
      <w:pPr>
        <w:spacing w:after="0" w:line="121" w:lineRule="exact"/>
        <w:rPr>
          <w:sz w:val="20"/>
          <w:szCs w:val="20"/>
          <w:color w:val="auto"/>
        </w:rPr>
      </w:pPr>
    </w:p>
    <w:p>
      <w:pPr>
        <w:ind w:left="120" w:right="880" w:firstLine="440"/>
        <w:spacing w:after="0" w:line="282" w:lineRule="auto"/>
        <w:rPr>
          <w:sz w:val="20"/>
          <w:szCs w:val="20"/>
          <w:color w:val="auto"/>
        </w:rPr>
      </w:pPr>
      <w:r>
        <w:rPr>
          <w:rFonts w:ascii="Times New Roman" w:cs="Times New Roman" w:eastAsia="Times New Roman" w:hAnsi="Times New Roman"/>
          <w:sz w:val="18"/>
          <w:szCs w:val="18"/>
          <w:color w:val="auto"/>
        </w:rPr>
        <w:t>A substantial portion of our revenue is contributed by our top five customers in each of 2022, 2023 and 2024. We primarily supply our autonomous driving products and services to automobile manufacturers, Tier 1 suppliers and public transportation service operators.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face competition, both in China and globally, from autonomous driving companies that offer autonomous driving technologies, products and services. We also potentially face competition from automotive OEMs global-wise and other global technology giants, particularly those who are building internal autonomous driving development programs.</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Competition is based primarily on ability to source capital, technology, safety, efficiency and cost-effectiveness. Our future success will depend on our ability to maintain our leading competitive position with respect to our technological advances over our existing and any new competitors.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believe our strong research and development capability is our principal competitive strength. We have invested a significant amount of time and resources in research and development to solidify and maintain our industry leadership in the market. We have built a world-class team that is focused on rigorous engineering. As of December 31, 2024, we had 677 research and development engineers and 2,228 R&amp;D data processing staff worldwide. Our research and development activities are conducted at multiple research and development centers, including but not limited to mainland China and the Singapore.</w:t>
      </w:r>
    </w:p>
    <w:p>
      <w:pPr>
        <w:spacing w:after="0" w:line="183"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were RMB758.6 million, RMB1,058.4 million and RMB1,091.4 million (US$149.5 million) in 2022, 2023 and 2024,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2024, we had 420 issued patents and 611 pending patent applications globally. Our issued patents and patent applications cover our algorithms, embedded software, and a broad range of system level and component level aspects of autonomous technology, and we intend to continue to file additional patent applications with respect to our intellectual property. Our patents cover the following categories: perception, planning and control, map and localization, hardware, and data.</w:t>
      </w:r>
    </w:p>
    <w:p>
      <w:pPr>
        <w:spacing w:after="0" w:line="180" w:lineRule="exact"/>
        <w:rPr>
          <w:sz w:val="20"/>
          <w:szCs w:val="20"/>
          <w:color w:val="auto"/>
        </w:rPr>
      </w:pPr>
    </w:p>
    <w:p>
      <w:pPr>
        <w:ind w:left="120" w:right="180" w:firstLine="440"/>
        <w:spacing w:after="0" w:line="257" w:lineRule="auto"/>
        <w:rPr>
          <w:sz w:val="20"/>
          <w:szCs w:val="20"/>
          <w:color w:val="auto"/>
        </w:rPr>
      </w:pPr>
      <w:r>
        <w:rPr>
          <w:rFonts w:ascii="Times New Roman" w:cs="Times New Roman" w:eastAsia="Times New Roman" w:hAnsi="Times New Roman"/>
          <w:sz w:val="18"/>
          <w:szCs w:val="18"/>
          <w:color w:val="auto"/>
        </w:rPr>
        <w:t>Our ability to remain at the forefront of innovation in the autonomous driving industry depends largely on our ability to obtain, maintain, and protect our intellectual property and other proprietary rights relating to our technology and to successfully enforce these rights against third parties. To accomplish this, we rely on a combination of intellectual property rights, such as patents, trademarks, copyrights and trade secrets</w:t>
      </w:r>
    </w:p>
    <w:p>
      <w:pPr>
        <w:spacing w:after="0" w:line="1"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(including know-how), in addition to internal policies, and employee and third-party nondisclosure agreements, intellectual property licenses and other contractual rights. Specifically, we enter into confidentiality and non-disclosure agreements with our employees, ecosystem partners (including suppliers) and other relevant parties to protect our proprietary rights. We also enact internal policies and procedures and employ encryptions and data security measures to provide additional safeguards. The foregoing notwithstanding, there can be no assurance that our efforts will be successful. Even if our efforts are successful, we may incur significant costs in defending our rights.</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82"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It is equally important for us to operate without infringing, misappropriating, or otherwise violating the intellectual property or proprietary rights of others. From time to time, third parties may initiate litigation against us alleging infringement of their proprietary rights.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Environmental, Social and Governance</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are committed to corporate social responsibility and we aim to create a positive social, environmental and economic impact. We have implemented initiatives on Sustainability and Corporate Social Responsibility, or CSR, and Environmental, Social and Governance, or ESG, making social and environmental impact a core factor in many of our business decisions. We are committed to collaborating closely with industry stakeholders and domestic and international organizations to support broader industry-wide CSR and ESG practices, to explore multi-dimensional use cases for our technology, to empower traditional industries with our capabilities and to promote the long-term sustainability of our society.</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believe our autonomous technology products and services deliver a safer transportation experience both for the passengers and the surrounding environment. It does so by significantly reducing the risk of accidents, particularly for those associated with human errors which contribute to 90% of traffic accidents. Our autonomous driving vehicles have not caused any safety incidents as of the date of this annual report after five years of commercial operations on open road.</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are committed to decarbonization and the building of a greener and more sustainable future. One core benefit of our autonomous technology is the optimization of vehicle controls and maneuvers and in turn the improvement of energy efficiency. L4 autonomous driving system is able to reduce energy consumption per 100 kilometers by over 15% due to automated lane-changing acceleration/deceleration and braking functions. During a four-month period of open road trial conducted in 2022, our robosweepers achieved a reduction of more than 20,000 kilograms in carbon dioxide emission as compared with conventional street cleaning vehicles. We are dedicated to further advancing our technology for better management of environmental footprint of passengers and freight transportations globally. We are also working with our partners, such as Hyundai, to promote sustainable mobility and the adoption of clean energy.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Business in the United States</w:t>
      </w:r>
    </w:p>
    <w:p>
      <w:pPr>
        <w:spacing w:after="0" w:line="121" w:lineRule="exact"/>
        <w:rPr>
          <w:sz w:val="20"/>
          <w:szCs w:val="20"/>
          <w:color w:val="auto"/>
        </w:rPr>
      </w:pPr>
    </w:p>
    <w:p>
      <w:pPr>
        <w:ind w:left="120" w:right="40" w:firstLine="440"/>
        <w:spacing w:after="0" w:line="270" w:lineRule="auto"/>
        <w:rPr>
          <w:sz w:val="20"/>
          <w:szCs w:val="20"/>
          <w:color w:val="auto"/>
        </w:rPr>
      </w:pPr>
      <w:r>
        <w:rPr>
          <w:rFonts w:ascii="Times New Roman" w:cs="Times New Roman" w:eastAsia="Times New Roman" w:hAnsi="Times New Roman"/>
          <w:sz w:val="17"/>
          <w:szCs w:val="17"/>
          <w:color w:val="auto"/>
        </w:rPr>
        <w:t>Attracted by California’s forward-looking and innovation friendly environment for autonomous driving, Dr. Tony Xu Han and Dr. Yan Li founded WeRide and commenced our business in California. Our business in the U.S. includes research and development and road testing. The U.S. has not been, and will not be, a market for our products or services. Currently, we consider our testing activities in the U.S. not material as the number of testing vehicles and the amount of testing mileage are both less than 2% of our testing activities as a whole. Our testing activities in the U.S. include 15 autonomous driving vehicles and are limited to the San Francisco Bay Area and Las Vegas. Our testing in the U.S. is strictly in compliance with the autonomous vehicle regulations of California and Nevada and are done under the supervision of the DMV of California and Nevada. All of our testing vehicles and test drivers are registered with the California or Nevada DMV. We have obtained permits issued by California DMV allowing us to test our autonomous driving vehicles on public roads in San Jose, California, without any human driver onboard. We obtained a permit in California in August 2024 that allows us to carry passengers in testing vehicles. We are not allowed to offer rides to the general public and cannot charge any fares under this permit. We have also obtained permit issued by the Nevada DMV for our testing vehicles there. We will timely renew those permits before they expire.</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Data Privacy and Security</w:t>
      </w:r>
    </w:p>
    <w:p>
      <w:pPr>
        <w:spacing w:after="0" w:line="121"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We collect, use, store, transmit and otherwise process various types of data. The localization, perception, prediction, planning and control modules on our autonomous driving vehicles collect and generate certain types of data, such as street view and architecture images, while in operation and during road tests. The types of data collected through our testing vehicles are solely for the purposes of and are limited to the scope necessary for enabling safe functioning, training and perfection of our autonomous driving system. These data are collected and processed in compliance with applicable laws and regulations in all material respects. We also collaborate with a service provider that possesses a navigation electronic map production and surveying license. Under the cooperation, the service provider provides us with HD maps services to complement the vision of our sensors.</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82"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are committed to protecting personal information and privacy. The operation of our robotaxi services through </w:t>
      </w:r>
      <w:r>
        <w:rPr>
          <w:rFonts w:ascii="Times New Roman" w:cs="Times New Roman" w:eastAsia="Times New Roman" w:hAnsi="Times New Roman"/>
          <w:sz w:val="18"/>
          <w:szCs w:val="18"/>
          <w:i w:val="1"/>
          <w:iCs w:val="1"/>
          <w:color w:val="auto"/>
        </w:rPr>
        <w:t>WeRide Go</w:t>
      </w:r>
      <w:r>
        <w:rPr>
          <w:rFonts w:ascii="Times New Roman" w:cs="Times New Roman" w:eastAsia="Times New Roman" w:hAnsi="Times New Roman"/>
          <w:sz w:val="18"/>
          <w:szCs w:val="18"/>
          <w:color w:val="auto"/>
        </w:rPr>
        <w:t xml:space="preserve"> involves the collection and processing of contact information and other information of our passengers that is necessary for the delivery of our services as well as certain basic personal information of our safety drivers. The privacy policy of </w:t>
      </w:r>
      <w:r>
        <w:rPr>
          <w:rFonts w:ascii="Times New Roman" w:cs="Times New Roman" w:eastAsia="Times New Roman" w:hAnsi="Times New Roman"/>
          <w:sz w:val="18"/>
          <w:szCs w:val="18"/>
          <w:i w:val="1"/>
          <w:iCs w:val="1"/>
          <w:color w:val="auto"/>
        </w:rPr>
        <w:t>WeRide Go</w:t>
      </w:r>
      <w:r>
        <w:rPr>
          <w:rFonts w:ascii="Times New Roman" w:cs="Times New Roman" w:eastAsia="Times New Roman" w:hAnsi="Times New Roman"/>
          <w:sz w:val="18"/>
          <w:szCs w:val="18"/>
          <w:color w:val="auto"/>
        </w:rPr>
        <w:t xml:space="preserve"> outlines what personal information is being collected and how we collect and utilize personal data. It also describes our use practices and how privacy works on our platform. Specially, we provide user of </w:t>
      </w:r>
      <w:r>
        <w:rPr>
          <w:rFonts w:ascii="Times New Roman" w:cs="Times New Roman" w:eastAsia="Times New Roman" w:hAnsi="Times New Roman"/>
          <w:sz w:val="18"/>
          <w:szCs w:val="18"/>
          <w:i w:val="1"/>
          <w:iCs w:val="1"/>
          <w:color w:val="auto"/>
        </w:rPr>
        <w:t>WeRide Go</w:t>
      </w:r>
      <w:r>
        <w:rPr>
          <w:rFonts w:ascii="Times New Roman" w:cs="Times New Roman" w:eastAsia="Times New Roman" w:hAnsi="Times New Roman"/>
          <w:sz w:val="18"/>
          <w:szCs w:val="18"/>
          <w:color w:val="auto"/>
        </w:rPr>
        <w:t xml:space="preserve"> with prior notice and obtain their consent before any of their personal information is collected or processed.</w:t>
      </w:r>
    </w:p>
    <w:p>
      <w:pPr>
        <w:spacing w:after="0" w:line="18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After personal information of traffic participants outside the vehicles, such as license plate number or human face, is picked up by the sensor suite on our autonomous driving vehicles, it is automatically desensitized before leaving the vehicles and the original video clips which contain the relevant personal information will then be removed. We also implement a stringent data control system to ensure that only authorized personnel can view and retrieve these video clips and in a manner that meets security, privacy and compliance requirements. All data is stored and processed locally. We do not engage in any cross-border transfer of personal information, important data or geographic information data.</w:t>
      </w:r>
    </w:p>
    <w:p>
      <w:pPr>
        <w:spacing w:after="0" w:line="183"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have also invested in developing a rigorous information security system and governance framework and implemented procedures defining roles and responsibilities for managing information security. Our information security and compliance efforts are headed by the Information Security Steering Committee and supported by our Information Security Supervisory Committee, which oversees the management of information security, and our Information Security Planning Committee, which devises information security strategies and planning. We have also set up an Information Security Execution Committee that works closely with other departments to jointly establish and enforce procedures regarding the management of information security. We have also designated specific personnel to be responsible for cybersecurity, data security and privacy.</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have established a comprehensive system to regulate our data processing activities. These procedures and policies guide the strategy of our information security and compliance initiatives, prescribe a hierarchical data classification and management system, clarify the management and compliance requirements applicable to the full data processing cycle and for cybersecurity and information system security, mandate trainings for related personnel and prescribe data security and compliance risk assessment and audit procedures. We have also set up an emergency response mechanism for information security incidents. All our personnel are required to strictly follow our internal rules, policies and protocols to safeguard the integrity of our data.</w:t>
      </w:r>
    </w:p>
    <w:p>
      <w:pPr>
        <w:spacing w:after="0" w:line="18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we had not received any claim from any third party against us on the ground of infringement of such party’s right to data protection as provided by applicable laws and regulations.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consider our insurance coverage to be adequate, as we have in place all insurance policies mandated by Chinese laws and regulations, and in line with common commercial practices in our industry.</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Pursuant to PRC regulations, we provide social insurance including pension insurance, unemployment insurance, work-related injury insurance and medical insurance for our employees based in mainland China. We also purchase additional commercial insurance to increase insurance coverage of our employees.</w:t>
      </w:r>
    </w:p>
    <w:p>
      <w:pPr>
        <w:spacing w:after="0" w:line="176" w:lineRule="exact"/>
        <w:rPr>
          <w:sz w:val="20"/>
          <w:szCs w:val="20"/>
          <w:color w:val="auto"/>
        </w:rPr>
      </w:pPr>
    </w:p>
    <w:p>
      <w:pPr>
        <w:ind w:left="120" w:right="260" w:firstLine="440"/>
        <w:spacing w:after="0" w:line="255" w:lineRule="auto"/>
        <w:rPr>
          <w:sz w:val="20"/>
          <w:szCs w:val="20"/>
          <w:color w:val="auto"/>
        </w:rPr>
      </w:pPr>
      <w:r>
        <w:rPr>
          <w:rFonts w:ascii="Times New Roman" w:cs="Times New Roman" w:eastAsia="Times New Roman" w:hAnsi="Times New Roman"/>
          <w:sz w:val="18"/>
          <w:szCs w:val="18"/>
          <w:color w:val="auto"/>
        </w:rPr>
        <w:t>Insurance products for autonomous vehicles are still in the stage of adaptation and exploration. As advised by our PRC Legal Advisor, we are responsible for compensation for personal injury and property damage caused by our product defects, but automobile manufacturers are the primary responsible parties for vehicle recalls under the PRC laws. We maintain compulsory traffic accident liability insurance, supplemental commercial accident insurance for each of the test vehicles, we also maintained carrier liability insurance for each vehicle used for commercial operation in accordance with applicable regulations. We have also obtained insurance coverage for losses of and damages to our autonomous driving vehicles and their respective equipment. However, we do not maintain any product liability insurance, which is not mandatory under the relevant PRC laws and regulations, as advised by our PRC Legal Advisor.</w:t>
      </w:r>
    </w:p>
    <w:p>
      <w:pPr>
        <w:spacing w:after="0" w:line="18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also attempt to mitigate the risks of liabilities and claims by subjecting our autonomous driving vehicles to rigid testing and by including security features in product design. To enhance the safety level of our products and operations, we are also establishing a remote assistance center which allows us to manage and monitor our autonomous driving fleet in operation, and to intervene, where necessary.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82"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Consistent with customary industry practice in mainland China, we do not maintain business interruption insurance, key-man insurance or insurance policies covering damages to our properties, facilities or technical infrastructure. Any uninsured occurrence of business disruption, natural disaster, liabilities, claims, or losses of or significant damages to our uninsured equipment, facilities or properties could have a material adverse effect on our results of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This section sets forth a summary of the most significant rules and regulations in mainland China and elsewhere that affect our business activities and the rights of our shareholders to receive dividends and other distributions from 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in Mainland China</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Regulations Relating to Corporation</w:t>
      </w:r>
    </w:p>
    <w:p>
      <w:pPr>
        <w:spacing w:after="0" w:line="11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All companies established in the PRC are subject to the </w:t>
      </w:r>
      <w:r>
        <w:rPr>
          <w:rFonts w:ascii="Times New Roman" w:cs="Times New Roman" w:eastAsia="Times New Roman" w:hAnsi="Times New Roman"/>
          <w:sz w:val="18"/>
          <w:szCs w:val="18"/>
          <w:i w:val="1"/>
          <w:iCs w:val="1"/>
          <w:color w:val="auto"/>
        </w:rPr>
        <w:t>Company Law of the People’s Republic of China</w:t>
      </w:r>
      <w:r>
        <w:rPr>
          <w:rFonts w:ascii="Times New Roman" w:cs="Times New Roman" w:eastAsia="Times New Roman" w:hAnsi="Times New Roman"/>
          <w:sz w:val="18"/>
          <w:szCs w:val="18"/>
          <w:color w:val="auto"/>
        </w:rPr>
        <w:t xml:space="preserve">, or the Company Law, which was lastly amended on December 29, 2023 and came into effect on July 1, 2024. The Company Law provides for the establishment, corporate structure and corporate management of companies, which also applies to foreign-invested enterprises. Where laws relating to foreign investment provide otherwise, such stipulations shall apply. The main amendments of the </w:t>
      </w:r>
      <w:r>
        <w:rPr>
          <w:rFonts w:ascii="Times New Roman" w:cs="Times New Roman" w:eastAsia="Times New Roman" w:hAnsi="Times New Roman"/>
          <w:sz w:val="18"/>
          <w:szCs w:val="18"/>
          <w:i w:val="1"/>
          <w:iCs w:val="1"/>
          <w:color w:val="auto"/>
        </w:rPr>
        <w:t>Company Law</w:t>
      </w:r>
      <w:r>
        <w:rPr>
          <w:rFonts w:ascii="Times New Roman" w:cs="Times New Roman" w:eastAsia="Times New Roman" w:hAnsi="Times New Roman"/>
          <w:sz w:val="18"/>
          <w:szCs w:val="18"/>
          <w:color w:val="auto"/>
        </w:rPr>
        <w:t xml:space="preserve"> involve strengthening the responsibilities of controlling shareholders, directors and management personnel, and stipulating that the subscribed capital contributions should be fully paid by the shareholder(s) within five years from the date of incorporation according to its articles of association. On July 1, 2024, the State Council promulgated the </w:t>
      </w:r>
      <w:r>
        <w:rPr>
          <w:rFonts w:ascii="Times New Roman" w:cs="Times New Roman" w:eastAsia="Times New Roman" w:hAnsi="Times New Roman"/>
          <w:sz w:val="18"/>
          <w:szCs w:val="18"/>
          <w:i w:val="1"/>
          <w:iCs w:val="1"/>
          <w:color w:val="auto"/>
        </w:rPr>
        <w:t>Provisions on Implementation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Registered Capital Management System under the Company Law of the People’s Republic of China</w:t>
      </w:r>
      <w:r>
        <w:rPr>
          <w:rFonts w:ascii="Times New Roman" w:cs="Times New Roman" w:eastAsia="Times New Roman" w:hAnsi="Times New Roman"/>
          <w:sz w:val="18"/>
          <w:szCs w:val="18"/>
          <w:color w:val="auto"/>
        </w:rPr>
        <w:t>, which further stipulates that for a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for incorporation before June 30, 2024, if the remaining capital contribution period of a limited liability company exceeds five years as from July 1, 2027, the company shall adjust the remaining capital contribution period to five years by June 30, 2027, and record the same in its articles of association. The shareholders shall fully pay the amount of capital contributions they subscribe for within the adjusted capital contribution period. If a PRC domestic enterprise fails to adjust within the grace period, it may be subject to an order of rectification or a fine. As of the date of this annual report, we are in the process of completing the full paid-up of all registered capital.</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Regulations Relating to Foreign Investment</w:t>
      </w:r>
    </w:p>
    <w:p>
      <w:pPr>
        <w:spacing w:after="0" w:line="117"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color w:val="auto"/>
        </w:rPr>
        <w:t xml:space="preserve">Investment activities in mainland China by foreign investors are principally regulated by (i) the </w:t>
      </w:r>
      <w:r>
        <w:rPr>
          <w:rFonts w:ascii="Times New Roman" w:cs="Times New Roman" w:eastAsia="Times New Roman" w:hAnsi="Times New Roman"/>
          <w:sz w:val="18"/>
          <w:szCs w:val="18"/>
          <w:i w:val="1"/>
          <w:iCs w:val="1"/>
          <w:color w:val="auto"/>
        </w:rPr>
        <w:t>Catalog of Industries for Encouraging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Investment, </w:t>
      </w:r>
      <w:r>
        <w:rPr>
          <w:rFonts w:ascii="Times New Roman" w:cs="Times New Roman" w:eastAsia="Times New Roman" w:hAnsi="Times New Roman"/>
          <w:sz w:val="18"/>
          <w:szCs w:val="18"/>
          <w:color w:val="auto"/>
        </w:rPr>
        <w:t>or the Encouraging Catalog, (ii) the</w:t>
      </w:r>
      <w:r>
        <w:rPr>
          <w:rFonts w:ascii="Times New Roman" w:cs="Times New Roman" w:eastAsia="Times New Roman" w:hAnsi="Times New Roman"/>
          <w:sz w:val="18"/>
          <w:szCs w:val="18"/>
          <w:i w:val="1"/>
          <w:iCs w:val="1"/>
          <w:color w:val="auto"/>
        </w:rPr>
        <w:t xml:space="preserve"> Special Administrative Measures for Access of Foreign Investments</w:t>
      </w:r>
      <w:r>
        <w:rPr>
          <w:rFonts w:ascii="Times New Roman" w:cs="Times New Roman" w:eastAsia="Times New Roman" w:hAnsi="Times New Roman"/>
          <w:sz w:val="18"/>
          <w:szCs w:val="18"/>
          <w:color w:val="auto"/>
        </w:rPr>
        <w:t>, or the Negative List, each of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was promulgated and were amended from time to time by the Ministry of Commerce, or the MOFCOM, and the National Development and Reform Commission, or the NDRC, and (iii) the </w:t>
      </w:r>
      <w:r>
        <w:rPr>
          <w:rFonts w:ascii="Times New Roman" w:cs="Times New Roman" w:eastAsia="Times New Roman" w:hAnsi="Times New Roman"/>
          <w:sz w:val="18"/>
          <w:szCs w:val="18"/>
          <w:i w:val="1"/>
          <w:iCs w:val="1"/>
          <w:color w:val="auto"/>
        </w:rPr>
        <w:t>Foreign Investment Law of the People’s Republic of China,</w:t>
      </w:r>
      <w:r>
        <w:rPr>
          <w:rFonts w:ascii="Times New Roman" w:cs="Times New Roman" w:eastAsia="Times New Roman" w:hAnsi="Times New Roman"/>
          <w:sz w:val="18"/>
          <w:szCs w:val="18"/>
          <w:color w:val="auto"/>
        </w:rPr>
        <w:t xml:space="preserve"> or the Foreign Investment Law, which was adopted by the National People’s Congress on March 15, 2019, and became effective on January 1, 2020, as well as their respective implementation rules and ancillary regulations.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Guidance Catalog of Industries for Foreign Investment</w:t>
      </w:r>
    </w:p>
    <w:p>
      <w:pPr>
        <w:spacing w:after="0" w:line="119" w:lineRule="exact"/>
        <w:rPr>
          <w:sz w:val="20"/>
          <w:szCs w:val="20"/>
          <w:color w:val="auto"/>
        </w:rPr>
      </w:pPr>
    </w:p>
    <w:p>
      <w:pPr>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The Encouraging Catalog and the Negative List lay out the basic framework governing foreign investment in mainland China, classifying businesses into three categories, namely the “encouraged” category, the “restricted” category, and the “prohibited” category, based on the level of participation allowed to and conditions required of foreign investment.</w:t>
      </w:r>
    </w:p>
    <w:p>
      <w:pPr>
        <w:spacing w:after="0" w:line="174" w:lineRule="exact"/>
        <w:rPr>
          <w:sz w:val="20"/>
          <w:szCs w:val="20"/>
          <w:color w:val="auto"/>
        </w:rPr>
      </w:pPr>
    </w:p>
    <w:p>
      <w:pPr>
        <w:ind w:left="120" w:right="160" w:firstLine="440"/>
        <w:spacing w:after="0" w:line="257" w:lineRule="auto"/>
        <w:rPr>
          <w:sz w:val="20"/>
          <w:szCs w:val="20"/>
          <w:color w:val="auto"/>
        </w:rPr>
      </w:pPr>
      <w:r>
        <w:rPr>
          <w:rFonts w:ascii="Times New Roman" w:cs="Times New Roman" w:eastAsia="Times New Roman" w:hAnsi="Times New Roman"/>
          <w:sz w:val="18"/>
          <w:szCs w:val="18"/>
          <w:color w:val="auto"/>
        </w:rPr>
        <w:t xml:space="preserve">On October 26, 2022, the MOFCOM and the NDRC released the </w:t>
      </w:r>
      <w:r>
        <w:rPr>
          <w:rFonts w:ascii="Times New Roman" w:cs="Times New Roman" w:eastAsia="Times New Roman" w:hAnsi="Times New Roman"/>
          <w:sz w:val="18"/>
          <w:szCs w:val="18"/>
          <w:i w:val="1"/>
          <w:iCs w:val="1"/>
          <w:color w:val="auto"/>
        </w:rPr>
        <w:t>Catalog of Industries for Encouraging Foreign Investment</w:t>
      </w:r>
      <w:r>
        <w:rPr>
          <w:rFonts w:ascii="Times New Roman" w:cs="Times New Roman" w:eastAsia="Times New Roman" w:hAnsi="Times New Roman"/>
          <w:sz w:val="18"/>
          <w:szCs w:val="18"/>
          <w:color w:val="auto"/>
        </w:rPr>
        <w:t xml:space="preserve"> (2022 Version), which became effective on January 1, 2023 and replaced the previous Encouraging Catalog. On September 6, 2024, the MOFCOM and the NDRC released the </w:t>
      </w:r>
      <w:r>
        <w:rPr>
          <w:rFonts w:ascii="Times New Roman" w:cs="Times New Roman" w:eastAsia="Times New Roman" w:hAnsi="Times New Roman"/>
          <w:sz w:val="18"/>
          <w:szCs w:val="18"/>
          <w:i w:val="1"/>
          <w:iCs w:val="1"/>
          <w:color w:val="auto"/>
        </w:rPr>
        <w:t>Special Administrative Measures for Access of Foreign Investments</w:t>
      </w:r>
      <w:r>
        <w:rPr>
          <w:rFonts w:ascii="Times New Roman" w:cs="Times New Roman" w:eastAsia="Times New Roman" w:hAnsi="Times New Roman"/>
          <w:sz w:val="18"/>
          <w:szCs w:val="18"/>
          <w:color w:val="auto"/>
        </w:rPr>
        <w:t xml:space="preserve"> (2024 Version), or the Negative List 2024, which became effective on November 1, 2024 and replaced the previous Negative List. Any industry not listed on the Negative List 2024, including autonomous driving, is a permitted industry and generally accessible to foreign investment unless specifically prohibited or restricted by any PRC laws or regulations. Our PRC subsidiaries do not engage in any business activities that are prohibited or restricted for foreign investment under the Negative List 2024.</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82"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Foreign Investment Law</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Foreign Investment Law is formulated to further expand the opening-up of the Chinese economy, vigorously promote foreign investment and safeguard the legitimate rights and interests of foreign investors. According to the Foreign Investment Law, foreign investment means any foreign investor’s direct or indirect investment in mainland China, including: (i) establishing foreign-invested enterprises, or FIEs, in mainland China either individually or jointly with other investors; (ii) obtaining stock shares, stock equity, property shares or other similar interests in Chinese domestic enterprises; (iii) investing in new projects in mainland China either individually or jointly with other investors; and (iv) making investment through other means provided by laws, administrative regulations or by the State Council. Foreign investments are entitled to pre-entry national treatment and are subject to the Negative List. The pre-entry national treatment means that the treatment accorded to foreign investors and their investments at the stage of investment access is not lower than that of domestic investors and their investments. The State implements special administrative procedures for access of foreign investment in specific fields and foreign investors shall not invest in any prohibited fields stipulated in the Negative List and shall meet the conditions stipulated in the Negative List before investing in any restricted fields.</w:t>
      </w:r>
    </w:p>
    <w:p>
      <w:pPr>
        <w:spacing w:after="0" w:line="194"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investment, earnings, and other legitimate rights and interests of a foreign investor within the territory of mainland China shall be protected in accordance with the law, and all national policies supporting the development of enterprises shall apply equally to FIEs. The State guarantees that FIEs are able to participate in the formulation of standards in an equal manner and in government procurement activities through fair competition in accordance with the law. The State shall not expropriate any foreign investment except under special circumstances. The State may levy or expropriate the investment of foreign investors in accordance with the law for public interest. The expropriation and requisition shall follow legal procedures and timely and reasonable compensation shall be given. In carrying out business activities, FIEs shall comply with applicable rules and regulations on labor protection, social insurance, tax, accounting, foreign exchange and other matters prescribed by law.</w:t>
      </w:r>
    </w:p>
    <w:p>
      <w:pPr>
        <w:spacing w:after="0" w:line="295"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The Wholly Foreign-Owned Enterprises Law of the People’s Republic of China, together with the Law of the People’s Republic of China on Sino-Foreign Equity Joint Ventures and the Law of the People’s Republic of China on Sino-Foreign Cooperative Joint Ventures were abolished on January 1, 2020. The organization arrangement structure and activities of FIEs have since been governed by the Company Law and the Partnership Enterprise Law of the People’s Republic of China. FIEs established before the implementation of the Foreign Investment Law may retain the original forms of business organization within five years after the implementation of the Foreign Investment Law.</w:t>
      </w:r>
    </w:p>
    <w:p>
      <w:pPr>
        <w:spacing w:after="0" w:line="18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December 26, 2019, the State Council promulgated the Implementation Regulations on the Foreign Investment Law, which came into effect on January 1, 2020, and further requires that FIEs and domestic enterprises be treated equally with respect to policy making and implementation in accordance with the law. Pursuant to the Implementation Regulations on the Foreign Investment Law, if an existing FIE fails to change its original form of business organization in accordance with the Foreign Investment Law by January 1, 2025, the relevant market regulatory departments will cease to process any registration in respect of such enterprise and may publish information relating to its non-compliance with the Foreign Investment Law.</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December 30, 2019, the MOFCOM and the SAMR jointly issued the Measures for Reporting of Foreign Investment Information, or the Foreign Investment Information Measures, which came into effect on January 1, 2020 and replaced the Interim Administrative Measures for the Record-filing of the Establishment and Modification of Foreign-invested Enterprises. Starting from January 1, 2020, foreign investors and FIEs in the PRC shall submit information relating to their investment through the Enterprise Registration System and the National Enterprise Credit Information Publicity System established by the SAMR by submitting initial reports of establishment, reports on changes, reports on termination and annual reports in accordance with the Foreign Investment Information Measures. Where a foreign investor or an FIE fails to submit any required information or fails to make any correction or resubmission where directed by the competent authority, it may be subject to a fine of up to RMB300,000 (or RMB500,000 in the event of serious violations).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482"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Security Review Relating to Foreign Investment</w:t>
      </w:r>
    </w:p>
    <w:p>
      <w:pPr>
        <w:spacing w:after="0" w:line="11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On December 19, 2020, the NDRC and the MOFCOM jointly promulgated the </w:t>
      </w:r>
      <w:r>
        <w:rPr>
          <w:rFonts w:ascii="Times New Roman" w:cs="Times New Roman" w:eastAsia="Times New Roman" w:hAnsi="Times New Roman"/>
          <w:sz w:val="18"/>
          <w:szCs w:val="18"/>
          <w:i w:val="1"/>
          <w:iCs w:val="1"/>
          <w:color w:val="auto"/>
        </w:rPr>
        <w:t>Measures on the Security Review of Foreign Investment</w:t>
      </w:r>
      <w:r>
        <w:rPr>
          <w:rFonts w:ascii="Times New Roman" w:cs="Times New Roman" w:eastAsia="Times New Roman" w:hAnsi="Times New Roman"/>
          <w:sz w:val="18"/>
          <w:szCs w:val="18"/>
          <w:color w:val="auto"/>
        </w:rPr>
        <w:t xml:space="preserve"> which took effect on January 18, 2021, and set forth provisions on security review concerning foreign investment, including the types of investments subject to such review and the scopes and procedures of such review. The Office of the Working Mechanism, jointly led by the NDRC and the MOFCOM, has been established under the NDRC to undertake routine security review work relating to foreign investment. Foreign investors or other relevant parties shall proactively declare information relating to their proposed foreign investment transactions to the Office of the Working Mechanism before carrying out such transaction if (i) it is in sectors related to national defense and security, such as arms and arms related industries, or in geographic locations in close proximity of military facilities or defense-related industries facilities; or (ii) (a) it involves sectors critical to national security, such as critical agricultural products, critical energy and resources, critical equipment manufacturing, critical infrastructure, critical transportation services, critical cultural products and services, critical information technology and internet products and services, critical financial services and key technologies, and</w:t>
      </w:r>
    </w:p>
    <w:p>
      <w:pPr>
        <w:spacing w:after="0" w:line="1" w:lineRule="exact"/>
        <w:rPr>
          <w:sz w:val="20"/>
          <w:szCs w:val="20"/>
          <w:color w:val="auto"/>
        </w:rPr>
      </w:pPr>
    </w:p>
    <w:p>
      <w:pPr>
        <w:ind w:left="120" w:right="120" w:hanging="4"/>
        <w:spacing w:after="0" w:line="252" w:lineRule="auto"/>
        <w:tabs>
          <w:tab w:leader="none" w:pos="3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result in the foreign investor acquiring control over the investee enterprise. A foreign investor is deemed to have “control” over an investee enterprise if (i) the foreign investor holds 50% or more of the equity interests in the enterprise, (ii) has significant influence in the investee enterprise either at the board or the shareholder level by virtue of its voting power even if it holds less than 50% of the equity interests, or (iii) it is otherwise able to exert significant influence over the enterprise’s business decisions, human resources, finance and technology. While we are not and have not been subject to the requirement of security review, we may in the future pursue potential strategic acquisitions which may require us to comply with the requirements of the above-mentioned rules.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Value-added Telecommunications Services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Foreign Investment in Value-Added Telecommunications</w:t>
      </w:r>
    </w:p>
    <w:p>
      <w:pPr>
        <w:spacing w:after="0" w:line="11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Foreign direct investment in telecommunications companies in mainland China is regulated by the </w:t>
      </w:r>
      <w:r>
        <w:rPr>
          <w:rFonts w:ascii="Times New Roman" w:cs="Times New Roman" w:eastAsia="Times New Roman" w:hAnsi="Times New Roman"/>
          <w:sz w:val="18"/>
          <w:szCs w:val="18"/>
          <w:i w:val="1"/>
          <w:iCs w:val="1"/>
          <w:color w:val="auto"/>
        </w:rPr>
        <w:t>Administrative Provisions of Foreign-Invested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Telecommunications Enterprises</w:t>
      </w:r>
      <w:r>
        <w:rPr>
          <w:rFonts w:ascii="Times New Roman" w:cs="Times New Roman" w:eastAsia="Times New Roman" w:hAnsi="Times New Roman"/>
          <w:sz w:val="18"/>
          <w:szCs w:val="18"/>
          <w:color w:val="auto"/>
        </w:rPr>
        <w:t>, or the FITE Regulation, which was issued by the State Council on December 11, 2001, and most recently amended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March 29, 2022. The FITE Regulation stipulates that a foreign-invested telecommunications enterprise in the PRC, or the FITE, refers to an enterprise legally established by a foreign investor within the territory of the PRC to operate telecommunications business. Under the FITE Regulation and in accordance with WTO-related agreements, unless otherwise stipulated by the State, the foreign party investing in an FITE that engages in value-added telecommunications services may hold up to 50% of the ultimate equity interests of the FITE. An FITE shall apply for a telecommunications business license from the Ministry of Industry and Information Technology, or the MIIT, upon completion of its registration with the competent market supervisory authority. The relevant PRC authorities retain considerable discretion in granting such approvals. Furthermore, a foreign party investing in e-commerce business, as a type of value-added telecommunications services, has been allowed to hold up to 100% of the equity interests of an FITE based on the </w:t>
      </w:r>
      <w:r>
        <w:rPr>
          <w:rFonts w:ascii="Times New Roman" w:cs="Times New Roman" w:eastAsia="Times New Roman" w:hAnsi="Times New Roman"/>
          <w:sz w:val="18"/>
          <w:szCs w:val="18"/>
          <w:i w:val="1"/>
          <w:iCs w:val="1"/>
          <w:color w:val="auto"/>
        </w:rPr>
        <w:t>Circular of the Ministry of Industry and Information Technology on Removing the Restrictions on Shareholding Ratio Held by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Investors in Online Data Processing and Transaction Processing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Operating E-commerce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Business </w:t>
      </w:r>
      <w:r>
        <w:rPr>
          <w:rFonts w:ascii="Times New Roman" w:cs="Times New Roman" w:eastAsia="Times New Roman" w:hAnsi="Times New Roman"/>
          <w:sz w:val="18"/>
          <w:szCs w:val="18"/>
          <w:color w:val="auto"/>
        </w:rPr>
        <w:t>issued on June 19, 2015 and the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effective </w:t>
      </w:r>
      <w:r>
        <w:rPr>
          <w:rFonts w:ascii="Times New Roman" w:cs="Times New Roman" w:eastAsia="Times New Roman" w:hAnsi="Times New Roman"/>
          <w:sz w:val="18"/>
          <w:szCs w:val="18"/>
          <w:i w:val="1"/>
          <w:iCs w:val="1"/>
          <w:color w:val="auto"/>
        </w:rPr>
        <w:t>Catalogue of Telecommunications Services</w:t>
      </w:r>
      <w:r>
        <w:rPr>
          <w:rFonts w:ascii="Times New Roman" w:cs="Times New Roman" w:eastAsia="Times New Roman" w:hAnsi="Times New Roman"/>
          <w:sz w:val="18"/>
          <w:szCs w:val="18"/>
          <w:color w:val="auto"/>
        </w:rPr>
        <w:t>, or the Telecom Catalog.</w:t>
      </w:r>
    </w:p>
    <w:p>
      <w:pPr>
        <w:spacing w:after="0" w:line="19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On July 13, 2006, the Ministry of Information Industry of the PRC, or the MII (which is the predecessor of the MIIT) promulgated the </w:t>
      </w:r>
      <w:r>
        <w:rPr>
          <w:rFonts w:ascii="Times New Roman" w:cs="Times New Roman" w:eastAsia="Times New Roman" w:hAnsi="Times New Roman"/>
          <w:sz w:val="18"/>
          <w:szCs w:val="18"/>
          <w:i w:val="1"/>
          <w:iCs w:val="1"/>
          <w:color w:val="auto"/>
        </w:rPr>
        <w:t>Notice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Ministry of Information Industry on Strengthening the Administration of Foreign Investment in Value-added Telecommunications Services, </w:t>
      </w:r>
      <w:r>
        <w:rPr>
          <w:rFonts w:ascii="Times New Roman" w:cs="Times New Roman" w:eastAsia="Times New Roman" w:hAnsi="Times New Roman"/>
          <w:sz w:val="18"/>
          <w:szCs w:val="18"/>
          <w:color w:val="auto"/>
        </w:rPr>
        <w:t>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MII Notice, which reiterates certain requirements of the FITE Regulation and strengthens the administrative authority of the MII. Under the MII Notice, if a foreign investor intends to invest in value-added telecommunications businesses in mainland China, it shall establish an FITE which shall apply for the relevant telecommunications business licenses. In addition, a domestic company that holds a license for the provision of value-added telecommunications services is prohibited from leasing, transferring or selling the license to foreign investors in any form, and from providing any assistance, including providing resources, sites or facilities, to foreign investors to allow the latter to conduct value-added telecommunications businesses in mainland China against the law. Trademarks and domain names that are used in the provision of value-added telecommunications services must be owned by the license holder or its shareholders. The MII Notice also requires that each value-added telecommunications service license holder must have appropriate facilities for its approved business operations and to maintain such facilities in the business regions covered by its license. The value-added telecommunications services license holder shall implement measures to safeguard its network and information, establish an administrative system to protect information security, set up procedures for the handling of emergencies relating to network and information security and designate responsibilities and allocation liabilities with respect to information security.</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00"/>
          </w:cols>
          <w:pgMar w:left="320" w:top="482" w:right="4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Telecommunications Regulations</w:t>
      </w:r>
    </w:p>
    <w:p>
      <w:pPr>
        <w:spacing w:after="0" w:line="11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Telecommunications Regulations of the People’s Republic of China</w:t>
      </w:r>
      <w:r>
        <w:rPr>
          <w:rFonts w:ascii="Times New Roman" w:cs="Times New Roman" w:eastAsia="Times New Roman" w:hAnsi="Times New Roman"/>
          <w:sz w:val="18"/>
          <w:szCs w:val="18"/>
          <w:color w:val="auto"/>
        </w:rPr>
        <w:t>, or the Telecom Regulations, promulgated on September 25, 2000, and most recently amended on February 6, 2016, is the primary law governing telecommunications services, and sets out the general framework for the provision of telecommunications services by PRC companies. The Telecom Regulations require that telecommunications service providers obtain operating licenses prior to commencing operations. The Telecom Regulations draws a distinction between basic telecommunications services and value-added telecommunications services. Based on the Telecom Catalog promulgated by the MII on February 21, 2003 and most recently amended by the MIIT on June 6, 2019, “internet information services” and “online data processing and transaction processing” are identified as value-added telecommunications services.</w:t>
      </w:r>
    </w:p>
    <w:p>
      <w:pPr>
        <w:spacing w:after="0" w:line="18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On July 3, 2017, the MIIT issued the revised </w:t>
      </w:r>
      <w:r>
        <w:rPr>
          <w:rFonts w:ascii="Times New Roman" w:cs="Times New Roman" w:eastAsia="Times New Roman" w:hAnsi="Times New Roman"/>
          <w:sz w:val="18"/>
          <w:szCs w:val="18"/>
          <w:i w:val="1"/>
          <w:iCs w:val="1"/>
          <w:color w:val="auto"/>
        </w:rPr>
        <w:t>Administrative Measures for the Licensing of Telecommunications Business</w:t>
      </w:r>
      <w:r>
        <w:rPr>
          <w:rFonts w:ascii="Times New Roman" w:cs="Times New Roman" w:eastAsia="Times New Roman" w:hAnsi="Times New Roman"/>
          <w:sz w:val="18"/>
          <w:szCs w:val="18"/>
          <w:color w:val="auto"/>
        </w:rPr>
        <w:t>, or the Telecom License Measures, which became effective on September 1, 2017, to supplement the Telecom Regulations. The Telecom License Measures require that an operator of value-added telecommunications services shall obtain a value-added telecommunications business operating license from the MIIT or its provincial-level counterparts. The term of a value-added telecommunications business license is five years and subject to annual inspection.</w:t>
      </w:r>
    </w:p>
    <w:p>
      <w:pPr>
        <w:spacing w:after="0" w:line="180" w:lineRule="exact"/>
        <w:rPr>
          <w:sz w:val="20"/>
          <w:szCs w:val="20"/>
          <w:color w:val="auto"/>
        </w:rPr>
      </w:pPr>
    </w:p>
    <w:p>
      <w:pPr>
        <w:ind w:left="120" w:right="140" w:firstLine="440"/>
        <w:spacing w:after="0" w:line="257"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Administrative Measures on Internet Information Services</w:t>
      </w:r>
      <w:r>
        <w:rPr>
          <w:rFonts w:ascii="Times New Roman" w:cs="Times New Roman" w:eastAsia="Times New Roman" w:hAnsi="Times New Roman"/>
          <w:sz w:val="18"/>
          <w:szCs w:val="18"/>
          <w:color w:val="auto"/>
        </w:rPr>
        <w:t>, promulgated by the State Council on September 25, 2000, and most recently amended on January 8, 2011, “internet information services” refer to the provision of information through the internet to online users, and can be categorized into “commercial internet information services” and “non-commercial internet information services.” A commercial operator of internet content provision services must obtain a value-added telecommunications business operating license, or the ICP License, for the provision of internet information services from the appropriate telecommunications authorities. The ICP License is however not required if the operator will only provide internet information on a non-commercial basis.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Regulations on Mobile Internet Applications</w:t>
      </w:r>
    </w:p>
    <w:p>
      <w:pPr>
        <w:spacing w:after="0" w:line="117" w:lineRule="exact"/>
        <w:rPr>
          <w:sz w:val="20"/>
          <w:szCs w:val="20"/>
          <w:color w:val="auto"/>
        </w:rPr>
      </w:pPr>
    </w:p>
    <w:p>
      <w:pPr>
        <w:ind w:left="120" w:right="100" w:firstLine="440"/>
        <w:spacing w:after="0" w:line="284" w:lineRule="auto"/>
        <w:rPr>
          <w:sz w:val="20"/>
          <w:szCs w:val="20"/>
          <w:color w:val="auto"/>
        </w:rPr>
      </w:pPr>
      <w:r>
        <w:rPr>
          <w:rFonts w:ascii="Times New Roman" w:cs="Times New Roman" w:eastAsia="Times New Roman" w:hAnsi="Times New Roman"/>
          <w:sz w:val="18"/>
          <w:szCs w:val="18"/>
          <w:color w:val="auto"/>
        </w:rPr>
        <w:t xml:space="preserve">We conduct online ride-hailing services mainly through </w:t>
      </w:r>
      <w:r>
        <w:rPr>
          <w:rFonts w:ascii="Times New Roman" w:cs="Times New Roman" w:eastAsia="Times New Roman" w:hAnsi="Times New Roman"/>
          <w:sz w:val="18"/>
          <w:szCs w:val="18"/>
          <w:i w:val="1"/>
          <w:iCs w:val="1"/>
          <w:color w:val="auto"/>
        </w:rPr>
        <w:t>WeRide Go</w:t>
      </w:r>
      <w:r>
        <w:rPr>
          <w:rFonts w:ascii="Times New Roman" w:cs="Times New Roman" w:eastAsia="Times New Roman" w:hAnsi="Times New Roman"/>
          <w:sz w:val="18"/>
          <w:szCs w:val="18"/>
          <w:color w:val="auto"/>
        </w:rPr>
        <w:t>, the mobile application owned and operated by our subsidiary. As a result, we may be subject to PRC law in respect of mobile internet applications.</w:t>
      </w:r>
    </w:p>
    <w:p>
      <w:pPr>
        <w:spacing w:after="0" w:line="15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On June 28, 2016, the CAC promulgated </w:t>
      </w:r>
      <w:r>
        <w:rPr>
          <w:rFonts w:ascii="Times New Roman" w:cs="Times New Roman" w:eastAsia="Times New Roman" w:hAnsi="Times New Roman"/>
          <w:sz w:val="18"/>
          <w:szCs w:val="18"/>
          <w:i w:val="1"/>
          <w:iCs w:val="1"/>
          <w:color w:val="auto"/>
        </w:rPr>
        <w:t>the Administrative Provisions on Mobile Internet Application Information Services</w:t>
      </w:r>
      <w:r>
        <w:rPr>
          <w:rFonts w:ascii="Times New Roman" w:cs="Times New Roman" w:eastAsia="Times New Roman" w:hAnsi="Times New Roman"/>
          <w:sz w:val="18"/>
          <w:szCs w:val="18"/>
          <w:color w:val="auto"/>
        </w:rPr>
        <w:t>, or the Mobile Application Administrative Provisions, which was subsequently amended on June 14, 2022 and took effect on August 1, 2022. Pursuant to the Mobile Application Administrative Provisions, a “mobile internet app” refers to an app that runs on mobile smart devices providing information services. “Mobile internet app providers” refers to the owners or operators of mobile internet apps. Pursuant to the Mobile Application Administrative Provisions, a provider of mobile internet app who provides information releasing service, instant messaging service or any other services must verify a user’s mobile phone number, identity number, unified social credit code or other identity information. Mobile internet app providers shall process personal information by following the principles of lawfulness, legitimacy, necessity, and good faith, have clear and reasonable purposes, disclose protocols relating to the processing of personal information, comply with the relevant provisions on the scope of necessary personal information, regulate personal information processing activities, take necessary measures to safeguard the security of personal information, and shall not force users to consent to the processing of personal information for any reason, or refuse to provide basic functional services to users on the ground that such users fail to agree to provide personal information that is unnecessary.</w:t>
      </w:r>
    </w:p>
    <w:p>
      <w:pPr>
        <w:spacing w:after="0" w:line="192" w:lineRule="exact"/>
        <w:rPr>
          <w:sz w:val="20"/>
          <w:szCs w:val="20"/>
          <w:color w:val="auto"/>
        </w:rPr>
      </w:pPr>
    </w:p>
    <w:p>
      <w:pPr>
        <w:ind w:left="120" w:right="100" w:firstLine="440"/>
        <w:spacing w:after="0" w:line="277" w:lineRule="auto"/>
        <w:rPr>
          <w:sz w:val="20"/>
          <w:szCs w:val="20"/>
          <w:color w:val="auto"/>
        </w:rPr>
      </w:pPr>
      <w:r>
        <w:rPr>
          <w:rFonts w:ascii="Times New Roman" w:cs="Times New Roman" w:eastAsia="Times New Roman" w:hAnsi="Times New Roman"/>
          <w:sz w:val="17"/>
          <w:szCs w:val="17"/>
          <w:color w:val="auto"/>
        </w:rPr>
        <w:t xml:space="preserve">On December 16, 2016, the MIIT promulgated </w:t>
      </w:r>
      <w:r>
        <w:rPr>
          <w:rFonts w:ascii="Times New Roman" w:cs="Times New Roman" w:eastAsia="Times New Roman" w:hAnsi="Times New Roman"/>
          <w:sz w:val="17"/>
          <w:szCs w:val="17"/>
          <w:i w:val="1"/>
          <w:iCs w:val="1"/>
          <w:color w:val="auto"/>
        </w:rPr>
        <w:t>the Interim Measures on the Administration of Pre-Installation and Distribution of Applications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for Mobile Smart Terminals</w:t>
      </w:r>
      <w:r>
        <w:rPr>
          <w:rFonts w:ascii="Times New Roman" w:cs="Times New Roman" w:eastAsia="Times New Roman" w:hAnsi="Times New Roman"/>
          <w:sz w:val="17"/>
          <w:szCs w:val="17"/>
          <w:color w:val="auto"/>
        </w:rPr>
        <w:t>, or the Interim Measures, which came into effect on July 1, 2017. The Interim Measures aims to enhance the administration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mobile apps, and requires, among others, that mobile phone manufacturers and internet information service providers must ensure that a mobile app, as well as its ancillary resource files, configuration files and user data can be uninstalled by a user conveniently, unless it is a basic function software. “Basic function software” refers to software that supports the standard functioning of the hardware and operating system of a mobile smart device.</w:t>
      </w:r>
    </w:p>
    <w:p>
      <w:pPr>
        <w:spacing w:after="0" w:line="1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40"/>
          </w:cols>
          <w:pgMar w:left="320" w:top="482" w:right="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Autonomous Driving Vehicles</w:t>
      </w:r>
    </w:p>
    <w:p>
      <w:pPr>
        <w:spacing w:after="0" w:line="119" w:lineRule="exact"/>
        <w:rPr>
          <w:sz w:val="20"/>
          <w:szCs w:val="20"/>
          <w:color w:val="auto"/>
        </w:rPr>
      </w:pPr>
    </w:p>
    <w:p>
      <w:pPr>
        <w:ind w:left="120" w:right="200" w:firstLine="440"/>
        <w:spacing w:after="0" w:line="257" w:lineRule="auto"/>
        <w:rPr>
          <w:sz w:val="20"/>
          <w:szCs w:val="20"/>
          <w:color w:val="auto"/>
        </w:rPr>
      </w:pPr>
      <w:r>
        <w:rPr>
          <w:rFonts w:ascii="Times New Roman" w:cs="Times New Roman" w:eastAsia="Times New Roman" w:hAnsi="Times New Roman"/>
          <w:sz w:val="18"/>
          <w:szCs w:val="18"/>
          <w:color w:val="auto"/>
        </w:rPr>
        <w:t xml:space="preserve">The MIIT, the MPS, and the MOT issued the </w:t>
      </w:r>
      <w:r>
        <w:rPr>
          <w:rFonts w:ascii="Times New Roman" w:cs="Times New Roman" w:eastAsia="Times New Roman" w:hAnsi="Times New Roman"/>
          <w:sz w:val="18"/>
          <w:szCs w:val="18"/>
          <w:i w:val="1"/>
          <w:iCs w:val="1"/>
          <w:color w:val="auto"/>
        </w:rPr>
        <w:t>Circular on the Norms on Administration of Road Testing of Autonomous Driving Vehicles (Trial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Implementation) </w:t>
      </w:r>
      <w:r>
        <w:rPr>
          <w:rFonts w:ascii="Times New Roman" w:cs="Times New Roman" w:eastAsia="Times New Roman" w:hAnsi="Times New Roman"/>
          <w:sz w:val="18"/>
          <w:szCs w:val="18"/>
          <w:color w:val="auto"/>
        </w:rPr>
        <w:t>on April 3, 2018, or the Road Testing Circular, which became effective on May 1, 2018 and is the primary regulation governing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road testing of autonomous driving vehicles in the PRC. Pursuant to the Road Testing Circular, any entity intending to conduct a road testing of autonomous driving vehicles must apply for and obtain a road-testing certificate and a temporary license plate for each vehicle to be tested. To qualify for these required licenses, an applicant entity must satisfy applicable requirements set forth in the Road Testing Circular and comply with applicable rules and conditions during testing.</w:t>
      </w:r>
    </w:p>
    <w:p>
      <w:pPr>
        <w:spacing w:after="0" w:line="182" w:lineRule="exact"/>
        <w:rPr>
          <w:sz w:val="20"/>
          <w:szCs w:val="20"/>
          <w:color w:val="auto"/>
        </w:rPr>
      </w:pPr>
    </w:p>
    <w:p>
      <w:pPr>
        <w:ind w:left="120" w:right="180" w:firstLine="440"/>
        <w:spacing w:after="0" w:line="271" w:lineRule="auto"/>
        <w:rPr>
          <w:sz w:val="20"/>
          <w:szCs w:val="20"/>
          <w:color w:val="auto"/>
        </w:rPr>
      </w:pPr>
      <w:r>
        <w:rPr>
          <w:rFonts w:ascii="Times New Roman" w:cs="Times New Roman" w:eastAsia="Times New Roman" w:hAnsi="Times New Roman"/>
          <w:sz w:val="17"/>
          <w:szCs w:val="17"/>
          <w:color w:val="auto"/>
        </w:rPr>
        <w:t xml:space="preserve">On December 20, 2020, the MOT promulgated the </w:t>
      </w:r>
      <w:r>
        <w:rPr>
          <w:rFonts w:ascii="Times New Roman" w:cs="Times New Roman" w:eastAsia="Times New Roman" w:hAnsi="Times New Roman"/>
          <w:sz w:val="17"/>
          <w:szCs w:val="17"/>
          <w:i w:val="1"/>
          <w:iCs w:val="1"/>
          <w:color w:val="auto"/>
        </w:rPr>
        <w:t>Guiding Opinions on Promoting the Development and Application of Road Transport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Autonomous Driving Technologies</w:t>
      </w:r>
      <w:r>
        <w:rPr>
          <w:rFonts w:ascii="Times New Roman" w:cs="Times New Roman" w:eastAsia="Times New Roman" w:hAnsi="Times New Roman"/>
          <w:sz w:val="17"/>
          <w:szCs w:val="17"/>
          <w:color w:val="auto"/>
        </w:rPr>
        <w:t>, which clarified the development goal of the application of autonomous driving technology in road transportation.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Specifically, (i) by 2025, the research on the basic theory of autonomous driving has made positive progress, and key technologies such as road infrastructure intelligence, vehicle-road collaboration and product research and development and test verification have made important breakthroughs,</w:t>
      </w:r>
    </w:p>
    <w:p>
      <w:pPr>
        <w:spacing w:after="0" w:line="1" w:lineRule="exact"/>
        <w:rPr>
          <w:sz w:val="20"/>
          <w:szCs w:val="20"/>
          <w:color w:val="auto"/>
        </w:rPr>
      </w:pPr>
    </w:p>
    <w:p>
      <w:pPr>
        <w:ind w:left="120" w:right="20" w:hanging="4"/>
        <w:spacing w:after="0" w:line="255" w:lineRule="auto"/>
        <w:tabs>
          <w:tab w:leader="none" w:pos="38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basic and key standards for autonomous driving have been issued, and (iii) a number of national autonomous driving test bases and pilot application demonstration projects have been built to realize large-scale application in some scenarios and promote the industrialization of autonomous driving technology.</w:t>
      </w:r>
    </w:p>
    <w:p>
      <w:pPr>
        <w:spacing w:after="0" w:line="184" w:lineRule="exact"/>
        <w:rPr>
          <w:sz w:val="20"/>
          <w:szCs w:val="20"/>
          <w:color w:val="auto"/>
        </w:rPr>
      </w:pPr>
    </w:p>
    <w:p>
      <w:pPr>
        <w:ind w:left="120" w:right="160" w:firstLine="440"/>
        <w:spacing w:after="0" w:line="267" w:lineRule="auto"/>
        <w:rPr>
          <w:sz w:val="20"/>
          <w:szCs w:val="20"/>
          <w:color w:val="auto"/>
        </w:rPr>
      </w:pPr>
      <w:r>
        <w:rPr>
          <w:rFonts w:ascii="Times New Roman" w:cs="Times New Roman" w:eastAsia="Times New Roman" w:hAnsi="Times New Roman"/>
          <w:sz w:val="17"/>
          <w:szCs w:val="17"/>
          <w:color w:val="auto"/>
        </w:rPr>
        <w:t xml:space="preserve">On July 27, 2021, the MIIT, the MPS, and the MOT issued the </w:t>
      </w:r>
      <w:r>
        <w:rPr>
          <w:rFonts w:ascii="Times New Roman" w:cs="Times New Roman" w:eastAsia="Times New Roman" w:hAnsi="Times New Roman"/>
          <w:sz w:val="17"/>
          <w:szCs w:val="17"/>
          <w:i w:val="1"/>
          <w:iCs w:val="1"/>
          <w:color w:val="auto"/>
        </w:rPr>
        <w:t>Circular on the Norms on Administration of Road Testing and Demonstrative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Application of Autonomous Driving Vehicles (Trial Implementation), </w:t>
      </w:r>
      <w:r>
        <w:rPr>
          <w:rFonts w:ascii="Times New Roman" w:cs="Times New Roman" w:eastAsia="Times New Roman" w:hAnsi="Times New Roman"/>
          <w:sz w:val="17"/>
          <w:szCs w:val="17"/>
          <w:color w:val="auto"/>
        </w:rPr>
        <w:t>or the Road Testing and Demonstrative Application Circular, which replaced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Road Testing Circular. According to the Road Testing and Demonstrative Application Circular, a subject for road testing refers to an entity that applies for and organizes a road test for autonomous driving vehicles, and which shall bear corresponding liabilities. A subject for road testing must meet the following requirements: (i) it must be an independent legal entity registered within the territory of mainland China; (ii) it must possess the relevant business capacity, such as the capacity to carry out the manufacturing of automobiles and parts thereof, technological research and development, or experiments and tests; (iii) it must have sufficient capacity to pay civil compensatory damages that may arise from potential personal injuries and property losses caused by road tests; (iv) it must have a set of rules to evaluate the testing of self-driving functions; (v) it must have the ability to conduct real-time and remote monitoring of testing vehicles; (vi) it must have the ability to record, analyze and replay events during the road testing;</w:t>
      </w:r>
    </w:p>
    <w:p>
      <w:pPr>
        <w:spacing w:after="0" w:line="7" w:lineRule="exact"/>
        <w:rPr>
          <w:sz w:val="20"/>
          <w:szCs w:val="20"/>
          <w:color w:val="auto"/>
        </w:rPr>
      </w:pPr>
    </w:p>
    <w:p>
      <w:pPr>
        <w:ind w:left="120" w:hanging="4"/>
        <w:spacing w:after="0" w:line="251" w:lineRule="auto"/>
        <w:tabs>
          <w:tab w:leader="none" w:pos="4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must have the ability to safeguard the network security of testing vehicles and the remote monitoring platform; and (viii) other conditions stipulated by laws, administrative regulations and rules. Prior to conducting a road test, a subject for road tests shall ensure that the testing vehicle (i) has undergone sufficient field tests in specific locations such as a testing area (site), (ii) complies with applicable national and industry standards and specifications, testing requirements issued by competent authorities of the provincial or municipal government as well as the evaluation rules of the subject for road tests, and (iii) meets the conditions for road tests. After confirmation is received from the competent authorities, the subject for road tests shall apply to the traffic management department for a temporary car number plate for the testing vehicle. Once a temporary car number plate expires, the subject for road tests may apply for a new temporary car number plate by providing the self-declaration regarding the safety of tested vehicles, which is still within the validity period. Several local governments, such as in Shenzhen, Wuhan, Guangzhou, Zhengzhou, Nanjing, Qionghai, Wuxi, Dalian, Suzhou, Ordos, Qingdao, and Beijing, have additionally issued or applied local rules and regulations to regulate road testing of autonomous driving cars.</w:t>
      </w:r>
    </w:p>
    <w:p>
      <w:pPr>
        <w:spacing w:after="0" w:line="19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On July 30, 2021, the MIIT promulgated the </w:t>
      </w:r>
      <w:r>
        <w:rPr>
          <w:rFonts w:ascii="Times New Roman" w:cs="Times New Roman" w:eastAsia="Times New Roman" w:hAnsi="Times New Roman"/>
          <w:sz w:val="18"/>
          <w:szCs w:val="18"/>
          <w:i w:val="1"/>
          <w:iCs w:val="1"/>
          <w:color w:val="auto"/>
        </w:rPr>
        <w:t>Opinions on Strengthening the Management of Intelligent Networked Vehicle Manufacturing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Enterprises and Product Admission</w:t>
      </w:r>
      <w:r>
        <w:rPr>
          <w:rFonts w:ascii="Times New Roman" w:cs="Times New Roman" w:eastAsia="Times New Roman" w:hAnsi="Times New Roman"/>
          <w:sz w:val="18"/>
          <w:szCs w:val="18"/>
          <w:color w:val="auto"/>
        </w:rPr>
        <w:t>, or the Opinion, which provide that enterprises should strengthen data security management ability and network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guarantee ability, as well as strengthen management ability and ensure product production consistency. Moreover, enterprises should strengthen product management: (i) Enterprises should strictly perform the obligation of informing. Where the enterprise produces automobile products with driving assistance and autonomous driving functions, it shall clearly inform the vehicle functions and performance limits, driver responsibilities, human-computer interaction equipment indication information, function activation and exit methods and conditions, and more; (ii) Enterprises should strengthen the safety management of combined driving assistance products; (iii) Enterprises should strengthen the safety management of autonomous driving function products; (iv) Enterprises ensure reliable space-time information services.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82"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color w:val="auto"/>
        </w:rPr>
        <w:t xml:space="preserve">On June 30, 2022, the Standing Committee of the Shenzhen Municipal People’s Congress issued the </w:t>
      </w:r>
      <w:r>
        <w:rPr>
          <w:rFonts w:ascii="Times New Roman" w:cs="Times New Roman" w:eastAsia="Times New Roman" w:hAnsi="Times New Roman"/>
          <w:sz w:val="18"/>
          <w:szCs w:val="18"/>
          <w:i w:val="1"/>
          <w:iCs w:val="1"/>
          <w:color w:val="auto"/>
        </w:rPr>
        <w:t>Regulations on the Administration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Intelligent Connected Vehicles in Shenzhen Special Economic Zone</w:t>
      </w:r>
      <w:r>
        <w:rPr>
          <w:rFonts w:ascii="Times New Roman" w:cs="Times New Roman" w:eastAsia="Times New Roman" w:hAnsi="Times New Roman"/>
          <w:sz w:val="18"/>
          <w:szCs w:val="18"/>
          <w:color w:val="auto"/>
        </w:rPr>
        <w:t>, which came into effect on August 1,2022. Pursuant to the foregoing regulation,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intelligent connected vehicles can be sold after being listed in the national automobile product catalog or the Shenzhen intelligent connected vehicle product catalog, and getting access by the industry and information technology authorities; intelligent connected vehicles can be driven on the road after registration with the traffic management department of the public security authority, with the permission of the transportation department, intelligent connected vehicles can engage in road transport business.</w:t>
      </w:r>
    </w:p>
    <w:p>
      <w:pPr>
        <w:spacing w:after="0" w:line="184" w:lineRule="exact"/>
        <w:rPr>
          <w:sz w:val="20"/>
          <w:szCs w:val="20"/>
          <w:color w:val="auto"/>
        </w:rPr>
      </w:pPr>
    </w:p>
    <w:p>
      <w:pPr>
        <w:ind w:left="120" w:right="200" w:firstLine="440"/>
        <w:spacing w:after="0" w:line="276" w:lineRule="auto"/>
        <w:rPr>
          <w:sz w:val="20"/>
          <w:szCs w:val="20"/>
          <w:color w:val="auto"/>
        </w:rPr>
      </w:pPr>
      <w:r>
        <w:rPr>
          <w:rFonts w:ascii="Times New Roman" w:cs="Times New Roman" w:eastAsia="Times New Roman" w:hAnsi="Times New Roman"/>
          <w:sz w:val="17"/>
          <w:szCs w:val="17"/>
          <w:color w:val="auto"/>
        </w:rPr>
        <w:t xml:space="preserve">On November 17, 2023, the MIIT, the MPS, the MOT, and the Ministry of Housing and Urban-Rural Development of the PRC jointly issued the </w:t>
      </w:r>
      <w:r>
        <w:rPr>
          <w:rFonts w:ascii="Times New Roman" w:cs="Times New Roman" w:eastAsia="Times New Roman" w:hAnsi="Times New Roman"/>
          <w:sz w:val="17"/>
          <w:szCs w:val="17"/>
          <w:i w:val="1"/>
          <w:iCs w:val="1"/>
          <w:color w:val="auto"/>
        </w:rPr>
        <w:t>Notice regarding the Pilot Implementation of Intelligent Connected Vehicle Access,</w:t>
      </w:r>
      <w:r>
        <w:rPr>
          <w:rFonts w:ascii="Times New Roman" w:cs="Times New Roman" w:eastAsia="Times New Roman" w:hAnsi="Times New Roman"/>
          <w:sz w:val="17"/>
          <w:szCs w:val="17"/>
          <w:color w:val="auto"/>
        </w:rPr>
        <w:t xml:space="preserve"> which came into effect on the same day. Such notice applies to</w:t>
      </w:r>
    </w:p>
    <w:p>
      <w:pPr>
        <w:spacing w:after="0" w:line="1" w:lineRule="exact"/>
        <w:rPr>
          <w:sz w:val="20"/>
          <w:szCs w:val="20"/>
          <w:color w:val="auto"/>
        </w:rPr>
      </w:pPr>
    </w:p>
    <w:p>
      <w:pPr>
        <w:ind w:left="120" w:right="240" w:hanging="4"/>
        <w:spacing w:after="0" w:line="253" w:lineRule="auto"/>
        <w:tabs>
          <w:tab w:leader="none" w:pos="3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access pilot for intelligent connected vehicle products equipped with autonomous driving functions and (2) the intelligent connected vehicles that have gained access to carry out road access pilots in restricted areas. To carry out the product access pilot, the applicant must first obtain confirmation from the MIIT and the MPS. They must also pass tests and safety assessments supervised by provincial authorities and city government departments where the vehicles operate. Only then can they submit the application for product access to the MIIT. Additionally, the applicant must purchase insurance for the vehicle and complete the registration process.</w:t>
      </w:r>
    </w:p>
    <w:p>
      <w:pPr>
        <w:spacing w:after="0" w:line="18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On November 21, 2023, the MOT issued the </w:t>
      </w:r>
      <w:r>
        <w:rPr>
          <w:rFonts w:ascii="Times New Roman" w:cs="Times New Roman" w:eastAsia="Times New Roman" w:hAnsi="Times New Roman"/>
          <w:sz w:val="18"/>
          <w:szCs w:val="18"/>
          <w:i w:val="1"/>
          <w:iCs w:val="1"/>
          <w:color w:val="auto"/>
        </w:rPr>
        <w:t>Service Guidelines on Transportation Safety for Autonomous Driving Vehicles (for Trial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Implementation)</w:t>
      </w:r>
      <w:r>
        <w:rPr>
          <w:rFonts w:ascii="Times New Roman" w:cs="Times New Roman" w:eastAsia="Times New Roman" w:hAnsi="Times New Roman"/>
          <w:sz w:val="18"/>
          <w:szCs w:val="18"/>
          <w:color w:val="auto"/>
        </w:rPr>
        <w:t>, which came into effect on the same day. Such service guidelines regulate the use of autonomous driving vehicles to engage in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types of transportation operations on different roadways, and specify the specific scenarios and conditions applicable to the use of autonomous driving vehicles in different transportation operations. According to the service guidelines, autonomous driving transportation operators must register, obtain the corresponding business licenses, and meet specific insurance requirements for certain operations. The operators need to comply with relevant standards and regulations, including vehicle registration, obtaining necessary documents, providing traffic accident liability insurance, and meeting specific safety technology standards for certain operations. Autonomous driving vehicles need to be equipped with appropriate safety and security personnel. Relevant authority will strengthen daily supervision and inspection of autonomous driving vehicle transportation activities, and require the operators to rectify any significant safety issues that arise. Operators must report to the competent authorities if they find any technical defect, hidden danger and problem of the autonomous driving vehicles.</w:t>
      </w:r>
    </w:p>
    <w:p>
      <w:pPr>
        <w:spacing w:after="0" w:line="185"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 xml:space="preserve">On December 31, 2024, the Standing Committee of the Beijing Municipal People’s Congress issued the </w:t>
      </w:r>
      <w:r>
        <w:rPr>
          <w:rFonts w:ascii="Times New Roman" w:cs="Times New Roman" w:eastAsia="Times New Roman" w:hAnsi="Times New Roman"/>
          <w:sz w:val="17"/>
          <w:szCs w:val="17"/>
          <w:i w:val="1"/>
          <w:iCs w:val="1"/>
          <w:color w:val="auto"/>
        </w:rPr>
        <w:t>Regulations of Beijing Municipality 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autonomous vehicle</w:t>
      </w:r>
      <w:r>
        <w:rPr>
          <w:rFonts w:ascii="Times New Roman" w:cs="Times New Roman" w:eastAsia="Times New Roman" w:hAnsi="Times New Roman"/>
          <w:sz w:val="17"/>
          <w:szCs w:val="17"/>
          <w:color w:val="auto"/>
        </w:rPr>
        <w:t>, which will come into effect on April 1, 2025. Pursuant to the foregoing regulation, enterprises related to autonomous vehicle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need to test autonomous driving functions in this city can apply for road testing activities. If the road testing activities have been completed and meet the specified conditions, and it is necessary to test the application scenarios of people and vehicles, demonstration application activities can be applied for.</w:t>
      </w:r>
    </w:p>
    <w:p>
      <w:pPr>
        <w:spacing w:after="0" w:line="166"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On February 25, 2025, the MIIT, the SAMR jointly issued the Notice on Further Strengthening the Administration of the Market Access, Recall and Online Software Upgrading of Intelligent Connected Automobiles, which came into effect on the same day. Such notice implements the Opinion and other relevant regulations, to further improve the management of access and recall of intelligent connected vehicle products equipped with combined driving assistance systems and Over-The-Air technology, or the OTA upgrade, and to regulate the activities of automobile production enterprises with OTA upgrade.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Urban Solid Waste Services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On August 10, 1993, the Ministry of Construction (which was the predecessor of Ministry of Housing and Urban-Rural Development of the PRC) promulgated the </w:t>
      </w:r>
      <w:r>
        <w:rPr>
          <w:rFonts w:ascii="Times New Roman" w:cs="Times New Roman" w:eastAsia="Times New Roman" w:hAnsi="Times New Roman"/>
          <w:sz w:val="18"/>
          <w:szCs w:val="18"/>
          <w:i w:val="1"/>
          <w:iCs w:val="1"/>
          <w:color w:val="auto"/>
        </w:rPr>
        <w:t>Measures for the Management of Urban Solid Waste,</w:t>
      </w:r>
      <w:r>
        <w:rPr>
          <w:rFonts w:ascii="Times New Roman" w:cs="Times New Roman" w:eastAsia="Times New Roman" w:hAnsi="Times New Roman"/>
          <w:sz w:val="18"/>
          <w:szCs w:val="18"/>
          <w:color w:val="auto"/>
        </w:rPr>
        <w:t xml:space="preserve"> which was recently amended on May 4, 2015. According to the </w:t>
      </w:r>
      <w:r>
        <w:rPr>
          <w:rFonts w:ascii="Times New Roman" w:cs="Times New Roman" w:eastAsia="Times New Roman" w:hAnsi="Times New Roman"/>
          <w:sz w:val="18"/>
          <w:szCs w:val="18"/>
          <w:i w:val="1"/>
          <w:iCs w:val="1"/>
          <w:color w:val="auto"/>
        </w:rPr>
        <w:t>Measures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 of Urban Solid Waste</w:t>
      </w:r>
      <w:r>
        <w:rPr>
          <w:rFonts w:ascii="Times New Roman" w:cs="Times New Roman" w:eastAsia="Times New Roman" w:hAnsi="Times New Roman"/>
          <w:sz w:val="18"/>
          <w:szCs w:val="18"/>
          <w:color w:val="auto"/>
        </w:rPr>
        <w:t>, enterprises that engage in commercial cleaning, collection and transportation of urban solid waste shall obtain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 for the service of commercial cleaning, collecting and transporting urban solid waste. Currently, several of our subsidiaries hold the licenses for the service of cleaning, collecting and transporting urban solid waste.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82"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Online Ride-Hailing Services</w:t>
      </w:r>
    </w:p>
    <w:p>
      <w:pPr>
        <w:spacing w:after="0" w:line="119"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On July 9, 2014, the General Office of the MOT promulgated the </w:t>
      </w:r>
      <w:r>
        <w:rPr>
          <w:rFonts w:ascii="Times New Roman" w:cs="Times New Roman" w:eastAsia="Times New Roman" w:hAnsi="Times New Roman"/>
          <w:sz w:val="18"/>
          <w:szCs w:val="18"/>
          <w:i w:val="1"/>
          <w:iCs w:val="1"/>
          <w:color w:val="auto"/>
        </w:rPr>
        <w:t>Notice on Promoting the Orderly Development of Online Taxi-Hailing Services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by Mobile Phone Software</w:t>
      </w:r>
      <w:r>
        <w:rPr>
          <w:rFonts w:ascii="Times New Roman" w:cs="Times New Roman" w:eastAsia="Times New Roman" w:hAnsi="Times New Roman"/>
          <w:sz w:val="18"/>
          <w:szCs w:val="18"/>
          <w:color w:val="auto"/>
        </w:rPr>
        <w:t>, which, among others: (i) requires local transportation authorities to strengthen market supervision over mobile-based online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taxi-hailing services offered through mobile phones to protect the legitimate rights and interests of all parties involved; (ii) encourages mobile-based online taxi-hailing service providers to take advantage of their strengths, enhance order management, optimize order dispatch rules, improve standard of service and participate in the establishment of taxi service management information platform and technological transformation; and (iii) requires local transportation authorities to accelerate the establishment and improvement of taxi-service management information systems.</w:t>
      </w:r>
    </w:p>
    <w:p>
      <w:pPr>
        <w:spacing w:after="0" w:line="182"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On July 27, 2016, the MOT, the MIIT, the MPS, the MOFCOM, the SAMR and the CAC jointly promulgated the </w:t>
      </w:r>
      <w:r>
        <w:rPr>
          <w:rFonts w:ascii="Times New Roman" w:cs="Times New Roman" w:eastAsia="Times New Roman" w:hAnsi="Times New Roman"/>
          <w:sz w:val="18"/>
          <w:szCs w:val="18"/>
          <w:i w:val="1"/>
          <w:iCs w:val="1"/>
          <w:color w:val="auto"/>
        </w:rPr>
        <w:t>Interim Measures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 of Online Ride-Hailing Operation and Service</w:t>
      </w:r>
      <w:r>
        <w:rPr>
          <w:rFonts w:ascii="Times New Roman" w:cs="Times New Roman" w:eastAsia="Times New Roman" w:hAnsi="Times New Roman"/>
          <w:sz w:val="18"/>
          <w:szCs w:val="18"/>
          <w:color w:val="auto"/>
        </w:rPr>
        <w:t>, which was latest amended and became effective on November 30, 2022, to regulate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activities of online ride-hailing services, and ensure the operational safety for passengers. Before carrying out online ride-hailing services, an online ride-hailing service platform company shall obtain the permit for online ride-hailing business and complete the record filing of internet information services at the provincial communications administration authorities of the place of its registration.</w:t>
      </w:r>
    </w:p>
    <w:p>
      <w:pPr>
        <w:spacing w:after="0" w:line="183" w:lineRule="exact"/>
        <w:rPr>
          <w:sz w:val="20"/>
          <w:szCs w:val="20"/>
          <w:color w:val="auto"/>
        </w:rPr>
      </w:pPr>
    </w:p>
    <w:p>
      <w:pPr>
        <w:ind w:left="120" w:right="5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We conduct online ride-hailing services primarily through </w:t>
      </w:r>
      <w:r>
        <w:rPr>
          <w:rFonts w:ascii="Times New Roman" w:cs="Times New Roman" w:eastAsia="Times New Roman" w:hAnsi="Times New Roman"/>
          <w:sz w:val="18"/>
          <w:szCs w:val="18"/>
          <w:i w:val="1"/>
          <w:iCs w:val="1"/>
          <w:color w:val="auto"/>
        </w:rPr>
        <w:t>WeRide Go</w:t>
      </w:r>
      <w:r>
        <w:rPr>
          <w:rFonts w:ascii="Times New Roman" w:cs="Times New Roman" w:eastAsia="Times New Roman" w:hAnsi="Times New Roman"/>
          <w:sz w:val="18"/>
          <w:szCs w:val="18"/>
          <w:color w:val="auto"/>
        </w:rPr>
        <w:t xml:space="preserve"> and we have obtained the permit for online ride-hailing business and completed the applicable record filing for internet information services as of the date of this annual report.</w:t>
      </w:r>
    </w:p>
    <w:p>
      <w:pPr>
        <w:spacing w:after="0" w:line="15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On September 30, 2014, the MOT promulgated the </w:t>
      </w:r>
      <w:r>
        <w:rPr>
          <w:rFonts w:ascii="Times New Roman" w:cs="Times New Roman" w:eastAsia="Times New Roman" w:hAnsi="Times New Roman"/>
          <w:sz w:val="18"/>
          <w:szCs w:val="18"/>
          <w:i w:val="1"/>
          <w:iCs w:val="1"/>
          <w:color w:val="auto"/>
        </w:rPr>
        <w:t>Provisions on the Administration of Cruising Taxi Operating Services</w:t>
      </w:r>
      <w:r>
        <w:rPr>
          <w:rFonts w:ascii="Times New Roman" w:cs="Times New Roman" w:eastAsia="Times New Roman" w:hAnsi="Times New Roman"/>
          <w:sz w:val="18"/>
          <w:szCs w:val="18"/>
          <w:color w:val="auto"/>
        </w:rPr>
        <w:t>, or the Cruising Taxi Administration Provisions, which was mostly recently amended on August 11, 2021. The Cruising Taxi Administration Provisions provides that (i) “cruising taxi online hailing services” refer to provision of cruising taxi operating services at the time and location designated by the passengers through means of telecommunications or the internet; (ii) platforms providing cruising online taxi-hailing services shall provide round-the-clock services and dispatch taxis in accordance with the requirements of the passengers; and (iii) cruising taxi drivers shall arrive at such location and time in accordance with the requirements of the passengers in a timely manner, communicate with online taxi hailing service providers or passengers when the passengers fail to show up at the agreed location on time, and provide a confirmation to online taxi hailing service providers when the passengers are onboard. The Cruising Taxi Administration Provisions further provides that cruising online taxi hailing services shall be carried out at different locations based on the actual condition so as to establish and improve an online taxi hailing service management system. Cruising taxi operators are also required to establish or connect to an online taxi hailing service platform based on actual conditions to provide online taxi hailing services.</w:t>
      </w:r>
    </w:p>
    <w:p>
      <w:pPr>
        <w:spacing w:after="0" w:line="185"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On September 7, 2021, the General Office of the MOT promulgated the </w:t>
      </w:r>
      <w:r>
        <w:rPr>
          <w:rFonts w:ascii="Times New Roman" w:cs="Times New Roman" w:eastAsia="Times New Roman" w:hAnsi="Times New Roman"/>
          <w:sz w:val="18"/>
          <w:szCs w:val="18"/>
          <w:i w:val="1"/>
          <w:iCs w:val="1"/>
          <w:color w:val="auto"/>
        </w:rPr>
        <w:t>Notice on Maintaining a Fair Competition Market Order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Accelerating the Compliance of Online Ride-Hailing</w:t>
      </w:r>
      <w:r>
        <w:rPr>
          <w:rFonts w:ascii="Times New Roman" w:cs="Times New Roman" w:eastAsia="Times New Roman" w:hAnsi="Times New Roman"/>
          <w:sz w:val="18"/>
          <w:szCs w:val="18"/>
          <w:color w:val="auto"/>
        </w:rPr>
        <w:t>, which requires competent transportation authorities to strengthen their supervision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enforcement, including to strictly regulate their enforcement efforts and to use comprehensive means to crack down on illegal online ride-hailing operations. Online ride-hailing platforms that offer access to non-compliant vehicles and drivers must be investigated and dealt with in accordance with applicable laws and regulations, and the results of such investigation shall be reported to the MOT.</w:t>
      </w:r>
    </w:p>
    <w:p>
      <w:pPr>
        <w:spacing w:after="0" w:line="183"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On November 28, 2016, the People’s Government of Guangzhou Municipality promulgated the </w:t>
      </w:r>
      <w:r>
        <w:rPr>
          <w:rFonts w:ascii="Times New Roman" w:cs="Times New Roman" w:eastAsia="Times New Roman" w:hAnsi="Times New Roman"/>
          <w:sz w:val="18"/>
          <w:szCs w:val="18"/>
          <w:i w:val="1"/>
          <w:iCs w:val="1"/>
          <w:color w:val="auto"/>
        </w:rPr>
        <w:t>Interim Measures for the Administration of Online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Taxi-Hailing Services in Guangzhou</w:t>
      </w:r>
      <w:r>
        <w:rPr>
          <w:rFonts w:ascii="Times New Roman" w:cs="Times New Roman" w:eastAsia="Times New Roman" w:hAnsi="Times New Roman"/>
          <w:sz w:val="18"/>
          <w:szCs w:val="18"/>
          <w:color w:val="auto"/>
        </w:rPr>
        <w:t>, or the Guangzhou Online Taxi-Hailing Measures, which became effective on the same date and amended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14, 2019. The Guangzhou Online Taxi-Hailing Measures regulate online-hailing activities and provide for the supervision and administration of online-hailing services in Guangzhou. Pursuant to the Guangzhou Online Taxi-Hailing Measures, online-hailing platforms shall obtain the corresponding online-hailing business license in accordance with applicable laws and regulations and enter into a labor contract or agreement with drivers connected to its platform to specify the rights and obligations of both parties.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00"/>
          </w:cols>
          <w:pgMar w:left="320" w:top="482" w:right="4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Surveying and Mapping Services</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On December 28, 1992, the SCNPC promulgated the </w:t>
      </w:r>
      <w:r>
        <w:rPr>
          <w:rFonts w:ascii="Times New Roman" w:cs="Times New Roman" w:eastAsia="Times New Roman" w:hAnsi="Times New Roman"/>
          <w:sz w:val="18"/>
          <w:szCs w:val="18"/>
          <w:i w:val="1"/>
          <w:iCs w:val="1"/>
          <w:color w:val="auto"/>
        </w:rPr>
        <w:t>Surveying and Mapping Law of the People’s Republic of China</w:t>
      </w:r>
      <w:r>
        <w:rPr>
          <w:rFonts w:ascii="Times New Roman" w:cs="Times New Roman" w:eastAsia="Times New Roman" w:hAnsi="Times New Roman"/>
          <w:sz w:val="18"/>
          <w:szCs w:val="18"/>
          <w:color w:val="auto"/>
        </w:rPr>
        <w:t>, or the Surveying and Mapping Law, which was last amended on April 27, 2017 and became effective on July 1, 2017. According to the Surveying and Mapping Law, entities that engage in surveying and mapping activities shall meet specific requirements and obtain the necessary qualification certificates of surveying and mapping for corresponding grades. Any entity that engages in surveying and mapping activities without relevant qualification certificate shall be ordered to stop the illegal behavior, and be deprived of unlawful gains as well as surveying and mapping work products. In addition, the entity shall be subject to a fine of not less than the amount of, but not more than twice the amount of, the illegal gains from its surveying and mapping activities. In the event of serious violation, the surveying and mapping tools shall be confiscated. Any foreign entity or individual engaging in surveying and mapping activities without approval or without cooperation with relevant PRC department or entity, the foreign entity or individual shall be ordered to stop the illegal behavior, and be deprived of unlawful gains, surveying and mapping work products as well as tools. In addition, the foreign entity or individual shall be subject to a fine of RMB100,000 to RMB500,000. In the event of serious violation, the foreign entity or individual shall be subject to a fine of RMB500,000 to RMB1,000,000 and shall be ordered to leave the country within a specified period or expelled from the country. If constituting a crime, the foreign entity or individual shall be investigated for criminal liability in accordance with applicable laws.</w:t>
      </w:r>
    </w:p>
    <w:p>
      <w:pPr>
        <w:spacing w:after="0" w:line="19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Administrative Rules of Surveying Qualification Certificate</w:t>
      </w:r>
      <w:r>
        <w:rPr>
          <w:rFonts w:ascii="Times New Roman" w:cs="Times New Roman" w:eastAsia="Times New Roman" w:hAnsi="Times New Roman"/>
          <w:sz w:val="18"/>
          <w:szCs w:val="18"/>
          <w:color w:val="auto"/>
        </w:rPr>
        <w:t xml:space="preserve">, as most recently amended by the Ministry of Natural Resources of the People’s Republic of China, or the MNR, effective from July 1, 2021, entities conducting surveying and mapping activities in the territory of China, as well as other territorial sea under the jurisdiction of China, shall obtain a Surveying and Mapping Qualification Certificate, and conduct surveying and mapping activities within the specialized categories and restricted scope permitted by their Surveying and Mapping Qualification Certificate. The specialized categories of Surveying and Mapping Qualification Certificate include, among others, internet map services. Pursuant to the </w:t>
      </w:r>
      <w:r>
        <w:rPr>
          <w:rFonts w:ascii="Times New Roman" w:cs="Times New Roman" w:eastAsia="Times New Roman" w:hAnsi="Times New Roman"/>
          <w:sz w:val="18"/>
          <w:szCs w:val="18"/>
          <w:i w:val="1"/>
          <w:iCs w:val="1"/>
          <w:color w:val="auto"/>
        </w:rPr>
        <w:t>Notice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Further Strengthening the Administration of Internet Map Services Qualification </w:t>
      </w:r>
      <w:r>
        <w:rPr>
          <w:rFonts w:ascii="Times New Roman" w:cs="Times New Roman" w:eastAsia="Times New Roman" w:hAnsi="Times New Roman"/>
          <w:sz w:val="18"/>
          <w:szCs w:val="18"/>
          <w:color w:val="auto"/>
        </w:rPr>
        <w:t>issued by the National Administration of Surveying, Mapping</w:t>
      </w:r>
    </w:p>
    <w:p>
      <w:pPr>
        <w:spacing w:after="0" w:line="2"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 xml:space="preserve">and Geo-information on December 23, 2011, internet map services cannot be provided by any entity without a Surveying and Mapping Qualification Certificate with respect to internet map services. According to the </w:t>
      </w:r>
      <w:r>
        <w:rPr>
          <w:rFonts w:ascii="Times New Roman" w:cs="Times New Roman" w:eastAsia="Times New Roman" w:hAnsi="Times New Roman"/>
          <w:sz w:val="18"/>
          <w:szCs w:val="18"/>
          <w:i w:val="1"/>
          <w:iCs w:val="1"/>
          <w:color w:val="auto"/>
        </w:rPr>
        <w:t>Provisions on the Administration of Examination of Maps</w:t>
      </w:r>
      <w:r>
        <w:rPr>
          <w:rFonts w:ascii="Times New Roman" w:cs="Times New Roman" w:eastAsia="Times New Roman" w:hAnsi="Times New Roman"/>
          <w:sz w:val="18"/>
          <w:szCs w:val="18"/>
          <w:color w:val="auto"/>
        </w:rPr>
        <w:t xml:space="preserve"> most recently amended by the MNR on July 24, 2019, an enterprise must first apply for the approval of the relevant regulatory authorities, subject only to limited exceptions, if it intends to engage in any of the following activities: (i) the publication, display, production, posting, import or export of any map or any product attached with a map; (ii) the re-publication, re-display, re-production, re-posting, re-import or re-export of any map, or any product attached with a map whose content has been changed after its initial approval; and (iii) the publication, display or posting outside China of any map or any product attached with a map. An operator of internet map is required to file any content update relating to its map with the relevant regulatory authorities semi-annually and to reapply for a new approval of the map when the two-year term of the existing approval expires.</w:t>
      </w:r>
    </w:p>
    <w:p>
      <w:pPr>
        <w:spacing w:after="0" w:line="19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Notice of the Ministry of Natural Resources on Promoting the Development of Intelligent Connected Vehicles and Maintaining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Security of Surveying, Mapping and Geoinformation </w:t>
      </w:r>
      <w:r>
        <w:rPr>
          <w:rFonts w:ascii="Times New Roman" w:cs="Times New Roman" w:eastAsia="Times New Roman" w:hAnsi="Times New Roman"/>
          <w:sz w:val="18"/>
          <w:szCs w:val="18"/>
          <w:color w:val="auto"/>
        </w:rPr>
        <w:t>promulgated by the MNR on August 25, 2022, after an intelligent connected vehicle is being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equipped with a satellite navigation positioning receiving module, inertial measurement unit, camera, laser radar and other sensors, its activities of collecting, storing, transmitting and processing geographic information data such as spatial coordinates, images, point clouds and attributing information of vehicles and surrounding road facilities during operation, service and road testing will be considered as surveying and mapping activities under the Surveying and Mapping Law. Furthermore, any vehicle manufacturer, service provider or smart driving software provider that needs to engage in the collection, storage, transmission and processing of geographic information data shall obtain the corresponding qualification for surveying and mapping in accordance with the law or entrust an agency with the corresponding qualification for surveying and mapping to carry out the corresponding surveying and mapping activities if it is a domestic enterprise; in the case of a foreign-invested enterprise, it shall entrust an agency with the corresponding qualification for surveying and mapping to carry out the corresponding surveying and mapping activities, and the entrusted agency shall undertake the collection, storage, transmission and processing of geographic information and any other businesses, and to provide geographic information services and support for such foreign-invested enterprise.</w:t>
      </w:r>
    </w:p>
    <w:p>
      <w:pPr>
        <w:spacing w:after="0" w:line="192"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On July 26, 2024, the MNR promulgated The Notice of the Ministry of Natural Resources on Strengthening the Administration of Surveying, Mapping and Geoinformation Security Relating to Intelligent Connected Vehicles, emphasized various related matters, including the requirement of conducting surveying and mapping activities related to intelligent connected vehicles in accordance with the law, strengthening the management of surveying and mapping activities involving intelligent connected vehicles, strictly managing confidential and sensitive geographic information data, strictly reviewing electronic navigation maps, implementing the requirements for the storage of geoinformation data and cross-border transfer of such data, strengthening the regulation of geoinformation security, encouraging the exploration of geographic information security application, etc.</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20"/>
          </w:cols>
          <w:pgMar w:left="320" w:top="482"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Cybersecurity and Data Security</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The Decision Regarding the Protection of Cybersecurity</w:t>
      </w:r>
      <w:r>
        <w:rPr>
          <w:rFonts w:ascii="Times New Roman" w:cs="Times New Roman" w:eastAsia="Times New Roman" w:hAnsi="Times New Roman"/>
          <w:sz w:val="18"/>
          <w:szCs w:val="18"/>
          <w:color w:val="auto"/>
        </w:rPr>
        <w:t>, enacted by the SCNPC, on December 28, 2000 and amended on August 27, 2009,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among other things, that the following activities conducted through the internet, if constituting a crime under PRC laws, are subject to criminal punishment: (i) hacking into a computer or system of strategic importance; (ii) intentionally inventing and spreading destructive programs such as computer viruses to attack computer systems and communications networks, and damaging computer systems and the communications networks;</w:t>
      </w:r>
    </w:p>
    <w:p>
      <w:pPr>
        <w:spacing w:after="0" w:line="1" w:lineRule="exact"/>
        <w:rPr>
          <w:sz w:val="20"/>
          <w:szCs w:val="20"/>
          <w:color w:val="auto"/>
        </w:rPr>
      </w:pPr>
    </w:p>
    <w:p>
      <w:pPr>
        <w:ind w:left="120" w:hanging="4"/>
        <w:spacing w:after="0" w:line="260" w:lineRule="auto"/>
        <w:tabs>
          <w:tab w:leader="none" w:pos="4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 of national regulations or discontinuing computer network or communications services without authorization; (iv) disseminating politically disruptive information or divulging state secrets; (v) spreading false commercial information; or (vi) infringing on intellectual property rights.</w:t>
      </w:r>
    </w:p>
    <w:p>
      <w:pPr>
        <w:spacing w:after="0" w:line="179" w:lineRule="exact"/>
        <w:rPr>
          <w:sz w:val="20"/>
          <w:szCs w:val="20"/>
          <w:color w:val="auto"/>
        </w:rPr>
      </w:pPr>
    </w:p>
    <w:p>
      <w:pPr>
        <w:jc w:val="both"/>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On June 22, 2007, the MPS, the National Administration of State Secrets Protection and other governmental authorities jointly promulgated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Administrative Measures for the Graded Protection of Information Security</w:t>
      </w:r>
      <w:r>
        <w:rPr>
          <w:rFonts w:ascii="Times New Roman" w:cs="Times New Roman" w:eastAsia="Times New Roman" w:hAnsi="Times New Roman"/>
          <w:sz w:val="18"/>
          <w:szCs w:val="18"/>
          <w:color w:val="auto"/>
        </w:rPr>
        <w:t>, or the Measures for the Graded Protection, effective from June 22, 2007,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which, graded protection of the state information security shall follow the principle of “independent grading and independent protection”. The Measures for the Graded Protection stipulate that the security protection grade of an information system may be classified into five grades. For an information system determined to be Grade II or above, its operator shall make the record filing with relevant public security departments.</w:t>
      </w:r>
    </w:p>
    <w:p>
      <w:pPr>
        <w:spacing w:after="0" w:line="183"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According to the </w:t>
      </w:r>
      <w:r>
        <w:rPr>
          <w:rFonts w:ascii="Times New Roman" w:cs="Times New Roman" w:eastAsia="Times New Roman" w:hAnsi="Times New Roman"/>
          <w:sz w:val="18"/>
          <w:szCs w:val="18"/>
          <w:i w:val="1"/>
          <w:iCs w:val="1"/>
          <w:color w:val="auto"/>
        </w:rPr>
        <w:t>Cybersecurity Law of the People’s Republic of China,</w:t>
      </w:r>
      <w:r>
        <w:rPr>
          <w:rFonts w:ascii="Times New Roman" w:cs="Times New Roman" w:eastAsia="Times New Roman" w:hAnsi="Times New Roman"/>
          <w:sz w:val="18"/>
          <w:szCs w:val="18"/>
          <w:color w:val="auto"/>
        </w:rPr>
        <w:t xml:space="preserve"> or the Cybersecurity Law, which was promulgated by the SCNPC on November 7, 2016 and became effective on June 1, 2017, and other related laws and regulations, network service providers are required to take measures to safeguard cybersecurity by complying with cybersecurity obligations, formulating cybersecurity emergency response plans, and providing technical assistance and support to public security and national security authorities. Failure to comply with such laws and regulations may subject the network service providers to administrative penalties including, without limitation, fines, suspension of business operation, shutdown of business websites, revocation of licenses as well as criminal liabilities. The Cybersecurity Law applies to the construction, operation, maintenance and use of the network as well as the supervision and administration of cybersecurity within the territory of China. Due to the operation of </w:t>
      </w:r>
      <w:r>
        <w:rPr>
          <w:rFonts w:ascii="Times New Roman" w:cs="Times New Roman" w:eastAsia="Times New Roman" w:hAnsi="Times New Roman"/>
          <w:sz w:val="18"/>
          <w:szCs w:val="18"/>
          <w:i w:val="1"/>
          <w:iCs w:val="1"/>
          <w:color w:val="auto"/>
        </w:rPr>
        <w:t>WeRide Go</w:t>
      </w:r>
      <w:r>
        <w:rPr>
          <w:rFonts w:ascii="Times New Roman" w:cs="Times New Roman" w:eastAsia="Times New Roman" w:hAnsi="Times New Roman"/>
          <w:sz w:val="18"/>
          <w:szCs w:val="18"/>
          <w:color w:val="auto"/>
        </w:rPr>
        <w:t xml:space="preserve">, the remote cockpit management system and the autonomous driving vehicle operation management platform, we may be deemed as a network service provider and be subject to the aforementioned regulations. On September 12, 2022, the CAC released </w:t>
      </w:r>
      <w:r>
        <w:rPr>
          <w:rFonts w:ascii="Times New Roman" w:cs="Times New Roman" w:eastAsia="Times New Roman" w:hAnsi="Times New Roman"/>
          <w:sz w:val="18"/>
          <w:szCs w:val="18"/>
          <w:i w:val="1"/>
          <w:iCs w:val="1"/>
          <w:color w:val="auto"/>
        </w:rPr>
        <w:t>the Decision on Amending the Cybersecurity Law of the PRC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(Draft for Comments)</w:t>
      </w:r>
      <w:r>
        <w:rPr>
          <w:rFonts w:ascii="Times New Roman" w:cs="Times New Roman" w:eastAsia="Times New Roman" w:hAnsi="Times New Roman"/>
          <w:sz w:val="18"/>
          <w:szCs w:val="18"/>
          <w:color w:val="auto"/>
        </w:rPr>
        <w:t>, which makes amendments on certain legal liabilities prescribed in the Cybersecurity Law. It proposes to increase the maximum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fines for serious violation of the security protection obligations of network operation, network information, critical information infrastructure and personal information under the Cybersecurity Law to RMB50 million or up to 5% of the turnover of the company in the preceding year. The period for public comments ended on September 29, 2022, and there is no timetable as to when the draft will be enacted.</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After the release of the Cybersecurity Law, on May 2, 2017, the CAC issued the </w:t>
      </w:r>
      <w:r>
        <w:rPr>
          <w:rFonts w:ascii="Times New Roman" w:cs="Times New Roman" w:eastAsia="Times New Roman" w:hAnsi="Times New Roman"/>
          <w:sz w:val="18"/>
          <w:szCs w:val="18"/>
          <w:i w:val="1"/>
          <w:iCs w:val="1"/>
          <w:color w:val="auto"/>
        </w:rPr>
        <w:t>Measures for Security Reviews of Network Products and Services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(Trial)</w:t>
      </w:r>
      <w:r>
        <w:rPr>
          <w:rFonts w:ascii="Times New Roman" w:cs="Times New Roman" w:eastAsia="Times New Roman" w:hAnsi="Times New Roman"/>
          <w:sz w:val="18"/>
          <w:szCs w:val="18"/>
          <w:color w:val="auto"/>
        </w:rPr>
        <w:t>, which was later replaced by the</w:t>
      </w:r>
      <w:r>
        <w:rPr>
          <w:rFonts w:ascii="Times New Roman" w:cs="Times New Roman" w:eastAsia="Times New Roman" w:hAnsi="Times New Roman"/>
          <w:sz w:val="18"/>
          <w:szCs w:val="18"/>
          <w:i w:val="1"/>
          <w:iCs w:val="1"/>
          <w:color w:val="auto"/>
        </w:rPr>
        <w:t xml:space="preserve"> Cybersecurity Review Measures</w:t>
      </w:r>
      <w:r>
        <w:rPr>
          <w:rFonts w:ascii="Times New Roman" w:cs="Times New Roman" w:eastAsia="Times New Roman" w:hAnsi="Times New Roman"/>
          <w:sz w:val="18"/>
          <w:szCs w:val="18"/>
          <w:color w:val="auto"/>
        </w:rPr>
        <w:t>. The Cybersecurity Review Measures was promulgated by the CAC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relevant authorities on April 13, 2020 and most recently amended on December 28, 2021 (such amendment became effective on February 15, 2022). The Cybersecurity Review Measures establish the basic framework and principle for national security reviews of network products and services. Pursuant to the Cybersecurity Review Measures, in addition to critical information infrastructure operators purchasing network products or services that affect or may affect national security, any “online platform operators” controlling personal information of more than one million users which seeks to list on a foreign stock exchange should also be subject to cybersecurity review. Government authorities may initiate a cybersecurity review against an online platform operator if such authorities believe that the network products or services or data processing activities of such operator affect or may affect national security.</w:t>
      </w:r>
    </w:p>
    <w:p>
      <w:pPr>
        <w:spacing w:after="0" w:line="18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On July 30, 2021, the State Council promulgated the </w:t>
      </w:r>
      <w:r>
        <w:rPr>
          <w:rFonts w:ascii="Times New Roman" w:cs="Times New Roman" w:eastAsia="Times New Roman" w:hAnsi="Times New Roman"/>
          <w:sz w:val="18"/>
          <w:szCs w:val="18"/>
          <w:i w:val="1"/>
          <w:iCs w:val="1"/>
          <w:color w:val="auto"/>
        </w:rPr>
        <w:t>Regulations on Protection of Critical Information Infrastructure</w:t>
      </w:r>
      <w:r>
        <w:rPr>
          <w:rFonts w:ascii="Times New Roman" w:cs="Times New Roman" w:eastAsia="Times New Roman" w:hAnsi="Times New Roman"/>
          <w:sz w:val="18"/>
          <w:szCs w:val="18"/>
          <w:color w:val="auto"/>
        </w:rPr>
        <w:t xml:space="preserve"> which took effect on September 1, 2021, and pursuant to which, “critical information infrastructures” is defined to mean critical network facilities and information systems involved in important industries and sectors, such as public communication and information services, energy, transportation, water conservancy, finance, public services, governmental digital services, science and technology related to national defense industry, as well as those which may seriously endanger national security, national economy, livelihood of citizens, or public interests if any damage is suffered or caused to malfunction, or if any leakage of data in relation thereto occurs. Pursuant to these regulations, the relevant governmental authorities are responsible for stipulating rules for the identification of critical information infrastructures with reference to several factors set forth in the regulations, and further identify critical information infrastructure operators in the related industries in accordance with such rules. The relevant authorities shall also notify any operator if it is identified as a critical information infrastructure operator. As of the date of this annual report, we have not been informed as a critical information infrastructure operator by any government authorities.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82"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On June 10, 2021, the SCNPC promulgated the </w:t>
      </w:r>
      <w:r>
        <w:rPr>
          <w:rFonts w:ascii="Times New Roman" w:cs="Times New Roman" w:eastAsia="Times New Roman" w:hAnsi="Times New Roman"/>
          <w:sz w:val="18"/>
          <w:szCs w:val="18"/>
          <w:i w:val="1"/>
          <w:iCs w:val="1"/>
          <w:color w:val="auto"/>
        </w:rPr>
        <w:t>Data Security Law of the People’s Republic of China,</w:t>
      </w:r>
      <w:r>
        <w:rPr>
          <w:rFonts w:ascii="Times New Roman" w:cs="Times New Roman" w:eastAsia="Times New Roman" w:hAnsi="Times New Roman"/>
          <w:sz w:val="18"/>
          <w:szCs w:val="18"/>
          <w:color w:val="auto"/>
        </w:rPr>
        <w:t xml:space="preserve"> or the Data Security Law, which took effect on September 1, 2021. The Data Security Law provides for data security and privacy obligations on entities and individuals carrying out data-related activities. The Data Security Law also introduces a data classification and hierarchical protection system based on the importance of the data with respect to economic and social development, as well as the degree of harm that will result on national security, public interests, or legitimate rights and interests of individuals or organizations if such data is tampered with, destroyed, leaked, or illegally acquired or used. The appropriate level of protection measures is required to be taken for each respective category of data. For example, a processor of important data shall have designated personnel and a management body responsible for data security, carry out risk assessments for its data processing activities and file its risk assessment reports with the competent authorities. In addition, the Data Security Law sets out a national security review procedure applicable to data processing activities that affect or may affect national security and imposes restrictions on the export of certain data.</w:t>
      </w:r>
    </w:p>
    <w:p>
      <w:pPr>
        <w:spacing w:after="0" w:line="188"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color w:val="auto"/>
        </w:rPr>
        <w:t xml:space="preserve">According to the </w:t>
      </w:r>
      <w:r>
        <w:rPr>
          <w:rFonts w:ascii="Times New Roman" w:cs="Times New Roman" w:eastAsia="Times New Roman" w:hAnsi="Times New Roman"/>
          <w:sz w:val="18"/>
          <w:szCs w:val="18"/>
          <w:i w:val="1"/>
          <w:iCs w:val="1"/>
          <w:color w:val="auto"/>
        </w:rPr>
        <w:t>Several Provisions on Vehicle Data Security Management (Trial Implementation)</w:t>
      </w:r>
      <w:r>
        <w:rPr>
          <w:rFonts w:ascii="Times New Roman" w:cs="Times New Roman" w:eastAsia="Times New Roman" w:hAnsi="Times New Roman"/>
          <w:sz w:val="18"/>
          <w:szCs w:val="18"/>
          <w:color w:val="auto"/>
        </w:rPr>
        <w:t xml:space="preserve"> promulgated on August 16, 2021 by the CAC, the NDRC, the MIIT, the MPS, and the MOT, which became effective on October 1, 2021, the processing of vehicle data by a vehicle data processor must comply with certain basic principles such as lawfulness and appropriateness, and must be conducted in a way directly relevant to the design, manufacturing, sale, use, operation or maintenance of a vehicle. Where the processing of any vehicle data is carried out using the internet or any other information network, a hierarchical cybersecurity protection scheme shall be implemented to strengthen the protection of vehicle data and obligations relating to data security must be discharged in accordance with applicable laws.</w:t>
      </w:r>
    </w:p>
    <w:p>
      <w:pPr>
        <w:spacing w:after="0" w:line="182"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On September 15, 2021, the MIIT issued </w:t>
      </w:r>
      <w:r>
        <w:rPr>
          <w:rFonts w:ascii="Times New Roman" w:cs="Times New Roman" w:eastAsia="Times New Roman" w:hAnsi="Times New Roman"/>
          <w:sz w:val="18"/>
          <w:szCs w:val="18"/>
          <w:i w:val="1"/>
          <w:iCs w:val="1"/>
          <w:color w:val="auto"/>
        </w:rPr>
        <w:t>the Notice of the Ministry of Industry and Information Technology on Strengthening the Cybersecurity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Data Security of the Internet of Vehicles</w:t>
      </w:r>
      <w:r>
        <w:rPr>
          <w:rFonts w:ascii="Times New Roman" w:cs="Times New Roman" w:eastAsia="Times New Roman" w:hAnsi="Times New Roman"/>
          <w:sz w:val="18"/>
          <w:szCs w:val="18"/>
          <w:color w:val="auto"/>
        </w:rPr>
        <w:t>, which became effective on the same day. The notice requires relevant enterprises to fulfill their primary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responsibility for security, comprehensively strengthen safety protection, especially the security safeguards for intelligent connected vehicles and Internet of Vehicles network facilities. Additionally, it mandates enhanced security management and data security protection for the Internet of Vehicles service platforms, including data classification and grading management, improvement of data security technical safeguards, standardization of data development, utilization, and sharing, as well as reinforcement of data export security management. Furthermore, the notice emphasizes the importance of accelerating the construction of security standards for the Internet of Vehicles and encourages relevant enterprises and social organizations to formulate enterprise standards and group standards that exceed national or industry standards.</w:t>
      </w:r>
    </w:p>
    <w:p>
      <w:pPr>
        <w:spacing w:after="0" w:line="18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On July 7, 2022, the CAC promulgated </w:t>
      </w:r>
      <w:r>
        <w:rPr>
          <w:rFonts w:ascii="Times New Roman" w:cs="Times New Roman" w:eastAsia="Times New Roman" w:hAnsi="Times New Roman"/>
          <w:sz w:val="18"/>
          <w:szCs w:val="18"/>
          <w:i w:val="1"/>
          <w:iCs w:val="1"/>
          <w:color w:val="auto"/>
        </w:rPr>
        <w:t>the Measures for the Security Assessment of Cross-border Data Transfer</w:t>
      </w:r>
      <w:r>
        <w:rPr>
          <w:rFonts w:ascii="Times New Roman" w:cs="Times New Roman" w:eastAsia="Times New Roman" w:hAnsi="Times New Roman"/>
          <w:sz w:val="18"/>
          <w:szCs w:val="18"/>
          <w:color w:val="auto"/>
        </w:rPr>
        <w:t>, or the Security Assessment Measures, which took effect on September 1, 2022. The Security Assessment Measures regulates the security assessment of important data and personal information collected and generated within the territory of mainland China and transferred overseas by a data processor during its operation. According to the Security Assessment Measures, where a data processor transfers data overseas under any of the following circumstances, it shall apply to the relevant provincial department of the CAC for a security assessment: (i) a data processor transfers important data overseas; (ii) a critical information infrastructure operator transfers personal information overseas; (iii) a data processor processing personal information of more than one million individuals transfers personal information overseas; (iv) a data processor having, since January 1 of the previous year, cumulatively transferred overseas personal information of 100,000 individuals, or sensitive personal information of 10,000 individuals, or (v) other circumstances where a security assessment for outbound data transfer is required by the CAC. Before applying for a security assessment for the proposed outbound data transfer, a data processor shall conduct a self-assessment of the risks involved in such transfer, and the self-assessment shall focus on the following matters: (i) the lawfulness, legitimacy and necessity of the purpose, scope and method of the proposed overseas data transfer, and of the processing of such data by the foreign recipient; (ii) the scale, scope, type and sensitivity of the outbound data transfer, and the risks to national security, public interest or to the legitimate rights and interests of individuals or organizations that may be caused by the proposed outbound data transfer; (iii) the duties and obligations which the foreign recipient undertakes, and the foreign recipient’s organizational and technical capabilities and measures to perform such duties and obligations and guarantee the security of the proposed outbound data transfer; (iv) the risks of the relevant data being tampered with, destroyed, divulged, lost, transferred, illegally obtained or illegally used during and after the proposed outbound data transfer, and whether a proper channel is in place to safeguard rights to and interests in personal information; (v) whether the responsibilities and obligations relating to data security protection have been fully spelt out in the relevant contracts or other legally binding documents to be concluded with the foreign recipient; and (vi) other matters that may affect the security of the proposed outbound data transfer.</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482"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On December 8, 2022, the MIIT issued the </w:t>
      </w:r>
      <w:r>
        <w:rPr>
          <w:rFonts w:ascii="Times New Roman" w:cs="Times New Roman" w:eastAsia="Times New Roman" w:hAnsi="Times New Roman"/>
          <w:sz w:val="18"/>
          <w:szCs w:val="18"/>
          <w:i w:val="1"/>
          <w:iCs w:val="1"/>
          <w:color w:val="auto"/>
        </w:rPr>
        <w:t>Administrative Measures for Data Security in the Field of Industry and Information Technology (Trial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Implementation)</w:t>
      </w:r>
      <w:r>
        <w:rPr>
          <w:rFonts w:ascii="Times New Roman" w:cs="Times New Roman" w:eastAsia="Times New Roman" w:hAnsi="Times New Roman"/>
          <w:sz w:val="18"/>
          <w:szCs w:val="18"/>
          <w:color w:val="auto"/>
        </w:rPr>
        <w:t>, or the MIIT Data Security Measures, which took effect on January 1, 2023. The MIIT Data Security Measures prescribes that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processors in the field of industry and information technology shall follow the principles of lawfulness and appropriateness in collecting data. During the data collection process, the data processors shall take security measures corresponding to and appropriate for the relevant data.</w:t>
      </w:r>
    </w:p>
    <w:p>
      <w:pPr>
        <w:spacing w:after="0" w:line="180"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On March 22, 2024, the CAC issued the </w:t>
      </w:r>
      <w:r>
        <w:rPr>
          <w:rFonts w:ascii="Times New Roman" w:cs="Times New Roman" w:eastAsia="Times New Roman" w:hAnsi="Times New Roman"/>
          <w:sz w:val="18"/>
          <w:szCs w:val="18"/>
          <w:i w:val="1"/>
          <w:iCs w:val="1"/>
          <w:color w:val="auto"/>
        </w:rPr>
        <w:t>Provisions on Promoting and Regulating Cross-border Flow of Data</w:t>
      </w:r>
      <w:r>
        <w:rPr>
          <w:rFonts w:ascii="Times New Roman" w:cs="Times New Roman" w:eastAsia="Times New Roman" w:hAnsi="Times New Roman"/>
          <w:sz w:val="18"/>
          <w:szCs w:val="18"/>
          <w:color w:val="auto"/>
        </w:rPr>
        <w:t xml:space="preserve">, or the New Cross-border Data Flow Provisions, which took effect on the same day. The New Cross-border Data Flow Provisions state that if there is any conflict with the </w:t>
      </w:r>
      <w:r>
        <w:rPr>
          <w:rFonts w:ascii="Times New Roman" w:cs="Times New Roman" w:eastAsia="Times New Roman" w:hAnsi="Times New Roman"/>
          <w:sz w:val="18"/>
          <w:szCs w:val="18"/>
          <w:i w:val="1"/>
          <w:iCs w:val="1"/>
          <w:color w:val="auto"/>
        </w:rPr>
        <w:t>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Assessment Measures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Measures for the Standard Contract for the Cross-border Transfer of Personal Information</w:t>
      </w:r>
      <w:r>
        <w:rPr>
          <w:rFonts w:ascii="Times New Roman" w:cs="Times New Roman" w:eastAsia="Times New Roman" w:hAnsi="Times New Roman"/>
          <w:sz w:val="18"/>
          <w:szCs w:val="18"/>
          <w:color w:val="auto"/>
        </w:rPr>
        <w:t>, the New Cross-border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Flow Provisions shall prevail. The New Cross-border Data Flow Provisions set out scenarios under which certain obligations for the cross-border data transfer are waived, which include, among others, passing the security assessment of cross-border data transfer, concluding a standard contract for the cross-border transfer of personal information or passing the personal information protection certification.</w:t>
      </w:r>
    </w:p>
    <w:p>
      <w:pPr>
        <w:spacing w:after="0" w:line="182"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On May 10, 2024, the MIIT issued the </w:t>
      </w:r>
      <w:r>
        <w:rPr>
          <w:rFonts w:ascii="Times New Roman" w:cs="Times New Roman" w:eastAsia="Times New Roman" w:hAnsi="Times New Roman"/>
          <w:sz w:val="18"/>
          <w:szCs w:val="18"/>
          <w:i w:val="1"/>
          <w:iCs w:val="1"/>
          <w:color w:val="auto"/>
        </w:rPr>
        <w:t>Implementing Rules for the Risk Assessment of Data Security in the Field of Industry and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Technology (Trial Implementation)</w:t>
      </w:r>
      <w:r>
        <w:rPr>
          <w:rFonts w:ascii="Times New Roman" w:cs="Times New Roman" w:eastAsia="Times New Roman" w:hAnsi="Times New Roman"/>
          <w:sz w:val="18"/>
          <w:szCs w:val="18"/>
          <w:color w:val="auto"/>
        </w:rPr>
        <w:t>, which took effect on June 1, 2024. Such implementing rules apply to data security risk assessment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conducted by important data or core data processors in the field of industry and information technology in China. General data processors may also refer to these rules to conduct data security risk assessment. The implementing rules establish data security risk assessment mechanisms at both ministerial and provincial levels, refine assessment obligations of processors of important data and core data, and clarify the mechanism and procedures for competent industrial authorities to supervise and administer such assessment activities.</w:t>
      </w:r>
    </w:p>
    <w:p>
      <w:pPr>
        <w:spacing w:after="0" w:line="184"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On September 24, 2024, the State Council issued the Regulations on Network Data Security Management, or the Network Data Regulations, which became effective on January 1, 2025. The Network Data Regulations prescribe that network data processors processing personal information of over 10 million individuals shall fulfill certain requirements for processing important data and require network data processors to take certain precautionary measures, such as identifying important data and conducting annual risk assessment. Furthermore, the Network Data Regulations allow network data processors to provide personal information overseas only if it is strictly necessary for fulfilling statutory obligations. The Network Data Regulations also establish certain obligations of online platform service providers, including offering users an option to turn off personalized recommendations.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Privacy</w:t>
      </w:r>
    </w:p>
    <w:p>
      <w:pPr>
        <w:spacing w:after="0" w:line="119"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color w:val="auto"/>
        </w:rPr>
        <w:t xml:space="preserve">According to the </w:t>
      </w:r>
      <w:r>
        <w:rPr>
          <w:rFonts w:ascii="Times New Roman" w:cs="Times New Roman" w:eastAsia="Times New Roman" w:hAnsi="Times New Roman"/>
          <w:sz w:val="17"/>
          <w:szCs w:val="17"/>
          <w:i w:val="1"/>
          <w:iCs w:val="1"/>
          <w:color w:val="auto"/>
        </w:rPr>
        <w:t>Provisions on Protection of Personal Information of Telecommunications and Internet Users</w:t>
      </w:r>
      <w:r>
        <w:rPr>
          <w:rFonts w:ascii="Times New Roman" w:cs="Times New Roman" w:eastAsia="Times New Roman" w:hAnsi="Times New Roman"/>
          <w:sz w:val="17"/>
          <w:szCs w:val="17"/>
          <w:color w:val="auto"/>
        </w:rPr>
        <w:t>, which was promulgated by the MIIT on July 16, 2013 and became effective on September 1, 2013, telecommunications business operators and ICP operators are responsible for the security of users’ personal information they collect or use in the course of their services. Telecommunications business operators and ICP operators may not collect or use the personal information of their users without their consent. Personal information collected or used by telecommunication business operators or ICP operators in the course of their services must be kept in strict confidence, and may not be divulged, tampered with or damaged, and may not be sold or unlawfully provided to others. ICP operators are required to take certain measures to prevent any divulgence of, damage to, tampering with or loss of personal information belonging to the users. In accordance with the Cybersecurity Law, network operators are required to collect and use personal information in compliance with the principles of legality, appropriateness and necessity, and strictly within the scope of authorization granted by the subject of the relevant personal information unless otherwise prescribed by laws or regulations. In the event of any unauthorized disclosure, damage or loss of personal information collected, network operators must take immediate remedial measures, notify the affected users and report the incidents to the relevant authorities in a timely manner. If any user becomes aware that a network operator collects or uses his or her personal information in violation of applicable laws and regulations or against the terms of any agreement with such user, or if the personal information collected or stored is inaccurate or wrong, the user has the right to request the network operator to delete or correct the relevant information.</w:t>
      </w:r>
    </w:p>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482"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7"/>
          <w:szCs w:val="17"/>
          <w:color w:val="auto"/>
        </w:rPr>
        <w:t xml:space="preserve">Pursuant to the </w:t>
      </w:r>
      <w:r>
        <w:rPr>
          <w:rFonts w:ascii="Times New Roman" w:cs="Times New Roman" w:eastAsia="Times New Roman" w:hAnsi="Times New Roman"/>
          <w:sz w:val="17"/>
          <w:szCs w:val="17"/>
          <w:i w:val="1"/>
          <w:iCs w:val="1"/>
          <w:color w:val="auto"/>
        </w:rPr>
        <w:t>Announcement of Conducting Special Supervision against the Illegal Collection and Use of Personal Information by Apps</w:t>
      </w:r>
      <w:r>
        <w:rPr>
          <w:rFonts w:ascii="Times New Roman" w:cs="Times New Roman" w:eastAsia="Times New Roman" w:hAnsi="Times New Roman"/>
          <w:sz w:val="17"/>
          <w:szCs w:val="17"/>
          <w:color w:val="auto"/>
        </w:rPr>
        <w:t xml:space="preserve">, which was jointly issued by the Office of the Central Cyberspace Affairs Commission, the MIIT, the MPS and the SAMR on January 23, 2019, app operators should collect and use personal information in compliance with the Cybersecurity Law and should be responsible for the security of personal information obtained from users and take effective measures to step up the protection of personal information. Furthermore, app operators should not force their users to grant authorization by means of bundling, suspending installation or in any other default forms and should not collect personal information in violation of laws or regulations or in breach any agreement with users. The importance of the foregoing regulatory requirements is repeated under the </w:t>
      </w:r>
      <w:r>
        <w:rPr>
          <w:rFonts w:ascii="Times New Roman" w:cs="Times New Roman" w:eastAsia="Times New Roman" w:hAnsi="Times New Roman"/>
          <w:sz w:val="17"/>
          <w:szCs w:val="17"/>
          <w:i w:val="1"/>
          <w:iCs w:val="1"/>
          <w:color w:val="auto"/>
        </w:rPr>
        <w:t>Notice on the Special Rectification of Apps Infringing upon User’s Personal Rights and Interests</w:t>
      </w:r>
      <w:r>
        <w:rPr>
          <w:rFonts w:ascii="Times New Roman" w:cs="Times New Roman" w:eastAsia="Times New Roman" w:hAnsi="Times New Roman"/>
          <w:sz w:val="17"/>
          <w:szCs w:val="17"/>
          <w:color w:val="auto"/>
        </w:rPr>
        <w:t xml:space="preserve"> issued by MIIT on October 31, 2019. On November 28, 2019, the CAC, the MIIT, the MPS and the SAMR jointly issued the </w:t>
      </w:r>
      <w:r>
        <w:rPr>
          <w:rFonts w:ascii="Times New Roman" w:cs="Times New Roman" w:eastAsia="Times New Roman" w:hAnsi="Times New Roman"/>
          <w:sz w:val="17"/>
          <w:szCs w:val="17"/>
          <w:i w:val="1"/>
          <w:iCs w:val="1"/>
          <w:color w:val="auto"/>
        </w:rPr>
        <w:t>Methods of Identifying Illegal Acts of Apps to Collect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Use Personal Information</w:t>
      </w:r>
      <w:r>
        <w:rPr>
          <w:rFonts w:ascii="Times New Roman" w:cs="Times New Roman" w:eastAsia="Times New Roman" w:hAnsi="Times New Roman"/>
          <w:sz w:val="17"/>
          <w:szCs w:val="17"/>
          <w:color w:val="auto"/>
        </w:rPr>
        <w:t>. This regulation illustrates various illegal practices commonly adopted by apps operators with respect to personal information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protection, including “the failure to publish rules on the collection and use of personal information,” “the failure to expressly state the purpose, manner and scope for the collection and use of personal information,” “the collection and use of personal information without consent,” “the collection of personal information that is irrelevant to the services provided by the relevant app and in violation of the principle of necessity,” “the provision of personal information to others without users’ consent,” “the failure to allow deletion or correction of personal information as required by laws” and “the failure to publish relevant information such as relating to complaint filing or reporting.” Any of the following acts by an app operator will, amongst others, constitutes the “collection and use of personal information without the consent of users”: (i) collecting the personal information or activating the authorization for the collection of personal information without obtaining the consent of the relevant user; (ii) collecting the personal information or activating the authorization for the collection of personal information of any user who explicitly denies collection, or repeatedly soliciting such user’s consent in a way that disrupts his/her normal use of the relevant app; (iii) the personal information collected or the authorization for the collection of personal information activated by the app operator exceeds the scope authorized by the user; (iv) seeking user consent in a non-explicit manner;</w:t>
      </w:r>
    </w:p>
    <w:p>
      <w:pPr>
        <w:spacing w:after="0" w:line="195" w:lineRule="exact"/>
        <w:rPr>
          <w:sz w:val="20"/>
          <w:szCs w:val="20"/>
          <w:color w:val="auto"/>
        </w:rPr>
      </w:pPr>
    </w:p>
    <w:p>
      <w:pPr>
        <w:ind w:left="380" w:hanging="264"/>
        <w:spacing w:after="0"/>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modifying user settings with respect to the activation of the authorization for the collection of personal information without such user’s consent;</w:t>
      </w:r>
    </w:p>
    <w:p>
      <w:pPr>
        <w:spacing w:after="0" w:line="9" w:lineRule="exact"/>
        <w:rPr>
          <w:rFonts w:ascii="Times New Roman" w:cs="Times New Roman" w:eastAsia="Times New Roman" w:hAnsi="Times New Roman"/>
          <w:sz w:val="18"/>
          <w:szCs w:val="18"/>
          <w:color w:val="auto"/>
        </w:rPr>
      </w:pPr>
    </w:p>
    <w:p>
      <w:pPr>
        <w:ind w:left="420" w:hanging="304"/>
        <w:spacing w:after="0"/>
        <w:tabs>
          <w:tab w:leader="none" w:pos="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pushing information that is directed at a user based on his/her personal information and algorithms, without providing an opt-out option;</w:t>
      </w:r>
    </w:p>
    <w:p>
      <w:pPr>
        <w:spacing w:after="0" w:line="9" w:lineRule="exact"/>
        <w:rPr>
          <w:rFonts w:ascii="Times New Roman" w:cs="Times New Roman" w:eastAsia="Times New Roman" w:hAnsi="Times New Roman"/>
          <w:sz w:val="18"/>
          <w:szCs w:val="18"/>
          <w:color w:val="auto"/>
        </w:rPr>
      </w:pPr>
    </w:p>
    <w:p>
      <w:pPr>
        <w:ind w:left="120" w:right="180" w:hanging="4"/>
        <w:spacing w:after="0" w:line="277" w:lineRule="auto"/>
        <w:tabs>
          <w:tab w:leader="none" w:pos="47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misleading users to authorize the collection of their personal information or activating the authorization for the collection of personal information by improper methods such as fraud and deception; (viii) failing to provide users with the means and methods to withdraw their authorization for the collection of personal information; and (ix) collecting and using personal information in violation of the rules published by the app operator.</w:t>
      </w:r>
    </w:p>
    <w:p>
      <w:pPr>
        <w:spacing w:after="0" w:line="1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On August 20, 2021, the SCNPC issued the </w:t>
      </w:r>
      <w:r>
        <w:rPr>
          <w:rFonts w:ascii="Times New Roman" w:cs="Times New Roman" w:eastAsia="Times New Roman" w:hAnsi="Times New Roman"/>
          <w:sz w:val="18"/>
          <w:szCs w:val="18"/>
          <w:i w:val="1"/>
          <w:iCs w:val="1"/>
          <w:color w:val="auto"/>
        </w:rPr>
        <w:t>Personal Information Protection Law of the People’s Republic of China</w:t>
      </w:r>
      <w:r>
        <w:rPr>
          <w:rFonts w:ascii="Times New Roman" w:cs="Times New Roman" w:eastAsia="Times New Roman" w:hAnsi="Times New Roman"/>
          <w:sz w:val="18"/>
          <w:szCs w:val="18"/>
          <w:color w:val="auto"/>
        </w:rPr>
        <w:t>, or the Personal Information Protection Law, which took effect on November 1, 2021. The law integrates previously scattered rules with respect to personal information rights and privacy protection. According to the Personal Information Protection Law, personal information refers to information related to identified or identifiable natural persons which is recorded by electronic and other means (excluding anonymized information). The Personal Information Protection Law applies to the processing of personal information within mainland China, as well as certain personal information processing activities outside China, including those for the provision of products and services to natural persons within mainland China or for the analysis and assessment of acts of natural persons within mainland China. It also stipulates certain specific provisions with respect to the obligations of a personal information processor. We update our privacy policies from time to time to meet the latest regulatory requirements of PRC government authorities and adopt technical measures to protect data and ensure cybersecurity in a systematic way. Nonetheless, the Personal Information Protection Law elevates the protection requirements for personal information processing, and many specific requirements of this law remain to be clarified by the CAC, other regulatory authorities, and courts in practice. We may be required to make further adjustments to our business practices to comply with the personal information protection laws and regulations.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82"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On February 22, 2023, the CAC issued the </w:t>
      </w:r>
      <w:r>
        <w:rPr>
          <w:rFonts w:ascii="Times New Roman" w:cs="Times New Roman" w:eastAsia="Times New Roman" w:hAnsi="Times New Roman"/>
          <w:sz w:val="18"/>
          <w:szCs w:val="18"/>
          <w:i w:val="1"/>
          <w:iCs w:val="1"/>
          <w:color w:val="auto"/>
        </w:rPr>
        <w:t>Measures for the Standard Contract for the Cross-border Transfer of Personal Information</w:t>
      </w:r>
      <w:r>
        <w:rPr>
          <w:rFonts w:ascii="Times New Roman" w:cs="Times New Roman" w:eastAsia="Times New Roman" w:hAnsi="Times New Roman"/>
          <w:sz w:val="18"/>
          <w:szCs w:val="18"/>
          <w:color w:val="auto"/>
        </w:rPr>
        <w:t>, which took effect on June 1, 2023. Such measures clarify the scope of application of the standard contract, which refers to cross-border transfers of personal information that meet certain scale standards and are conducted by personal information processors who are not operators of critical information infrastructure. The measures also outline the requirements for the conclusion and filing of the standard contract, which provides operational guidance for the cross-border transfer of personal information through filing the standard contract. The measures provide operational guidance for the cross-border transfer of personal information through filing the standard contract.</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Intellectual Property</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China has adopted comprehensive legislation governing intellectual property rights, including copyrights, trademarks, patents and domain names. China is a signatory to the primary international conventions on intellectual property rights and has been a member of the Agreement on Trade Related Aspects of Intellectual Property Rights since its accession to the World Trade Organization in December 2001.</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Copyright</w:t>
      </w:r>
    </w:p>
    <w:p>
      <w:pPr>
        <w:spacing w:after="0" w:line="11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On September 7, 1990, the SCNPC promulgated the </w:t>
      </w:r>
      <w:r>
        <w:rPr>
          <w:rFonts w:ascii="Times New Roman" w:cs="Times New Roman" w:eastAsia="Times New Roman" w:hAnsi="Times New Roman"/>
          <w:sz w:val="18"/>
          <w:szCs w:val="18"/>
          <w:i w:val="1"/>
          <w:iCs w:val="1"/>
          <w:color w:val="auto"/>
        </w:rPr>
        <w:t>Copyright Law of the People’s Republic of China</w:t>
      </w:r>
      <w:r>
        <w:rPr>
          <w:rFonts w:ascii="Times New Roman" w:cs="Times New Roman" w:eastAsia="Times New Roman" w:hAnsi="Times New Roman"/>
          <w:sz w:val="18"/>
          <w:szCs w:val="18"/>
          <w:color w:val="auto"/>
        </w:rPr>
        <w:t>, or the Copyright Law, which was most recently amended on November 11, 2020. The latest amendment took effect on June 1, 2021 and extends copyright protection to internet activities, products disseminated over the internet and software products. In addition, there is a voluntary registration system administered by the Copyright Protection Centre of China. According to the Copyright Law, Chinese citizens, legal persons and organizations shall own copyright to their copyrightable works, regardless of whether such works are published or not, which include, among others, works of literature, art, natural science, social science, engineering technology and computer software. Copyright owners enjoy certain legal rights, including the right of publication, right of authorship and right of reproduction. An infringer of copyrights shall be subject to various civil liabilities, which include ceasing infringement activities, apologizing to the copyright owners and compensating the loss of copyright owner. An infringer of copyrights may also be subject to fines and/or administrative or criminal liabilities under certain circumstances.</w:t>
      </w:r>
    </w:p>
    <w:p>
      <w:pPr>
        <w:spacing w:after="0" w:line="188" w:lineRule="exact"/>
        <w:rPr>
          <w:sz w:val="20"/>
          <w:szCs w:val="20"/>
          <w:color w:val="auto"/>
        </w:rPr>
      </w:pPr>
    </w:p>
    <w:p>
      <w:pPr>
        <w:ind w:left="120" w:right="420" w:firstLine="440"/>
        <w:spacing w:after="0" w:line="290" w:lineRule="auto"/>
        <w:rPr>
          <w:sz w:val="20"/>
          <w:szCs w:val="20"/>
          <w:color w:val="auto"/>
        </w:rPr>
      </w:pPr>
      <w:r>
        <w:rPr>
          <w:rFonts w:ascii="Times New Roman" w:cs="Times New Roman" w:eastAsia="Times New Roman" w:hAnsi="Times New Roman"/>
          <w:sz w:val="17"/>
          <w:szCs w:val="17"/>
          <w:color w:val="auto"/>
        </w:rPr>
        <w:t xml:space="preserve">In order to further implement the </w:t>
      </w:r>
      <w:r>
        <w:rPr>
          <w:rFonts w:ascii="Times New Roman" w:cs="Times New Roman" w:eastAsia="Times New Roman" w:hAnsi="Times New Roman"/>
          <w:sz w:val="17"/>
          <w:szCs w:val="17"/>
          <w:i w:val="1"/>
          <w:iCs w:val="1"/>
          <w:color w:val="auto"/>
        </w:rPr>
        <w:t>Regulations on Computer Software Protection</w:t>
      </w:r>
      <w:r>
        <w:rPr>
          <w:rFonts w:ascii="Times New Roman" w:cs="Times New Roman" w:eastAsia="Times New Roman" w:hAnsi="Times New Roman"/>
          <w:sz w:val="17"/>
          <w:szCs w:val="17"/>
          <w:color w:val="auto"/>
        </w:rPr>
        <w:t xml:space="preserve">, promulgated by the State Council on June 4, 1991 and most recently amended on January 30, 2013, the National Copyright Administration issued the </w:t>
      </w:r>
      <w:r>
        <w:rPr>
          <w:rFonts w:ascii="Times New Roman" w:cs="Times New Roman" w:eastAsia="Times New Roman" w:hAnsi="Times New Roman"/>
          <w:sz w:val="17"/>
          <w:szCs w:val="17"/>
          <w:i w:val="1"/>
          <w:iCs w:val="1"/>
          <w:color w:val="auto"/>
        </w:rPr>
        <w:t>Measures for the Registration of Computer Software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Copyright </w:t>
      </w:r>
      <w:r>
        <w:rPr>
          <w:rFonts w:ascii="Times New Roman" w:cs="Times New Roman" w:eastAsia="Times New Roman" w:hAnsi="Times New Roman"/>
          <w:sz w:val="17"/>
          <w:szCs w:val="17"/>
          <w:color w:val="auto"/>
        </w:rPr>
        <w:t>on February 20, 2002, which specifies detailed procedures and requirements with respect to the registration of software copyrights.</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Trademark</w:t>
      </w:r>
    </w:p>
    <w:p>
      <w:pPr>
        <w:spacing w:after="0" w:line="117" w:lineRule="exact"/>
        <w:rPr>
          <w:sz w:val="20"/>
          <w:szCs w:val="20"/>
          <w:color w:val="auto"/>
        </w:rPr>
      </w:pPr>
    </w:p>
    <w:p>
      <w:pPr>
        <w:ind w:left="120" w:right="120" w:firstLine="440"/>
        <w:spacing w:after="0" w:line="272" w:lineRule="auto"/>
        <w:rPr>
          <w:sz w:val="20"/>
          <w:szCs w:val="20"/>
          <w:color w:val="auto"/>
        </w:rPr>
      </w:pPr>
      <w:r>
        <w:rPr>
          <w:rFonts w:ascii="Times New Roman" w:cs="Times New Roman" w:eastAsia="Times New Roman" w:hAnsi="Times New Roman"/>
          <w:sz w:val="17"/>
          <w:szCs w:val="17"/>
          <w:color w:val="auto"/>
        </w:rPr>
        <w:t xml:space="preserve">According to the </w:t>
      </w:r>
      <w:r>
        <w:rPr>
          <w:rFonts w:ascii="Times New Roman" w:cs="Times New Roman" w:eastAsia="Times New Roman" w:hAnsi="Times New Roman"/>
          <w:sz w:val="17"/>
          <w:szCs w:val="17"/>
          <w:i w:val="1"/>
          <w:iCs w:val="1"/>
          <w:color w:val="auto"/>
        </w:rPr>
        <w:t>Trademark Law of the People’s Republic of China</w:t>
      </w:r>
      <w:r>
        <w:rPr>
          <w:rFonts w:ascii="Times New Roman" w:cs="Times New Roman" w:eastAsia="Times New Roman" w:hAnsi="Times New Roman"/>
          <w:sz w:val="17"/>
          <w:szCs w:val="17"/>
          <w:color w:val="auto"/>
        </w:rPr>
        <w:t xml:space="preserve"> promulgated by the SCNPC on August 23, 1982, and most recently amended on April 23, 2019, the Trademark Office of the State Administration for Industry and Commerce Authority, or the SAIC, under the State Council is responsible for the registration and administration of trademarks in mainland China. The SAIC has established a Trademark Review and Adjudication Board for resolving trademark disputes. Registered trademarks are valid for ten years from the date the registration is approved. A registrant may apply to renew a registration within twelve months before the expiration date of the registration. If the registrant fails to apply in a timely manner, a grace period of six additional months may be granted. If the registrant fails to apply before the grace period expires, the registered trademark shall be deregistered. Renewed registrations are valid for ten years. On April 29, 2014, the State Council issued the revised </w:t>
      </w:r>
      <w:r>
        <w:rPr>
          <w:rFonts w:ascii="Times New Roman" w:cs="Times New Roman" w:eastAsia="Times New Roman" w:hAnsi="Times New Roman"/>
          <w:sz w:val="17"/>
          <w:szCs w:val="17"/>
          <w:i w:val="1"/>
          <w:iCs w:val="1"/>
          <w:color w:val="auto"/>
        </w:rPr>
        <w:t>Implementing Regulations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Trademark Law of the People’s Republic of China</w:t>
      </w:r>
      <w:r>
        <w:rPr>
          <w:rFonts w:ascii="Times New Roman" w:cs="Times New Roman" w:eastAsia="Times New Roman" w:hAnsi="Times New Roman"/>
          <w:sz w:val="17"/>
          <w:szCs w:val="17"/>
          <w:color w:val="auto"/>
        </w:rPr>
        <w:t>, which specifies the requirements for the application of trademark registration and renewal.</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20"/>
          </w:cols>
          <w:pgMar w:left="320" w:top="482"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Patent</w:t>
      </w:r>
    </w:p>
    <w:p>
      <w:pPr>
        <w:spacing w:after="0" w:line="11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According to the </w:t>
      </w:r>
      <w:r>
        <w:rPr>
          <w:rFonts w:ascii="Times New Roman" w:cs="Times New Roman" w:eastAsia="Times New Roman" w:hAnsi="Times New Roman"/>
          <w:sz w:val="18"/>
          <w:szCs w:val="18"/>
          <w:i w:val="1"/>
          <w:iCs w:val="1"/>
          <w:color w:val="auto"/>
        </w:rPr>
        <w:t>Patent Law of the People’s Republic of China</w:t>
      </w:r>
      <w:r>
        <w:rPr>
          <w:rFonts w:ascii="Times New Roman" w:cs="Times New Roman" w:eastAsia="Times New Roman" w:hAnsi="Times New Roman"/>
          <w:sz w:val="18"/>
          <w:szCs w:val="18"/>
          <w:color w:val="auto"/>
        </w:rPr>
        <w:t xml:space="preserve">, or the Patent Law, which was promulgated by the SCNPC on March 12, 1984 and most recently amended on October 17, 2020 (with such amendment taking effect on June 1, 2021), and the </w:t>
      </w:r>
      <w:r>
        <w:rPr>
          <w:rFonts w:ascii="Times New Roman" w:cs="Times New Roman" w:eastAsia="Times New Roman" w:hAnsi="Times New Roman"/>
          <w:sz w:val="18"/>
          <w:szCs w:val="18"/>
          <w:i w:val="1"/>
          <w:iCs w:val="1"/>
          <w:color w:val="auto"/>
        </w:rPr>
        <w:t>Implementation Rules of the Patent Law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People’s Republic of China</w:t>
      </w:r>
      <w:r>
        <w:rPr>
          <w:rFonts w:ascii="Times New Roman" w:cs="Times New Roman" w:eastAsia="Times New Roman" w:hAnsi="Times New Roman"/>
          <w:sz w:val="18"/>
          <w:szCs w:val="18"/>
          <w:color w:val="auto"/>
        </w:rPr>
        <w:t>, or the Implementation Rules of the Patent Law, promulgated by the State Council on June 15, 2001 and most recently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revised on December 11, 2023, the patent administrative department under the State Council is responsible for the administration of patent-related work nationwide and the patent administration departments of the provincial, autonomous regions or municipal governments are responsible for the administration of patents within their respective administrative areas. The Patent Law and the Implementation Rules of the Patent Law provide for three types of patents, namely “inventions,” “utility models” and “designs”. Invention patents are valid for twenty years, utility model patents are valid for ten years and design patents are valid for fifteen years, in each case from the date of application. The Chinese patent system adopts a “first come, first file” principle, which means that where more than one person files a patent application for the same invention, a patent will be granted to the person who files the application first. An invention or a utility model must possess novelty, inventiveness and practical applicability to be patentable. Third parties must obtain consent or a proper license from the patent owner to use the patent. Otherwise, the unauthorized use constitutes an infringement on the patent rights.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Domain Names</w:t>
      </w:r>
    </w:p>
    <w:p>
      <w:pPr>
        <w:spacing w:after="0" w:line="117" w:lineRule="exact"/>
        <w:rPr>
          <w:sz w:val="20"/>
          <w:szCs w:val="20"/>
          <w:color w:val="auto"/>
        </w:rPr>
      </w:pPr>
    </w:p>
    <w:p>
      <w:pPr>
        <w:ind w:left="120" w:right="400" w:firstLine="440"/>
        <w:spacing w:after="0" w:line="262" w:lineRule="auto"/>
        <w:rPr>
          <w:sz w:val="20"/>
          <w:szCs w:val="20"/>
          <w:color w:val="auto"/>
        </w:rPr>
      </w:pPr>
      <w:r>
        <w:rPr>
          <w:rFonts w:ascii="Times New Roman" w:cs="Times New Roman" w:eastAsia="Times New Roman" w:hAnsi="Times New Roman"/>
          <w:sz w:val="18"/>
          <w:szCs w:val="18"/>
          <w:color w:val="auto"/>
        </w:rPr>
        <w:t xml:space="preserve">On August 24, 2017, the MIIT promulgated the </w:t>
      </w:r>
      <w:r>
        <w:rPr>
          <w:rFonts w:ascii="Times New Roman" w:cs="Times New Roman" w:eastAsia="Times New Roman" w:hAnsi="Times New Roman"/>
          <w:sz w:val="18"/>
          <w:szCs w:val="18"/>
          <w:i w:val="1"/>
          <w:iCs w:val="1"/>
          <w:color w:val="auto"/>
        </w:rPr>
        <w:t>Administrative Measures for Internet Domain Names</w:t>
      </w:r>
      <w:r>
        <w:rPr>
          <w:rFonts w:ascii="Times New Roman" w:cs="Times New Roman" w:eastAsia="Times New Roman" w:hAnsi="Times New Roman"/>
          <w:sz w:val="18"/>
          <w:szCs w:val="18"/>
          <w:color w:val="auto"/>
        </w:rPr>
        <w:t>, or the Domain Name Measures, which became effective on November 1, 2017. The Domain Name Measures regulate the registration of domain names, such as China’s</w:t>
      </w:r>
    </w:p>
    <w:p>
      <w:pPr>
        <w:ind w:left="120" w:right="240"/>
        <w:spacing w:after="0" w:line="255" w:lineRule="auto"/>
        <w:rPr>
          <w:sz w:val="20"/>
          <w:szCs w:val="20"/>
          <w:color w:val="auto"/>
        </w:rPr>
      </w:pPr>
      <w:r>
        <w:rPr>
          <w:rFonts w:ascii="Times New Roman" w:cs="Times New Roman" w:eastAsia="Times New Roman" w:hAnsi="Times New Roman"/>
          <w:sz w:val="18"/>
          <w:szCs w:val="18"/>
          <w:color w:val="auto"/>
        </w:rPr>
        <w:t xml:space="preserve">national top-level domain name “.CN.” The China Internet Network Information Center, or the CNNIC, issued the </w:t>
      </w:r>
      <w:r>
        <w:rPr>
          <w:rFonts w:ascii="Times New Roman" w:cs="Times New Roman" w:eastAsia="Times New Roman" w:hAnsi="Times New Roman"/>
          <w:sz w:val="18"/>
          <w:szCs w:val="18"/>
          <w:i w:val="1"/>
          <w:iCs w:val="1"/>
          <w:color w:val="auto"/>
        </w:rPr>
        <w:t>Administrative Regulations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Country Code Top-Level Domain Name Registration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Country Code Top-Level Dispute Resolutions Rules </w:t>
      </w:r>
      <w:r>
        <w:rPr>
          <w:rFonts w:ascii="Times New Roman" w:cs="Times New Roman" w:eastAsia="Times New Roman" w:hAnsi="Times New Roman"/>
          <w:sz w:val="18"/>
          <w:szCs w:val="18"/>
          <w:color w:val="auto"/>
        </w:rPr>
        <w:t>on June 18, 2019, pursuant to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CNNIC can authorize a domain name dispute resolution institution to adjudicate domain name related disputes.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Foreign Exchange</w:t>
      </w:r>
    </w:p>
    <w:p>
      <w:pPr>
        <w:spacing w:after="0" w:line="11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principal regulations governing foreign currency exchange in mainland China are the </w:t>
      </w:r>
      <w:r>
        <w:rPr>
          <w:rFonts w:ascii="Times New Roman" w:cs="Times New Roman" w:eastAsia="Times New Roman" w:hAnsi="Times New Roman"/>
          <w:sz w:val="18"/>
          <w:szCs w:val="18"/>
          <w:i w:val="1"/>
          <w:iCs w:val="1"/>
          <w:color w:val="auto"/>
        </w:rPr>
        <w:t>Administrative Regulations on Foreign Exchange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People’s Republic of China, </w:t>
      </w:r>
      <w:r>
        <w:rPr>
          <w:rFonts w:ascii="Times New Roman" w:cs="Times New Roman" w:eastAsia="Times New Roman" w:hAnsi="Times New Roman"/>
          <w:sz w:val="18"/>
          <w:szCs w:val="18"/>
          <w:color w:val="auto"/>
        </w:rPr>
        <w:t>or the Foreign Exchange Administrative Regulation, which was promulgated by the State Council on January 29, 1996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most recently amended on August 1, 2008 (with such amendment taking effect on August 5, 2008), and the </w:t>
      </w:r>
      <w:r>
        <w:rPr>
          <w:rFonts w:ascii="Times New Roman" w:cs="Times New Roman" w:eastAsia="Times New Roman" w:hAnsi="Times New Roman"/>
          <w:sz w:val="18"/>
          <w:szCs w:val="18"/>
          <w:i w:val="1"/>
          <w:iCs w:val="1"/>
          <w:color w:val="auto"/>
        </w:rPr>
        <w:t>Administrative Regulations on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Exchange Settlement, Sales and Payment</w:t>
      </w:r>
      <w:r>
        <w:rPr>
          <w:rFonts w:ascii="Times New Roman" w:cs="Times New Roman" w:eastAsia="Times New Roman" w:hAnsi="Times New Roman"/>
          <w:sz w:val="18"/>
          <w:szCs w:val="18"/>
          <w:color w:val="auto"/>
        </w:rPr>
        <w:t>, which was promulgated by the People’s Bank of China on June 20, 1996 and became effective on July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1996. Under these regulations, payments of current account items, such as profit distributions and trade and service-related foreign exchange transactions, can be made in foreign currencies without the prior approval from the State Administration of Foreign Exchange, or SAFE, so long as the applicable procedural requirements are complied with. By contrast, the approval of or registration with relevant governmental authorities or designated banks is required where RMB is to be converted into foreign currency and remitted outside of China to pay capital account items such as the repayment of foreign currency-denominated loans, direct investment overseas and investments in securities or derivative products outside of the PRC. FIEs are permitted to convert their after-tax dividends into foreign exchange and remit such foreign exchange out of their foreign exchange bank accounts in the PRC.</w:t>
      </w:r>
    </w:p>
    <w:p>
      <w:pPr>
        <w:spacing w:after="0" w:line="192" w:lineRule="exact"/>
        <w:rPr>
          <w:sz w:val="20"/>
          <w:szCs w:val="20"/>
          <w:color w:val="auto"/>
        </w:rPr>
      </w:pPr>
    </w:p>
    <w:p>
      <w:pPr>
        <w:ind w:left="120" w:right="2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On March 30, 2015, SAFE promulgated the </w:t>
      </w:r>
      <w:r>
        <w:rPr>
          <w:rFonts w:ascii="Times New Roman" w:cs="Times New Roman" w:eastAsia="Times New Roman" w:hAnsi="Times New Roman"/>
          <w:sz w:val="18"/>
          <w:szCs w:val="18"/>
          <w:i w:val="1"/>
          <w:iCs w:val="1"/>
          <w:color w:val="auto"/>
        </w:rPr>
        <w:t xml:space="preserve">Notice on Reforming the Administration of Foreign Exchange Settlement of Capital of Foreign-Invested Enterprises, </w:t>
      </w:r>
      <w:r>
        <w:rPr>
          <w:rFonts w:ascii="Times New Roman" w:cs="Times New Roman" w:eastAsia="Times New Roman" w:hAnsi="Times New Roman"/>
          <w:sz w:val="18"/>
          <w:szCs w:val="18"/>
          <w:color w:val="auto"/>
        </w:rPr>
        <w:t>or SAFE Circular 19, which took effect on June 1, 2015 and was further revised in 2019 and 2023. According to SAFE Circular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 foreign currency capital contribution to an FIE in its capital account may be converted into RMB on a discretional basis.</w:t>
      </w:r>
    </w:p>
    <w:p>
      <w:pPr>
        <w:spacing w:after="0" w:line="173" w:lineRule="exact"/>
        <w:rPr>
          <w:sz w:val="20"/>
          <w:szCs w:val="20"/>
          <w:color w:val="auto"/>
        </w:rPr>
      </w:pPr>
    </w:p>
    <w:p>
      <w:pPr>
        <w:ind w:left="120" w:right="40" w:firstLine="440"/>
        <w:spacing w:after="0" w:line="275" w:lineRule="auto"/>
        <w:rPr>
          <w:sz w:val="20"/>
          <w:szCs w:val="20"/>
          <w:color w:val="auto"/>
        </w:rPr>
      </w:pPr>
      <w:r>
        <w:rPr>
          <w:rFonts w:ascii="Times New Roman" w:cs="Times New Roman" w:eastAsia="Times New Roman" w:hAnsi="Times New Roman"/>
          <w:sz w:val="17"/>
          <w:szCs w:val="17"/>
          <w:color w:val="auto"/>
        </w:rPr>
        <w:t xml:space="preserve">On June 9, 2016, the SAFE promulgated the </w:t>
      </w:r>
      <w:r>
        <w:rPr>
          <w:rFonts w:ascii="Times New Roman" w:cs="Times New Roman" w:eastAsia="Times New Roman" w:hAnsi="Times New Roman"/>
          <w:sz w:val="17"/>
          <w:szCs w:val="17"/>
          <w:i w:val="1"/>
          <w:iCs w:val="1"/>
          <w:color w:val="auto"/>
        </w:rPr>
        <w:t>Circular on Reforming and Regulating Policies on the Management of the Settlement of Foreign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Exchange of Capital Accounts</w:t>
      </w:r>
      <w:r>
        <w:rPr>
          <w:rFonts w:ascii="Times New Roman" w:cs="Times New Roman" w:eastAsia="Times New Roman" w:hAnsi="Times New Roman"/>
          <w:sz w:val="17"/>
          <w:szCs w:val="17"/>
          <w:color w:val="auto"/>
        </w:rPr>
        <w:t>, or SAFE Circular 16, which was amended on December 4, 2023. SAFE Circular 16 provides for the discretionary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foreign exchange settlement for all domestic institutions. Discretionary foreign exchange settlement means the foreign exchange capital in the capital account which has been confirmed by relevant policies to be subject to the discretional foreign exchange settlement (including foreign exchange capital, foreign loans and funds remitted from the proceeds from the overseas listing) can be settled at banks based on the actual operational needs of the domestic institutions. The proportion of discretionary foreign exchange settlement of the foreign exchange capital is temporarily determined as 100%.</w:t>
      </w:r>
    </w:p>
    <w:p>
      <w:pPr>
        <w:spacing w:after="0" w:line="1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82"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Furthermore, SAFE Circular 16 stipulates foreign exchange incomes of capital accounts shall be utilized by FIEs following the principles of genuineness and self-use and within the business scope of such enterprises. The foreign exchange incomes of capital accounts and capital in RMB obtained by an FIE from foreign exchange settlement shall not be used for any of the following purposes: (i) directly or indirectly for payments outside the business scope of the FIE or payments prohibited by applicable laws and regulations; (ii) directly or indirectly for investment in securities or financial schemes other than bank guaranteed products (except for wealth management products and structured deposits with a risk rating not higher than level two) unless otherwise provided by applicable laws and regulations; (iii) the granting of loans to non-affiliated enterprises, unless otherwise permitted by its business scope; and (iv) the construction or purchase of real estate that is not for self-use (except for enterprises engaged in real estate development and leasing operations).</w:t>
      </w:r>
    </w:p>
    <w:p>
      <w:pPr>
        <w:spacing w:after="0" w:line="192"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Violations of above-mentioned regulations may subject an enterprise to fines and other administrative liabilities, and even criminal liabilities under severe circumstances.</w:t>
      </w:r>
    </w:p>
    <w:p>
      <w:pPr>
        <w:spacing w:after="0" w:line="16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According to the </w:t>
      </w:r>
      <w:r>
        <w:rPr>
          <w:rFonts w:ascii="Times New Roman" w:cs="Times New Roman" w:eastAsia="Times New Roman" w:hAnsi="Times New Roman"/>
          <w:sz w:val="18"/>
          <w:szCs w:val="18"/>
          <w:i w:val="1"/>
          <w:iCs w:val="1"/>
          <w:color w:val="auto"/>
        </w:rPr>
        <w:t>Notice of the State Administration of Foreign Exchange on Further Promoting the Convenience of Cross-border Trade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w:t>
      </w:r>
      <w:r>
        <w:rPr>
          <w:rFonts w:ascii="Times New Roman" w:cs="Times New Roman" w:eastAsia="Times New Roman" w:hAnsi="Times New Roman"/>
          <w:sz w:val="18"/>
          <w:szCs w:val="18"/>
          <w:color w:val="auto"/>
        </w:rPr>
        <w:t>, or SAFE Circular 28, which was promulgated by SAFE on October 23, 2019 and amended on December 4, 2023, a non-investment FIE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its capital to carry out domestic equity investment in accordance with the law so long as it does not violate the negative list and the projects invested are genuine and in compliance with applicable laws and regulations.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On April 10, 2020, SAFE issued the </w:t>
      </w:r>
      <w:r>
        <w:rPr>
          <w:rFonts w:ascii="Times New Roman" w:cs="Times New Roman" w:eastAsia="Times New Roman" w:hAnsi="Times New Roman"/>
          <w:sz w:val="18"/>
          <w:szCs w:val="18"/>
          <w:i w:val="1"/>
          <w:iCs w:val="1"/>
          <w:color w:val="auto"/>
        </w:rPr>
        <w:t>Notice of the SAFE on Optimizing Foreign Exchange Administration to Support the Development of Foreign-related Business</w:t>
      </w:r>
      <w:r>
        <w:rPr>
          <w:rFonts w:ascii="Times New Roman" w:cs="Times New Roman" w:eastAsia="Times New Roman" w:hAnsi="Times New Roman"/>
          <w:sz w:val="18"/>
          <w:szCs w:val="18"/>
          <w:color w:val="auto"/>
        </w:rPr>
        <w:t>, or SAFE Circular 8. SAFE Circular 8 provides that under the condition that the use of funds is genuine and compliant with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provisions on use of income relating to capital account, enterprises are allowed to use income under capital account such as capital funds, foreign debts and overseas listings for domestic payment, without having to submit materials evidencing the veracity of such payment to the bank prior to each transaction.</w:t>
      </w:r>
    </w:p>
    <w:p>
      <w:pPr>
        <w:spacing w:after="0" w:line="185"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On December 4, 2023, SAFE issued the Notice on Further Deepening the Reform to Facilitate Cross-border Trade and Investment, pursuant to which qualified enterprises may independently borrow foreign debts within the limit of the equivalent of US$5 million or US$10 million, depending on their areas of incorporation.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Dividend Distributions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principal regulations governing distribution of dividends of wholly foreign-owned enterprises, include the </w:t>
      </w:r>
      <w:r>
        <w:rPr>
          <w:rFonts w:ascii="Times New Roman" w:cs="Times New Roman" w:eastAsia="Times New Roman" w:hAnsi="Times New Roman"/>
          <w:sz w:val="18"/>
          <w:szCs w:val="18"/>
          <w:i w:val="1"/>
          <w:iCs w:val="1"/>
          <w:color w:val="auto"/>
        </w:rPr>
        <w:t>Company Law</w:t>
      </w:r>
      <w:r>
        <w:rPr>
          <w:rFonts w:ascii="Times New Roman" w:cs="Times New Roman" w:eastAsia="Times New Roman" w:hAnsi="Times New Roman"/>
          <w:sz w:val="18"/>
          <w:szCs w:val="18"/>
          <w:color w:val="auto"/>
        </w:rPr>
        <w:t>. Under these regulations, wholly foreign-owned enterprises in mainland China may pay dividends only out of their accumulated after-tax profits, if any, determined in accordance with the PRC accounting standards and regulations. In addition, FIEs in the PRC are required to allocate at least 10% of their accumulated profits each year, if any, to fund certain reserve funds unless these reserves have reached 50% of the registered capital of the enterprises. These reserves are not distributable as cash dividends.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Foreign Debts</w:t>
      </w:r>
    </w:p>
    <w:p>
      <w:pPr>
        <w:spacing w:after="0" w:line="121"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A loan made by foreign investors as shareholders in an FIE is considered to be a foreign debt in the PRC and is regulated by various laws and regulations, including the Foreign Exchange Administrative Regulation, the </w:t>
      </w:r>
      <w:r>
        <w:rPr>
          <w:rFonts w:ascii="Times New Roman" w:cs="Times New Roman" w:eastAsia="Times New Roman" w:hAnsi="Times New Roman"/>
          <w:sz w:val="18"/>
          <w:szCs w:val="18"/>
          <w:i w:val="1"/>
          <w:iCs w:val="1"/>
          <w:color w:val="auto"/>
        </w:rPr>
        <w:t>Interim Provisions on the Management of Foreign Debts</w:t>
      </w:r>
      <w:r>
        <w:rPr>
          <w:rFonts w:ascii="Times New Roman" w:cs="Times New Roman" w:eastAsia="Times New Roman" w:hAnsi="Times New Roman"/>
          <w:sz w:val="18"/>
          <w:szCs w:val="18"/>
          <w:color w:val="auto"/>
        </w:rPr>
        <w:t xml:space="preserve"> which was promulgated by the SAFE, the NDRC and the Ministry of Finance, or the MOF, on January 8, 2003 effective from March 1, 2003 and further amended effective from September 1, 2022, and the </w:t>
      </w:r>
      <w:r>
        <w:rPr>
          <w:rFonts w:ascii="Times New Roman" w:cs="Times New Roman" w:eastAsia="Times New Roman" w:hAnsi="Times New Roman"/>
          <w:sz w:val="18"/>
          <w:szCs w:val="18"/>
          <w:i w:val="1"/>
          <w:iCs w:val="1"/>
          <w:color w:val="auto"/>
        </w:rPr>
        <w:t>Administrative Measures for Registration of Foreign Debts</w:t>
      </w:r>
      <w:r>
        <w:rPr>
          <w:rFonts w:ascii="Times New Roman" w:cs="Times New Roman" w:eastAsia="Times New Roman" w:hAnsi="Times New Roman"/>
          <w:sz w:val="18"/>
          <w:szCs w:val="18"/>
          <w:color w:val="auto"/>
        </w:rPr>
        <w:t xml:space="preserve"> promulgated by the SAFE on April 28, 2013 and amended by the </w:t>
      </w:r>
      <w:r>
        <w:rPr>
          <w:rFonts w:ascii="Times New Roman" w:cs="Times New Roman" w:eastAsia="Times New Roman" w:hAnsi="Times New Roman"/>
          <w:sz w:val="18"/>
          <w:szCs w:val="18"/>
          <w:i w:val="1"/>
          <w:iCs w:val="1"/>
          <w:color w:val="auto"/>
        </w:rPr>
        <w:t>Notice of the SAFE on Abolishing and Amending the Normative Documents Related to the Reform of the Registered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Registration System </w:t>
      </w:r>
      <w:r>
        <w:rPr>
          <w:rFonts w:ascii="Times New Roman" w:cs="Times New Roman" w:eastAsia="Times New Roman" w:hAnsi="Times New Roman"/>
          <w:sz w:val="18"/>
          <w:szCs w:val="18"/>
          <w:color w:val="auto"/>
        </w:rPr>
        <w:t>on May 4, 2015. Under these rules, a shareholder loan in the form of foreign debt made to a Chinese entity does not require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approval of the SAFE. However, such foreign debt must be registered with and recorded by local banks. SAFE Circular 28 provides that a non-financial enterprise in the pilot areas may register a permitted amount of foreign debts, which is equivalent to twice of</w:t>
      </w:r>
    </w:p>
    <w:p>
      <w:pPr>
        <w:spacing w:after="0" w:line="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non-financial enterprise’s net assets, at the local foreign exchange bureau. Such non-financial enterprise may incur foreign debts within the permitted amount and directly handle the relevant banking procedures without registering each foreign debt. However, the non-financial enterprise shall report its international income and expenditure regularly.</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82"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Offshore Special Purpose Vehicles Held by PRC Residents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SAFE promulgated the Circular on Printing and Distributing the Provisions on Foreign Exchange Administration over Domestic Direct Investment by Foreign Investors and the Supporting Documents on May 10, 2013, which was most recently amended on December 30, 2019 and specifies that the administration by the SAFE or its local branches over direct investments by foreign investors in the PRC shall be conducted by way of registration and banks shall process foreign exchange business relating to direct investments in the PRC based on the registration information provided by the SAFE and its local branches.</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SAFE promulgated the Notice on Issues Relating to Foreign Exchange Administration over the Overseas Investment and Financing and Round-trip Investment by Domestic Residents via Special Purpose Vehicles, or the SAFE Circular 37, on July 4, 2014, which requires PRC residents or entities to register with the SAFE or its local branches in connection with their establishment or control of an offshore entity established for the purpose of overseas investment or financing. In addition, such PRC residents or entities must update their SAFE registrations when a material event occurs with respect to the offshore special purpose vehicle including relating to the change of any basic information (such as change of such PRC citizens or residents, and name and term of operation), capital increase or reduction, transfers or exchanges of shares, or mergers or divisions.</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SAFE further enacted the Notice of the State Administration of Foreign Exchange on Further Simplifying and Improving the Foreign Exchange Management Policies for Direct Investment, or the SAFE Circular 13, on February 13, 2015, which was amended on December 30, 2019 by the Circular of the State Administration of Foreign Exchange on Repealing and Invalidating Five Normative Documents Concerning Administration of Foreign Exchange and Some Articles of Seven Normative Documents Concerning Administration of Foreign Exchange. SAFE Circular 13 allows PRC residents or entities to register with qualified banks in connection with their establishment or control of an offshore entity established for the purpose of overseas investment or financing. However, remedial registration applications made by PRC residents who have previously failed to comply with SAFE Circular 37 continue to fall under the jurisdiction of the relevant local branch of the SAFE. In the event that a PRC shareholder holding interests in a special purpose vehicle fails to fulfill the required SAFE registration, the mainland China subsidiaries of that special purpose vehicle may be prohibited from distributing profits to the offshore parent and from carrying out subsequent cross-border foreign exchange activities, and the special purpose vehicle may be restricted in its ability to contribute additional capital into its PRC subsidiary.</w:t>
      </w:r>
    </w:p>
    <w:p>
      <w:pPr>
        <w:spacing w:after="0" w:line="194"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On January 26, 2017, the SAFE issued the Notice on Improving the Check of Authenticity and Compliance to Further Promote Foreign Exchange Control, or the SAFE Circular 3, which stipulates several capital control measures with respect to the outbound remittance of profit from domestic entities to offshore entities, including (i) following the principle of genuine transaction, banks shall examine board resolutions passed for the profit distribution, the original tax filing records and audited financial statements; and (ii) domestic entities shall retain income to account for losses incurred in the past years before remitting profits. Moreover, pursuant to SAFE Circular 3, domestic entities shall provide detailed explanations regarding the sources of capital and how they will be used, relevant board resolutions, contracts and other proof when registering an outbound investment or making an outbound remittance.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Share Incentive Plans</w:t>
      </w:r>
    </w:p>
    <w:p>
      <w:pPr>
        <w:spacing w:after="0" w:line="121" w:lineRule="exact"/>
        <w:rPr>
          <w:sz w:val="20"/>
          <w:szCs w:val="20"/>
          <w:color w:val="auto"/>
        </w:rPr>
      </w:pPr>
    </w:p>
    <w:p>
      <w:pPr>
        <w:ind w:left="120" w:right="680" w:firstLine="440"/>
        <w:spacing w:after="0" w:line="257" w:lineRule="auto"/>
        <w:rPr>
          <w:sz w:val="20"/>
          <w:szCs w:val="20"/>
          <w:color w:val="auto"/>
        </w:rPr>
      </w:pPr>
      <w:r>
        <w:rPr>
          <w:rFonts w:ascii="Times New Roman" w:cs="Times New Roman" w:eastAsia="Times New Roman" w:hAnsi="Times New Roman"/>
          <w:sz w:val="18"/>
          <w:szCs w:val="18"/>
          <w:color w:val="auto"/>
        </w:rPr>
        <w:t>According to the Notice of the State Administration of Foreign Exchange on Issues Relating to the Foreign Exchange Administration for Domestic Individuals Participating in Stock Incentive Plan of Overseas Listed Company, or the Share Incentive Rules, which was issued on February 15, 2012, and other related regulations, directors, supervisors, senior management and other employees who are (i) PRC citizens</w:t>
      </w:r>
    </w:p>
    <w:p>
      <w:pPr>
        <w:spacing w:after="0" w:line="1" w:lineRule="exact"/>
        <w:rPr>
          <w:sz w:val="20"/>
          <w:szCs w:val="20"/>
          <w:color w:val="auto"/>
        </w:rPr>
      </w:pPr>
    </w:p>
    <w:p>
      <w:pPr>
        <w:ind w:left="120" w:right="140"/>
        <w:spacing w:after="0" w:line="252" w:lineRule="auto"/>
        <w:rPr>
          <w:sz w:val="20"/>
          <w:szCs w:val="20"/>
          <w:color w:val="auto"/>
        </w:rPr>
      </w:pPr>
      <w:r>
        <w:rPr>
          <w:rFonts w:ascii="Times New Roman" w:cs="Times New Roman" w:eastAsia="Times New Roman" w:hAnsi="Times New Roman"/>
          <w:sz w:val="18"/>
          <w:szCs w:val="18"/>
          <w:color w:val="auto"/>
        </w:rPr>
        <w:t>or non-PRC citizens residing in mainland China for a continuous period of not less than one year, and (ii) participating in any share incentive plan of a company listed overseas, subject to certain exceptions, are required to register with the SAFE. All such participants need to authorize a qualified PRC agent, such as a PRC subsidiary of the company listed overseas, to register with the SAFE and to deal with foreign exchange matters such as account opening and transfer and settlement of proceeds. The Share Incentive Rules further require an offshore agent to be designated to take charge over matters relating to the exercise of share options and sales proceeds for participants of the share incentive plans. Failure to complete the said SAFE registrations may subject the participating directors, supervisors, senior management and other employees to fines and other legal sanctions.</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80"/>
          </w:cols>
          <w:pgMar w:left="320" w:top="482" w:right="4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State Administration of Taxation, or the SAT, has further issued several circulars concerning employee share options and restricted shares. Under these circulars, employees working in the PRC who exercise share options or are granted with restricted shares will be subject to PRC individual income tax. The mainland China subsidiaries of a company listed overseas are required to file documents relating to employee share options and restricted shares with relevant tax authorities and to withhold individual income tax for employees who exercise their share options or purchase restricted shares. If an employee fails to pay or the mainland China subsidiaries fail to withhold income tax in accordance with relevant laws and regulations, the mainland China subsidiaries may face sanctions imposed by the tax authorities or other PRC governmental authorities.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Taxation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Income tax</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According to the </w:t>
      </w:r>
      <w:r>
        <w:rPr>
          <w:rFonts w:ascii="Times New Roman" w:cs="Times New Roman" w:eastAsia="Times New Roman" w:hAnsi="Times New Roman"/>
          <w:sz w:val="18"/>
          <w:szCs w:val="18"/>
          <w:i w:val="1"/>
          <w:iCs w:val="1"/>
          <w:color w:val="auto"/>
        </w:rPr>
        <w:t>Enterprise Income Tax Law of the People’s Republic of China</w:t>
      </w:r>
      <w:r>
        <w:rPr>
          <w:rFonts w:ascii="Times New Roman" w:cs="Times New Roman" w:eastAsia="Times New Roman" w:hAnsi="Times New Roman"/>
          <w:sz w:val="18"/>
          <w:szCs w:val="18"/>
          <w:color w:val="auto"/>
        </w:rPr>
        <w:t>, or the EIT Law, which was promulgated on March 16, 2007 and</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most recently amended on December 29, 2018, an enterprise established outside the PRC with de facto management bodies within the PRC 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considered a resident enterprise for PRC enterprise income tax purposes and is generally subject to a uniform 25% enterprise income tax rate on its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worldwide income. The </w:t>
      </w:r>
      <w:r>
        <w:rPr>
          <w:rFonts w:ascii="Times New Roman" w:cs="Times New Roman" w:eastAsia="Times New Roman" w:hAnsi="Times New Roman"/>
          <w:sz w:val="18"/>
          <w:szCs w:val="18"/>
          <w:i w:val="1"/>
          <w:iCs w:val="1"/>
          <w:color w:val="auto"/>
        </w:rPr>
        <w:t>Implementing Rules of the Enterprise Income Law of the People’s Republic of China</w:t>
      </w:r>
      <w:r>
        <w:rPr>
          <w:rFonts w:ascii="Times New Roman" w:cs="Times New Roman" w:eastAsia="Times New Roman" w:hAnsi="Times New Roman"/>
          <w:sz w:val="18"/>
          <w:szCs w:val="18"/>
          <w:color w:val="auto"/>
        </w:rPr>
        <w:t xml:space="preserve"> promulgated on December 6, 2007,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amended on January 20, 2025, or the Implementing Rules of the EIT Law, defines a de facto management body as a managing body that in practice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exercises “substantial and overall management and control over the production and operations, personnel, accounting, and properties”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enterprise. Non-PRC resident enterprises that do not have any branches in the PRC are required to pay enterprise income tax on income originating from</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PRC at the rate of 10%.</w:t>
      </w:r>
    </w:p>
    <w:p>
      <w:pPr>
        <w:spacing w:after="0" w:line="20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On February 3, 2015, the SAT issued the </w:t>
      </w:r>
      <w:r>
        <w:rPr>
          <w:rFonts w:ascii="Times New Roman" w:cs="Times New Roman" w:eastAsia="Times New Roman" w:hAnsi="Times New Roman"/>
          <w:sz w:val="18"/>
          <w:szCs w:val="18"/>
          <w:i w:val="1"/>
          <w:iCs w:val="1"/>
          <w:color w:val="auto"/>
        </w:rPr>
        <w:t>Announcement on Several Issues Concerning the Enterprise Income Tax on Indirect Transfer of Assets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by Non-Resident Enterprises</w:t>
      </w:r>
      <w:r>
        <w:rPr>
          <w:rFonts w:ascii="Times New Roman" w:cs="Times New Roman" w:eastAsia="Times New Roman" w:hAnsi="Times New Roman"/>
          <w:sz w:val="18"/>
          <w:szCs w:val="18"/>
          <w:color w:val="auto"/>
        </w:rPr>
        <w:t>, or the SAT Circular 7, which was amended in 2017. SAT Circular 7 repeals certain provisions in the</w:t>
      </w:r>
      <w:r>
        <w:rPr>
          <w:rFonts w:ascii="Times New Roman" w:cs="Times New Roman" w:eastAsia="Times New Roman" w:hAnsi="Times New Roman"/>
          <w:sz w:val="18"/>
          <w:szCs w:val="18"/>
          <w:i w:val="1"/>
          <w:iCs w:val="1"/>
          <w:color w:val="auto"/>
        </w:rPr>
        <w:t xml:space="preserve"> Notice of the State Administration of Taxation on Strengthening the Administration of Enterprise Income Tax on Income from Equity Transfer by Non-Resident Enterprises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SAT Circular 698, issued by the SAT on December 10, 2009 and the </w:t>
      </w:r>
      <w:r>
        <w:rPr>
          <w:rFonts w:ascii="Times New Roman" w:cs="Times New Roman" w:eastAsia="Times New Roman" w:hAnsi="Times New Roman"/>
          <w:sz w:val="18"/>
          <w:szCs w:val="18"/>
          <w:i w:val="1"/>
          <w:iCs w:val="1"/>
          <w:color w:val="auto"/>
        </w:rPr>
        <w:t>Announcement on Several Issues Relating to the Administration of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on Non-resident Enterprises </w:t>
      </w:r>
      <w:r>
        <w:rPr>
          <w:rFonts w:ascii="Times New Roman" w:cs="Times New Roman" w:eastAsia="Times New Roman" w:hAnsi="Times New Roman"/>
          <w:sz w:val="18"/>
          <w:szCs w:val="18"/>
          <w:color w:val="auto"/>
        </w:rPr>
        <w:t>issued by the SAT on March 28, 2011, and clarifies certain other provisions of SAT Circular 698. SAT Circular 7 sets out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comprehensive guideline relating to, and heightening the Chinese tax authorities’ scrutiny on, indirect transfers by a non-resident enterprise of assets in the PRC, including assets of organizations and premises in the PRC, immovable property in the PRC, equity investments in PRC resident enterprises, or the PRC Taxable Assets. For instance, when a non-resident enterprise transfers equity interests in an overseas holding company that directly or indirectly holds certain PRC Taxable Assets and if the transfer is believed by the Chinese tax authorities to have no reasonable commercial purpose other than to evade enterprise income tax, SAT Circular 7 allows Chinese tax authorities to reclassify the indirect transfer of PRC Taxable Assets into a direct transfer and therefore impose a 10% enterprise income tax on the non-resident enterprise. SAT Circular 7 lists several factors to be taken into consideration by tax authorities in determining if an indirect transfer has a reasonable commercial purpose. Nonetheless, if the overall arrangement of an indirect transfer satisfies all the following criteria, such indirect transfer will be deemed to lack a reasonable commercial purpose: (i) 75% or more of the equity value of the intermediary enterprise being transferred is derived directly or indirectly from PRC Taxable Assets; (ii) at any time during the one-year period before the indirect transfer, 90% or more of the asset value of the intermediary enterprise (excluding cash) is comprised directly or indirectly of investments in the PRC, or during the one-year period before the indirect transfer, 90% or more of its income is derived directly or indirectly from the PRC; (iii) the functions performed and risks assumed by the intermediary enterprise and any of its subsidiaries and branches that directly or indirectly hold the PRC Taxable Assets are limited and are insufficient to prove their economic substance; and (iv) the foreign tax payable on the gain derived from the indirect transfer of the PRC Taxable Assets is lower than the potential PRC tax on the direct transfer of those assets. On the other hand, indirect transfers falling into the safe harbors provided by SAT Circular 7, including qualified group restructurings, public market trades and exemptions under tax treaties or arrangements, will not be subject to PRC tax under SAT Circular 7.</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40"/>
          </w:cols>
          <w:pgMar w:left="320" w:top="482"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right="140" w:firstLine="440"/>
        <w:spacing w:after="0" w:line="270" w:lineRule="auto"/>
        <w:rPr>
          <w:sz w:val="20"/>
          <w:szCs w:val="20"/>
          <w:color w:val="auto"/>
        </w:rPr>
      </w:pPr>
      <w:r>
        <w:rPr>
          <w:rFonts w:ascii="Times New Roman" w:cs="Times New Roman" w:eastAsia="Times New Roman" w:hAnsi="Times New Roman"/>
          <w:sz w:val="17"/>
          <w:szCs w:val="17"/>
          <w:color w:val="auto"/>
        </w:rPr>
        <w:t xml:space="preserve">On October 17, 2017, the SAT issued the </w:t>
      </w:r>
      <w:r>
        <w:rPr>
          <w:rFonts w:ascii="Times New Roman" w:cs="Times New Roman" w:eastAsia="Times New Roman" w:hAnsi="Times New Roman"/>
          <w:sz w:val="17"/>
          <w:szCs w:val="17"/>
          <w:i w:val="1"/>
          <w:iCs w:val="1"/>
          <w:color w:val="auto"/>
        </w:rPr>
        <w:t>Announcement on Issues Relating to Withholding at Source of Income Tax of Non-resident Enterprises</w:t>
      </w:r>
      <w:r>
        <w:rPr>
          <w:rFonts w:ascii="Times New Roman" w:cs="Times New Roman" w:eastAsia="Times New Roman" w:hAnsi="Times New Roman"/>
          <w:sz w:val="17"/>
          <w:szCs w:val="17"/>
          <w:color w:val="auto"/>
        </w:rPr>
        <w:t xml:space="preserve">, or SAT Circular 37, which took effect on December 1, 2017. Certain provisions of SAT Circular 37 were repealed by the </w:t>
      </w:r>
      <w:r>
        <w:rPr>
          <w:rFonts w:ascii="Times New Roman" w:cs="Times New Roman" w:eastAsia="Times New Roman" w:hAnsi="Times New Roman"/>
          <w:sz w:val="17"/>
          <w:szCs w:val="17"/>
          <w:i w:val="1"/>
          <w:iCs w:val="1"/>
          <w:color w:val="auto"/>
        </w:rPr>
        <w:t>Announcement of the State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Administration of Taxation on Revising Certain Taxation Normative Documents </w:t>
      </w:r>
      <w:r>
        <w:rPr>
          <w:rFonts w:ascii="Times New Roman" w:cs="Times New Roman" w:eastAsia="Times New Roman" w:hAnsi="Times New Roman"/>
          <w:sz w:val="17"/>
          <w:szCs w:val="17"/>
          <w:color w:val="auto"/>
        </w:rPr>
        <w:t>issued by the SAT on June 15, 2018. According to SAT Circular 37,</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after deducting the equity net value from the equity transfer income, the balance shall be the taxable income amount for equity transfer income. Equity transfer income means the consideration collected by the equity transferor from the equity transfer, including various income in monetary form</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non-monetary form. Equity net value means the tax computation basis for obtaining the said equity. The tax computation basis for equity shall be:</w:t>
      </w:r>
    </w:p>
    <w:p>
      <w:pPr>
        <w:spacing w:after="0" w:line="9" w:lineRule="exact"/>
        <w:rPr>
          <w:sz w:val="20"/>
          <w:szCs w:val="20"/>
          <w:color w:val="auto"/>
        </w:rPr>
      </w:pPr>
    </w:p>
    <w:p>
      <w:pPr>
        <w:ind w:left="120" w:right="60" w:hanging="4"/>
        <w:spacing w:after="0" w:line="252" w:lineRule="auto"/>
        <w:tabs>
          <w:tab w:leader="none" w:pos="3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contribution costs actually paid by the equity transferor to a Chinese resident enterprise at the time of investment and equity participation, or (ii) the equity transfer costs actually paid at the time of acquisition of such equity to the original transferor of the said equity. Where there is a reduction or appreciation of value during the equity holding period, and the gains or losses can be confirmed pursuant to the rules of the finance and tax authorities of the State Council, the equity net value shall be adjusted accordingly. In computing equity transfer income, an enterprise shall not deduct the amount in the shareholders’ retained earnings, such as undistributed profits, of the investee enterprise, which may be distributed in accordance with the said equity. In the event of partial transfer of equity under multiple investments or acquisitions, the enterprise shall determine the costs corresponding to the transferred equity in accordance with the transfer ratio, out of all costs of the equity.</w:t>
      </w:r>
    </w:p>
    <w:p>
      <w:pPr>
        <w:spacing w:after="0" w:line="18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Under SAT Circular 7, and the </w:t>
      </w:r>
      <w:r>
        <w:rPr>
          <w:rFonts w:ascii="Times New Roman" w:cs="Times New Roman" w:eastAsia="Times New Roman" w:hAnsi="Times New Roman"/>
          <w:sz w:val="18"/>
          <w:szCs w:val="18"/>
          <w:i w:val="1"/>
          <w:iCs w:val="1"/>
          <w:color w:val="auto"/>
        </w:rPr>
        <w:t>Law of the People’s Republic of China on the Administration of Tax Collection</w:t>
      </w:r>
      <w:r>
        <w:rPr>
          <w:rFonts w:ascii="Times New Roman" w:cs="Times New Roman" w:eastAsia="Times New Roman" w:hAnsi="Times New Roman"/>
          <w:sz w:val="18"/>
          <w:szCs w:val="18"/>
          <w:color w:val="auto"/>
        </w:rPr>
        <w:t xml:space="preserve"> promulgated by the SCNPC on September 4, 1992 and most recently amended on April 24, 2015, in the case of an indirect transfer, parities obligated to pay the transfer price to the transferor shall be the withholding agents. Where the withholding agent fails to withhold, and the transferor does not discharge its tax liability, the tax authority may impose late payment interest and special tax adjustment interest (if applicable) on the transferor. In addition, the tax authority may also hold the withholding agents liable and impose a penalty of between 50% to 300% of the unpaid tax amount. The penalty imposed on the withholding agents may be reduced or waived if the withholding agents have submitted the relevant materials in connection with the indirect transfer to the PRC tax authorities in accordance with SAT Circular 7.</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Withholding tax on dividend distribution</w:t>
      </w:r>
    </w:p>
    <w:p>
      <w:pPr>
        <w:spacing w:after="0" w:line="11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The EIT Law prescribes a standard withholding tax rate of 20% on dividends and other China-sourced income of a non-PRC resident enterprise that has no establishment or place of business in the PRC, or if the relevant dividends or other China-sourced income are in fact not associated with any establishment or place of business in the PRC of a non-PRC resident enterprise. The Implementing Rules of the EIT Law reduced the withholding tax rate from 20% to 10% and a lower withholding tax rate is applicable if there is a tax treaty between China and the jurisdiction of the foreign holding company. For example, pursuant to the </w:t>
      </w:r>
      <w:r>
        <w:rPr>
          <w:rFonts w:ascii="Times New Roman" w:cs="Times New Roman" w:eastAsia="Times New Roman" w:hAnsi="Times New Roman"/>
          <w:sz w:val="18"/>
          <w:szCs w:val="18"/>
          <w:i w:val="1"/>
          <w:iCs w:val="1"/>
          <w:color w:val="auto"/>
        </w:rPr>
        <w:t>Arrangement Between the Mainland of China and the Hong Kong Special Administrative Region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Avoidance of Double Taxation on Income</w:t>
      </w:r>
      <w:r>
        <w:rPr>
          <w:rFonts w:ascii="Times New Roman" w:cs="Times New Roman" w:eastAsia="Times New Roman" w:hAnsi="Times New Roman"/>
          <w:sz w:val="18"/>
          <w:szCs w:val="18"/>
          <w:color w:val="auto"/>
        </w:rPr>
        <w:t>, or the Double Tax Avoidance Arrangement, and other applicable PRC laws, if a Hong Kong 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enterprise is determined by the competent PRC tax authority to have satisfied the relevant conditions and requirements under the Double Tax Avoidance Arrangement and other applicable laws, the 10% withholding tax on the dividends that the Hong Kong resident enterprise receives from a PRC resident enterprise may be reduced to 5% upon the relevant documentations for enjoying the tax treaty benefits are filed with the competent tax authorities. On the other hand, based on the </w:t>
      </w:r>
      <w:r>
        <w:rPr>
          <w:rFonts w:ascii="Times New Roman" w:cs="Times New Roman" w:eastAsia="Times New Roman" w:hAnsi="Times New Roman"/>
          <w:sz w:val="18"/>
          <w:szCs w:val="18"/>
          <w:i w:val="1"/>
          <w:iCs w:val="1"/>
          <w:color w:val="auto"/>
        </w:rPr>
        <w:t>Notice on Relevant Issues Relating to the Enforcement of Dividend Provisions in Tax Treaties</w:t>
      </w:r>
      <w:r>
        <w:rPr>
          <w:rFonts w:ascii="Times New Roman" w:cs="Times New Roman" w:eastAsia="Times New Roman" w:hAnsi="Times New Roman"/>
          <w:sz w:val="18"/>
          <w:szCs w:val="18"/>
          <w:color w:val="auto"/>
        </w:rPr>
        <w:t xml:space="preserve"> issued on February 20, 2009 by the SAT, if PRC tax authorities determine, at their discretion, that a company benefits from a reduced income tax rate due to the implementation of a structure or arrangement that is primarily tax-driven, the preferential tax treatment may be adjusted. The </w:t>
      </w:r>
      <w:r>
        <w:rPr>
          <w:rFonts w:ascii="Times New Roman" w:cs="Times New Roman" w:eastAsia="Times New Roman" w:hAnsi="Times New Roman"/>
          <w:sz w:val="18"/>
          <w:szCs w:val="18"/>
          <w:i w:val="1"/>
          <w:iCs w:val="1"/>
          <w:color w:val="auto"/>
        </w:rPr>
        <w:t>Announcement of the State Administration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Taxation on Issues concerning “Beneficial Owners” in Tax Treaties</w:t>
      </w:r>
      <w:r>
        <w:rPr>
          <w:rFonts w:ascii="Times New Roman" w:cs="Times New Roman" w:eastAsia="Times New Roman" w:hAnsi="Times New Roman"/>
          <w:sz w:val="18"/>
          <w:szCs w:val="18"/>
          <w:color w:val="auto"/>
        </w:rPr>
        <w:t>, which was promulgated by the SAT on February 3, 2018 and took effect on April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further clarifies the standard of assessment when determining the qualification of beneficial owner status.</w:t>
      </w:r>
    </w:p>
    <w:p>
      <w:pPr>
        <w:spacing w:after="0" w:line="197" w:lineRule="exact"/>
        <w:rPr>
          <w:sz w:val="20"/>
          <w:szCs w:val="20"/>
          <w:color w:val="auto"/>
        </w:rPr>
      </w:pPr>
    </w:p>
    <w:p>
      <w:pPr>
        <w:jc w:val="center"/>
        <w:ind w:right="20"/>
        <w:spacing w:after="0" w:line="454" w:lineRule="auto"/>
        <w:rPr>
          <w:sz w:val="20"/>
          <w:szCs w:val="20"/>
          <w:color w:val="auto"/>
        </w:rPr>
      </w:pPr>
      <w:r>
        <w:rPr>
          <w:rFonts w:ascii="Times New Roman" w:cs="Times New Roman" w:eastAsia="Times New Roman" w:hAnsi="Times New Roman"/>
          <w:sz w:val="18"/>
          <w:szCs w:val="18"/>
          <w:color w:val="auto"/>
        </w:rPr>
        <w:t>Interest income derived from our subsidiary in Hong Kong from mainland China is subject to CIT on a withholding basis at a rate of 10%. 92</w:t>
      </w:r>
    </w:p>
    <w:p>
      <w:pPr>
        <w:sectPr>
          <w:pgSz w:w="11900" w:h="16838" w:orient="portrait"/>
          <w:cols w:equalWidth="0" w:num="1">
            <w:col w:w="11100"/>
          </w:cols>
          <w:pgMar w:left="320" w:top="482" w:right="4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Value-added tax</w:t>
      </w:r>
    </w:p>
    <w:p>
      <w:pPr>
        <w:spacing w:after="0" w:line="11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Interim Regulations on Value-Added Tax of the People’s Republic of China</w:t>
      </w:r>
      <w:r>
        <w:rPr>
          <w:rFonts w:ascii="Times New Roman" w:cs="Times New Roman" w:eastAsia="Times New Roman" w:hAnsi="Times New Roman"/>
          <w:sz w:val="18"/>
          <w:szCs w:val="18"/>
          <w:color w:val="auto"/>
        </w:rPr>
        <w:t xml:space="preserve">, which was promulgated by the State Council on December 13, 1993 and most recently amended on November 19, 2017, and the </w:t>
      </w:r>
      <w:r>
        <w:rPr>
          <w:rFonts w:ascii="Times New Roman" w:cs="Times New Roman" w:eastAsia="Times New Roman" w:hAnsi="Times New Roman"/>
          <w:sz w:val="18"/>
          <w:szCs w:val="18"/>
          <w:i w:val="1"/>
          <w:iCs w:val="1"/>
          <w:color w:val="auto"/>
        </w:rPr>
        <w:t>Implementation Rules for the Interim Regulations on Value-Added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the People’s Republic of China</w:t>
      </w:r>
      <w:r>
        <w:rPr>
          <w:rFonts w:ascii="Times New Roman" w:cs="Times New Roman" w:eastAsia="Times New Roman" w:hAnsi="Times New Roman"/>
          <w:sz w:val="18"/>
          <w:szCs w:val="18"/>
          <w:color w:val="auto"/>
        </w:rPr>
        <w:t>, which was promulgated by the MOF and SAT on December 25, 1993 and most recently amended on October 28,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2011, entities or individuals engaging in the sale of goods, provision of processing services, repairs and replacement services or importation of goods within the territory of the PRC shall pay value-added tax, or VAT. Unless provided otherwise, the rate of VAT is 17% on the sale of goods and 6% on services. On April 4, 2018, MOF and SAT jointly promulgated the </w:t>
      </w:r>
      <w:r>
        <w:rPr>
          <w:rFonts w:ascii="Times New Roman" w:cs="Times New Roman" w:eastAsia="Times New Roman" w:hAnsi="Times New Roman"/>
          <w:sz w:val="18"/>
          <w:szCs w:val="18"/>
          <w:i w:val="1"/>
          <w:iCs w:val="1"/>
          <w:color w:val="auto"/>
        </w:rPr>
        <w:t>Circular of the Ministry of Finance and the State Administration of Taxation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Adjustment of Value-Added Tax Rates</w:t>
      </w:r>
      <w:r>
        <w:rPr>
          <w:rFonts w:ascii="Times New Roman" w:cs="Times New Roman" w:eastAsia="Times New Roman" w:hAnsi="Times New Roman"/>
          <w:sz w:val="18"/>
          <w:szCs w:val="18"/>
          <w:color w:val="auto"/>
        </w:rPr>
        <w:t>, or Circular 32, according to which (i) for VAT taxable sales and imports of goods that were originally subject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VAT rate of 17% and 11%, respectively, the applicable VAT rates shall be adjusted to 16% and 10%, respectively; (ii) for the purchase of agricultural products that was originally subject to a VAT rate of 11%, the applicable VAT rate shall be adjusted to 10%; (iii) for the purchase of agricultural products for the purpose of production and sales or for the processing of goods under consignment that were originally subject to a VAT rate of 16%, the applicable VAT rate shall be adjusted to 12%; (iv) for export products that were originally subject to a tax rate of 17% and export tax refund rate of 17%, the export tax refund rate shall be adjusted to 16%; and (v) for export products and cross-border taxable acts that were originally subject to a tax rate of 11% and export tax refund rate of 11%, the export tax refund rate shall be adjusted to 10%. Circular 32 became effective on May 1, 2018, and shall supersede all previous provisions which are inconsistent with Circular 32. On December 25, 2024, the SCNPC promulgated the </w:t>
      </w:r>
      <w:r>
        <w:rPr>
          <w:rFonts w:ascii="Times New Roman" w:cs="Times New Roman" w:eastAsia="Times New Roman" w:hAnsi="Times New Roman"/>
          <w:sz w:val="18"/>
          <w:szCs w:val="18"/>
          <w:i w:val="1"/>
          <w:iCs w:val="1"/>
          <w:color w:val="auto"/>
        </w:rPr>
        <w:t>Value-Added Tax Law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People’s Republic of China</w:t>
      </w:r>
      <w:r>
        <w:rPr>
          <w:rFonts w:ascii="Times New Roman" w:cs="Times New Roman" w:eastAsia="Times New Roman" w:hAnsi="Times New Roman"/>
          <w:sz w:val="18"/>
          <w:szCs w:val="18"/>
          <w:color w:val="auto"/>
        </w:rPr>
        <w:t>, which will become effective on January 1, 2026 and the Interim Regulations will be abolished.</w:t>
      </w:r>
    </w:p>
    <w:p>
      <w:pPr>
        <w:spacing w:after="0" w:line="196"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Since November 16, 2011, the MOF and the SAT have implemented the </w:t>
      </w:r>
      <w:r>
        <w:rPr>
          <w:rFonts w:ascii="Times New Roman" w:cs="Times New Roman" w:eastAsia="Times New Roman" w:hAnsi="Times New Roman"/>
          <w:sz w:val="18"/>
          <w:szCs w:val="18"/>
          <w:i w:val="1"/>
          <w:iCs w:val="1"/>
          <w:color w:val="auto"/>
        </w:rPr>
        <w:t>Pilot Plan for Imposition of Value-Added Tax to Replace Business Tax</w:t>
      </w:r>
      <w:r>
        <w:rPr>
          <w:rFonts w:ascii="Times New Roman" w:cs="Times New Roman" w:eastAsia="Times New Roman" w:hAnsi="Times New Roman"/>
          <w:sz w:val="18"/>
          <w:szCs w:val="18"/>
          <w:color w:val="auto"/>
        </w:rPr>
        <w:t xml:space="preserve">, or the VAT Pilot Plan, which imposes VAT in lieu of business tax for certain “modern service industries” in certain regions initially and is eventually expanded to apply nation-wide in 2013. According to the </w:t>
      </w:r>
      <w:r>
        <w:rPr>
          <w:rFonts w:ascii="Times New Roman" w:cs="Times New Roman" w:eastAsia="Times New Roman" w:hAnsi="Times New Roman"/>
          <w:sz w:val="18"/>
          <w:szCs w:val="18"/>
          <w:i w:val="1"/>
          <w:iCs w:val="1"/>
          <w:color w:val="auto"/>
        </w:rPr>
        <w:t>Implementation Rules for the Pilot Plan for Imposition of Value-Added Tax to Replace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Business Tax </w:t>
      </w:r>
      <w:r>
        <w:rPr>
          <w:rFonts w:ascii="Times New Roman" w:cs="Times New Roman" w:eastAsia="Times New Roman" w:hAnsi="Times New Roman"/>
          <w:sz w:val="18"/>
          <w:szCs w:val="18"/>
          <w:color w:val="auto"/>
        </w:rPr>
        <w:t>released by the MOF and the SAT in relation to the VAT Pilot Plan, the “modern service industries” include research, development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technology services, information technology services, cultural innovation services, logistics support, lease of corporeal properties, attestation and consulting services. The </w:t>
      </w:r>
      <w:r>
        <w:rPr>
          <w:rFonts w:ascii="Times New Roman" w:cs="Times New Roman" w:eastAsia="Times New Roman" w:hAnsi="Times New Roman"/>
          <w:sz w:val="18"/>
          <w:szCs w:val="18"/>
          <w:i w:val="1"/>
          <w:iCs w:val="1"/>
          <w:color w:val="auto"/>
        </w:rPr>
        <w:t>Notice of the Ministry of Finance and the State Taxation Administration on Comprehensively Promoting the Pilot Plan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Conversion of Business Tax to Value-Added Tax</w:t>
      </w:r>
      <w:r>
        <w:rPr>
          <w:rFonts w:ascii="Times New Roman" w:cs="Times New Roman" w:eastAsia="Times New Roman" w:hAnsi="Times New Roman"/>
          <w:sz w:val="18"/>
          <w:szCs w:val="18"/>
          <w:color w:val="auto"/>
        </w:rPr>
        <w:t>, which was promulgated on March 23, 2016 and most recently amended on March 20, 2019, sets 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VAT in lieu of business tax be collected in all regions and industries.</w:t>
      </w:r>
    </w:p>
    <w:p>
      <w:pPr>
        <w:spacing w:after="0" w:line="18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On March 20, 2019, the MOF, the SAT and the General Administration of Customs jointly promulgated the </w:t>
      </w:r>
      <w:r>
        <w:rPr>
          <w:rFonts w:ascii="Times New Roman" w:cs="Times New Roman" w:eastAsia="Times New Roman" w:hAnsi="Times New Roman"/>
          <w:sz w:val="18"/>
          <w:szCs w:val="18"/>
          <w:i w:val="1"/>
          <w:iCs w:val="1"/>
          <w:color w:val="auto"/>
        </w:rPr>
        <w:t>Announcement on Relevant Policies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Deepening Value-Added Tax Reform</w:t>
      </w:r>
      <w:r>
        <w:rPr>
          <w:rFonts w:ascii="Times New Roman" w:cs="Times New Roman" w:eastAsia="Times New Roman" w:hAnsi="Times New Roman"/>
          <w:sz w:val="18"/>
          <w:szCs w:val="18"/>
          <w:color w:val="auto"/>
        </w:rPr>
        <w:t>, which became effective on April 1, 2019, and provides that (i) with respect to VAT taxable sales and import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goods, the applicable tax rates shall be adjusted from 16% and 10% respectively, to 13% and 9%, respectively; (ii) with respect to the purchase of agricultural products, the applicable tax rates shall be adjusted from 10% to 9%; (iii) with respect to the purchase of agricultural products for the purpose of production or processing of goods under consignment, the applicable tax rates shall be adjusted from 13% to 10%; (iv) with respect to the export of goods and services that was originally subject to tax rate of 16% and export tax refund rate of 16%, the export tax refund rate shall be adjusted to 13%; and (v) with respect to the export of goods and cross-border taxable acts that were originally subject to a tax rate of 10% and export tax refund rate of 10%, the export tax refund rate shall be adjusted to 9%.</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Employment and Social Welfare</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According to the </w:t>
      </w:r>
      <w:r>
        <w:rPr>
          <w:rFonts w:ascii="Times New Roman" w:cs="Times New Roman" w:eastAsia="Times New Roman" w:hAnsi="Times New Roman"/>
          <w:sz w:val="18"/>
          <w:szCs w:val="18"/>
          <w:i w:val="1"/>
          <w:iCs w:val="1"/>
          <w:color w:val="auto"/>
        </w:rPr>
        <w:t>Labor Contract Law of the People’s Republic of China</w:t>
      </w:r>
      <w:r>
        <w:rPr>
          <w:rFonts w:ascii="Times New Roman" w:cs="Times New Roman" w:eastAsia="Times New Roman" w:hAnsi="Times New Roman"/>
          <w:sz w:val="18"/>
          <w:szCs w:val="18"/>
          <w:color w:val="auto"/>
        </w:rPr>
        <w:t xml:space="preserve">, or the Labor Contract Law, promulgated by the SCNPC on June 29, 2007 and most recently amended on December 28, 2012, and </w:t>
      </w:r>
      <w:r>
        <w:rPr>
          <w:rFonts w:ascii="Times New Roman" w:cs="Times New Roman" w:eastAsia="Times New Roman" w:hAnsi="Times New Roman"/>
          <w:sz w:val="18"/>
          <w:szCs w:val="18"/>
          <w:i w:val="1"/>
          <w:iCs w:val="1"/>
          <w:color w:val="auto"/>
        </w:rPr>
        <w:t>The Implementation Rules of the Labor Contract Law of the People’s Republic of China</w:t>
      </w:r>
      <w:r>
        <w:rPr>
          <w:rFonts w:ascii="Times New Roman" w:cs="Times New Roman" w:eastAsia="Times New Roman" w:hAnsi="Times New Roman"/>
          <w:sz w:val="18"/>
          <w:szCs w:val="18"/>
          <w:color w:val="auto"/>
        </w:rPr>
        <w:t>, or the Implementation Rules of the Labor Contract Law, promulgated by the State Council on September 18, 2008, a written employment contract shall be entered into to create an employment relationship. If an employer fails to enter into a written employment contract with an employee within one year from the date on which the employment relationship is created, the employer must enter into a written employment contract with the employee and pay the employee an amount equal to twice such employee’s salary for the period from the day following the lapse of one month from the date of the creation of the employment relationship to the day prior to the execution of the written employment contract. The Labor Contract Law and the Implementation Rules of the Labor Contract Law also require compensation to be paid by the employer in certain events as a result of termination. In addition, if an employer intends to enforce a non-compete provision in an employment contract or non-competition agreement with an employee, it has to compensate the employee on a monthly basis during the term of any restrictive period after the termination or expiry of the labor contract. In most cases, employers are also required to provide severance payment to their employees after their employment relationships are terminated.</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20"/>
          </w:cols>
          <w:pgMar w:left="320" w:top="482"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Social Insurance Law of the People’s Republic of China</w:t>
      </w:r>
      <w:r>
        <w:rPr>
          <w:rFonts w:ascii="Times New Roman" w:cs="Times New Roman" w:eastAsia="Times New Roman" w:hAnsi="Times New Roman"/>
          <w:sz w:val="18"/>
          <w:szCs w:val="18"/>
          <w:color w:val="auto"/>
        </w:rPr>
        <w:t xml:space="preserve">, or the Social Insurance Law, which was promulgated by the SCNPC on October 28, 2010 and amended on December 29, 2018, the </w:t>
      </w:r>
      <w:r>
        <w:rPr>
          <w:rFonts w:ascii="Times New Roman" w:cs="Times New Roman" w:eastAsia="Times New Roman" w:hAnsi="Times New Roman"/>
          <w:sz w:val="18"/>
          <w:szCs w:val="18"/>
          <w:i w:val="1"/>
          <w:iCs w:val="1"/>
          <w:color w:val="auto"/>
        </w:rPr>
        <w:t>Interim Regulations on the Collection of Social Insurance Fees,</w:t>
      </w:r>
      <w:r>
        <w:rPr>
          <w:rFonts w:ascii="Times New Roman" w:cs="Times New Roman" w:eastAsia="Times New Roman" w:hAnsi="Times New Roman"/>
          <w:sz w:val="18"/>
          <w:szCs w:val="18"/>
          <w:color w:val="auto"/>
        </w:rPr>
        <w:t xml:space="preserve"> issued by the State Council on January 22, 1999 and amended on March 24, 2019, and the </w:t>
      </w:r>
      <w:r>
        <w:rPr>
          <w:rFonts w:ascii="Times New Roman" w:cs="Times New Roman" w:eastAsia="Times New Roman" w:hAnsi="Times New Roman"/>
          <w:sz w:val="18"/>
          <w:szCs w:val="18"/>
          <w:i w:val="1"/>
          <w:iCs w:val="1"/>
          <w:color w:val="auto"/>
        </w:rPr>
        <w:t>Regulations on the Administration of Housing Provident Funds</w:t>
      </w:r>
      <w:r>
        <w:rPr>
          <w:rFonts w:ascii="Times New Roman" w:cs="Times New Roman" w:eastAsia="Times New Roman" w:hAnsi="Times New Roman"/>
          <w:sz w:val="18"/>
          <w:szCs w:val="18"/>
          <w:color w:val="auto"/>
        </w:rPr>
        <w:t>, issued by the State Council on April 3, 1999 and last amended on March 24, 2019, enterprises in mainland China are required to participate in certain employee benefit plans, including social insurance funds and housing provident funds, and contribute to the funds in amounts equal to certain percentages of salaries, including bonuses and allowances, of the employees as specified from time to time by the local government at the place of their business operations or where they are located.</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Leased Properties</w:t>
      </w:r>
    </w:p>
    <w:p>
      <w:pPr>
        <w:spacing w:after="0" w:line="119"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According to the </w:t>
      </w:r>
      <w:r>
        <w:rPr>
          <w:rFonts w:ascii="Times New Roman" w:cs="Times New Roman" w:eastAsia="Times New Roman" w:hAnsi="Times New Roman"/>
          <w:sz w:val="18"/>
          <w:szCs w:val="18"/>
          <w:i w:val="1"/>
          <w:iCs w:val="1"/>
          <w:color w:val="auto"/>
        </w:rPr>
        <w:t>Civil Code of the People’s Republic of China</w:t>
      </w:r>
      <w:r>
        <w:rPr>
          <w:rFonts w:ascii="Times New Roman" w:cs="Times New Roman" w:eastAsia="Times New Roman" w:hAnsi="Times New Roman"/>
          <w:sz w:val="18"/>
          <w:szCs w:val="18"/>
          <w:color w:val="auto"/>
        </w:rPr>
        <w:t xml:space="preserve"> which was promulgated by NPC on May 28, 2020 and became effective on January 1, 2021, an owner of immovable or movable property is entitled to possession, use, earnings, and disposal of such property in accordance with the law. Subject to the consent of the lessor, the lessee may sublease the leased premises to a third party. Where a lessee subleases the premises, the lease contract between the lessee and the lessor remains valid. The lessor is entitled to terminate the lease if the lessee subleases the premises without the consent of the lessor. In addition, if the ownership of the leased premises changes during the lessee’s possession in accordance with the terms of the lease contract, the validity of the lease contract shall not be affected.</w:t>
      </w:r>
    </w:p>
    <w:p>
      <w:pPr>
        <w:spacing w:after="0" w:line="18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On December 1, 2010, the Ministry of Housing and Urban-Rural Development promulgated the </w:t>
      </w:r>
      <w:r>
        <w:rPr>
          <w:rFonts w:ascii="Times New Roman" w:cs="Times New Roman" w:eastAsia="Times New Roman" w:hAnsi="Times New Roman"/>
          <w:sz w:val="18"/>
          <w:szCs w:val="18"/>
          <w:i w:val="1"/>
          <w:iCs w:val="1"/>
          <w:color w:val="auto"/>
        </w:rPr>
        <w:t>Administrative Measures on Leasing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Commodity Housing</w:t>
      </w:r>
      <w:r>
        <w:rPr>
          <w:rFonts w:ascii="Times New Roman" w:cs="Times New Roman" w:eastAsia="Times New Roman" w:hAnsi="Times New Roman"/>
          <w:sz w:val="18"/>
          <w:szCs w:val="18"/>
          <w:color w:val="auto"/>
        </w:rPr>
        <w:t>, which became effective on February 1, 2011. According to such measures, the lessor and the lessee are required to complete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leasing registration and filing formalities within 30 days from the execution of the property lease agreement with the development authorities or real estate authorities of the municipality or county where the leased property is located. If a company fails to do, it may be ordered to rectify within a stipulated period, and if such company fails to rectify, a fine ranging from RMB1,000 to RMB10,000 may be imposed on each lease agreement.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Overseas Listing and M&amp;A</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On August 8, 2006, six PRC regulatory agencies, including the China Securities Regulatory Commission, or the CSRC, promulgated the M&amp;A Rules, which became effective on September 8, 2006, and was most recently amended on June 22, 2009. The M&amp;A Rules, among other things, require offshore special purpose vehicles formed for overseas listing purposes through acquisitions of PRC domestic companies and controlled by PRC domestic enterprises or individuals to obtain the approval of the CSRC prior to the listing and trading of such special purpose vehicle’s securities on an overseas stock exchange. In September 2006, the CSRC published on its official website procedures relating to its approval of overseas listings by special purpose vehicles. These procedures require the filing of a number of documents with the CSRC.</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M&amp;A Rules, and other regulations and rules concerning mergers and acquisitions established additional procedures and requirements that could make merger and acquisition activities by foreign investors more time consuming and complex. For example, the M&amp;A Rules require that MOFCOM be notified in advance of any change-of-control transaction in which a foreign investor takes control of a PRC domestic enterprise, if (i) any important industry is concerned, (ii) such transaction involves factors that impact or may impact national economic security, or (iii) such transaction will lead to a change in control of a domestic enterprise which holds a renowned trademark or a time-honored brand.</w:t>
      </w:r>
    </w:p>
    <w:p>
      <w:pPr>
        <w:spacing w:after="0" w:line="18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In addition, according to the </w:t>
      </w:r>
      <w:r>
        <w:rPr>
          <w:rFonts w:ascii="Times New Roman" w:cs="Times New Roman" w:eastAsia="Times New Roman" w:hAnsi="Times New Roman"/>
          <w:sz w:val="18"/>
          <w:szCs w:val="18"/>
          <w:i w:val="1"/>
          <w:iCs w:val="1"/>
          <w:color w:val="auto"/>
        </w:rPr>
        <w:t>Notice on Establishing the Security Review System for Mergers and Acquisitions of Domestic Enterprises by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Investors </w:t>
      </w:r>
      <w:r>
        <w:rPr>
          <w:rFonts w:ascii="Times New Roman" w:cs="Times New Roman" w:eastAsia="Times New Roman" w:hAnsi="Times New Roman"/>
          <w:sz w:val="18"/>
          <w:szCs w:val="18"/>
          <w:color w:val="auto"/>
        </w:rPr>
        <w:t>which was issued by the General Office of the State Council on February 3, 2011 and became effective 30 days thereafter, the</w:t>
      </w:r>
      <w:r>
        <w:rPr>
          <w:rFonts w:ascii="Times New Roman" w:cs="Times New Roman" w:eastAsia="Times New Roman" w:hAnsi="Times New Roman"/>
          <w:sz w:val="18"/>
          <w:szCs w:val="18"/>
          <w:i w:val="1"/>
          <w:iCs w:val="1"/>
          <w:color w:val="auto"/>
        </w:rPr>
        <w:t xml:space="preserve"> Rules on Implementation of Security Review System for the Merger and Acquisition of Domestic Enterprises by Foreign Investors </w:t>
      </w:r>
      <w:r>
        <w:rPr>
          <w:rFonts w:ascii="Times New Roman" w:cs="Times New Roman" w:eastAsia="Times New Roman" w:hAnsi="Times New Roman"/>
          <w:sz w:val="18"/>
          <w:szCs w:val="18"/>
          <w:color w:val="auto"/>
        </w:rPr>
        <w:t>which was issued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MOFCOM on August 25, 2011 and became effective on September 1, 2011,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MOFCOM. This notice also prohibits any attempts to bypass such security review, including by structuring the transaction through a proxy or contractual control arrangement.</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20"/>
          </w:cols>
          <w:pgMar w:left="320" w:top="482"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On July 6, 2021, the General Office of the Central Committee of the Communist Party of China and the General Office of the State Council jointly issued the </w:t>
      </w:r>
      <w:r>
        <w:rPr>
          <w:rFonts w:ascii="Times New Roman" w:cs="Times New Roman" w:eastAsia="Times New Roman" w:hAnsi="Times New Roman"/>
          <w:sz w:val="18"/>
          <w:szCs w:val="18"/>
          <w:i w:val="1"/>
          <w:iCs w:val="1"/>
          <w:color w:val="auto"/>
        </w:rPr>
        <w:t>Opinions on Strictly Cracking Down Illegal Securities Activities in Accordance with the Law</w:t>
      </w:r>
      <w:r>
        <w:rPr>
          <w:rFonts w:ascii="Times New Roman" w:cs="Times New Roman" w:eastAsia="Times New Roman" w:hAnsi="Times New Roman"/>
          <w:sz w:val="18"/>
          <w:szCs w:val="18"/>
          <w:color w:val="auto"/>
        </w:rPr>
        <w:t>, which requests improvement on the laws and regulations related to data security, cross-border data transfer and the management of confidential information, strengthening responsibility for the information security of overseas listed companies, strengthening standardized mechanisms for providing cross-border information and improvement of cross-border audit regulatory cooperation in accordance with the law and the principle of reciprocity.</w:t>
      </w:r>
    </w:p>
    <w:p>
      <w:pPr>
        <w:spacing w:after="0" w:line="181"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On February 17, 2023, the CSRC, as approved by the State Council, released the </w:t>
      </w:r>
      <w:r>
        <w:rPr>
          <w:rFonts w:ascii="Times New Roman" w:cs="Times New Roman" w:eastAsia="Times New Roman" w:hAnsi="Times New Roman"/>
          <w:sz w:val="18"/>
          <w:szCs w:val="18"/>
          <w:i w:val="1"/>
          <w:iCs w:val="1"/>
          <w:color w:val="auto"/>
        </w:rPr>
        <w:t>Trial Administrative Measures of Overseas Securities Offering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Listing by Domestic Companies </w:t>
      </w:r>
      <w:r>
        <w:rPr>
          <w:rFonts w:ascii="Times New Roman" w:cs="Times New Roman" w:eastAsia="Times New Roman" w:hAnsi="Times New Roman"/>
          <w:sz w:val="18"/>
          <w:szCs w:val="18"/>
          <w:color w:val="auto"/>
        </w:rPr>
        <w:t>and five supporting guidelines, or the Filing Rules. Further, on May 16, 2023 and May 7, 2024, the CSRC released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sixth and the seventh supporting guideline. The Filing Rules took effect on March 31, 2023, when the CSRC started to accept filing applications. Pursuant to these new rules, PRC domestic companies that directly or indirectly offer or list their securities in an overseas market, which include (i) any PRC company limited by shares, and (ii) any offshore company that conducts its business operations primarily in mainland China and contemplates to offer or list its securities in an overseas market based on its onshore equities, assets, income or similar interests, are required to file with the CSRC within three business days after submitting their listing application documents to the relevant regulator in the place of intended listing. The Filing Rules, among others, further stipulate that when determining whether an offering and listing shall be deemed as an “indirect overseas offering and listing by a Chinese company,” the principle of “substance over form” shall be followed. If the issuer meets both of the following conditions, its offering and listing shall be determined as an “indirect overseas offering and listing by a Chinese company” and is therefore subject to the filing requirement: (i) any of the revenue, profits, total assets or net assets of the domestic companies in the most recent financial year account for more than 50% of the corresponding data in the issuer’s audited consolidated financial statements for the same period; and (ii) the key link of its business operations are conducted in mainland China or its principal place of business is located in the mainland China, or the majority of senior management in charge of business operations are Chinese citizens or have domicile in the PRC. Failure to complete such filing may subject a PRC domestic enterprise to an order of rectification, a warning or a fine between RMB1 million and RMB10 million. However, as of the date of this annual report, uncertainties exist regarding the interpretation and implementation thereof. Pursuant to these regulations, a domestic enterprise applying for listing abroad shall, among others, complete record filing procedures and report relevant information to the CSRC as required.</w:t>
      </w:r>
    </w:p>
    <w:p>
      <w:pPr>
        <w:spacing w:after="0" w:line="195"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In addition, pursuant to the Filing Rules, the overseas offering and listing by a PRC company is prohibited under any of the following circumstances, if (i) it is explicitly prohibited by PRC laws; (ii) it may constitute a threat to or endanger national security as determined by competent PRC authorities; (iii) the domestic enterprises and their controlling shareholders and actual controllers have committed certain criminal offenses in the past three years; (iv) the domestic enterprises are currently under investigations in connection with suspicion of having committed criminal offences or material violations of applicable laws and regulations and there is still no explicit conclusion; or (v) there is material ownership disputes over the shareholdings held by the controlling shareholder or the shareholder under the control of the controlling shareholder or the actual controllers.</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Starting from March 31, 2023, the domestic enterprises that have submitted valid applications for overseas offerings and listings but have not obtained the approval from overseas regulatory authorities or overseas stock exchanges shall complete the filing procedures with the CSRC prior to their overseas offerings and listings.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in the European Union</w:t>
      </w:r>
    </w:p>
    <w:p>
      <w:pPr>
        <w:spacing w:after="0" w:line="121"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7"/>
          <w:szCs w:val="17"/>
          <w:color w:val="auto"/>
        </w:rPr>
        <w:t>In the European Union, or the EU, the General Data Protection Regulation, or GDPR, which came into effect in 2018, implements stringent operational requirements for processors and controllers of personal data, including, for example, requiring expanded disclosures about how personal information is to be used, limitations on retention of information, mandatory data breach notification requirements, and higher standards for data controllers to demonstrate that they have obtained either valid consent or have another legal basis in place to justify their data processing activities. Article 6.1 of GDPR outlines six legal grounds for lawfulness of processing personal data. In particular, processing shall be lawful only if and to the extent that at least one of the following applies: (a) the data subject has given consent to the processing of his or her personal data for one or more specific purposes; (b) processing is necessary for the performance of a contract to which the data subject is party or in order to take steps at the request of the data subject prior to entering into a contract; (c) processing is necessary for compliance with a legal obligation to which the controller is subject;</w:t>
      </w:r>
    </w:p>
    <w:p>
      <w:pPr>
        <w:ind w:left="120" w:right="160" w:hanging="4"/>
        <w:spacing w:after="0" w:line="253" w:lineRule="auto"/>
        <w:tabs>
          <w:tab w:leader="none" w:pos="3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processing is necessary in order to protect the vital interests of the data subject or of another natural person; (e) processing is necessary for the performance of a task carried out in the public interest or in the exercise of official authority vested in the controller; (f) processing is necessary for the purposes of the legitimate interests pursued by the controller or by a third party, except where such interests are overridden by the interests or fundamental rights and freedoms of the data subject which require protection of personal data, in particular where the data subject is a child.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82"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do not collect or store consumer personal information in the EU. However, the sensor suite on the autonomous driving vehicles produced or serviced by us may capture certain personal information of other traffic participants, such as license plate number or human face. Such information will be automatically removed through an onboard desensitization program and will not leave the vehicles. As such, we believe that our practice in the processing of personal information of other traffic participants captured by the autonomous driving vehicles is in compliance with the GDPR pursuant to Article 6.1(f) thereof. Under the GDPR, fines of up to €20 million or up to 4% of the total worldwide annual turnover of the preceding financial year, whichever is higher, may be assessed for non-compliance, which significantly increases our potential financial exposure if we fail to comply with all requirements under such laws.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in Singapore</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Personal Data Protection Act 2012, No. 26 of 2012 of Singapore, or the PDPA, generally requires organizations to give notice and obtain consents prior to collection, use or disclosure of personal data (being data, whether true or not, about an individual who can be identified from that data or other accessible information), and to provide individuals with the right to access and correct their own personal data. Organizations have mandatory obligations to assess data breaches they suffer, and to notify the Singapore Personal Data Protection Commission, or PDPC, and the relevant individuals where the data breach is of a certain severity. The PDPA also imposes various baseline obligations on organizations in connection with permitted uses of, accountability for, the protection of, the retention of, and overseas transfers of, personal data. In addition, the PDPA requires organizations to check “Do-Not-Call” registries prior to sending marketing messages addressed to Singapore telephone numbers, through voice calls, fax or text messages, including text messages transmitted over the Internet.</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PDPA creates various offenses in connection with the improper use of personal data, certain methods of collecting personal data and certain failures to comply with the requirements under the PDPA. These offences may be applicable to organizations, their officers and/or their employees. Offenders are liable on conviction to fines and/or imprisonment. Under the PDPA, the collection, use or disclosure of personal data typically requires an individual’s prior informed consent. However, in the context of an investigation, companies may seek to rely on the legitimate interests exception. Under paragraph 3 of Part 3 of the First Schedule to the PDPA, companies are not required to seek an individual’s consent if the collection, use or disclosure (as the case may be) of personal data about the individual is “necessary for any investigation or proceedings.”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PDPA empowers the PDPC with significant regulatory powers to ensure compliance with the PDPA, including powers to investigate, give directions and impose a financial penalty of up to S$1 million. In addition, the PDPA created a right of private action, pursuant to which the Singapore courts may grant damages, injunctions and relief by way of declaration, to persons who suffer loss or damages directly as a result of contraventions of certain requirements under the PDPA. The PDPA was last amended by the Personal Data Protection (Amendment) Act 2020, which took effect in phases from 1 February 2021. From 1 October 2022, the maximum financial penalty that the PDPC may impose is 10% of the annual turnover in Singapore of that organization or S$1 million, whichever is higher.</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do not collect or store consumer personal information in Singapore. However, the sensor suite on the autonomous driving vehicles produced or serviced by us may capture certain personal information of other traffic participants, such as license plate number or human face. Such information will be automatically removed through an onboard desensitization program and will not leave the vehicles. As such, we believe that our practice in the processing of personal information of other traffic participants captured by the autonomous driving vehicles is in compliance with the PDPA pursuant to the legitimate interests exception.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20"/>
          </w:cols>
          <w:pgMar w:left="320" w:top="482"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in the United States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While there are currently no federal U.S. regulations expressly pertaining to the safety of autonomous driving systems, the U.S. Department of Transportation has established recommended voluntary guidelines, and the National Highway Traffic Safety Administration, the NHTSA, and the Federal Motor Carrier Safety Administration have authority to take enforcement action should an automated driving system pose an unreasonable risk to safety or inhibit the safe operation of a commercial motor vehicle. Certain U.S. states have legal restrictions on autonomous driving vehicles, and many other states are considering them. Some states, particularly California, institute operational requirements or restrictions for certain autonomous functions. Autonomous driving laws and regulations are expected to continue to evolve in numerous jurisdictions in the United States and may create restrictions on autonomous driving features that we develop.</w:t>
      </w:r>
    </w:p>
    <w:p>
      <w:pPr>
        <w:spacing w:after="0" w:line="18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may also be subject to existing stringent requirements overseen by NHTSA under the National Traffic and Motor Vehicle Safety Act of 1966, or the Vehicle Safety Act, including a duty to report, subject to strict timing requirements, safety defects with our products. The Vehicle Safety Act imposes potentially significant civil penalties for violations including the failure to comply with such reporting actions.</w:t>
      </w:r>
    </w:p>
    <w:p>
      <w:pPr>
        <w:spacing w:after="0" w:line="176"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As the development of federal and state legal frameworks around autonomous vehicles continue to evolve, we may be subject to additional regulatory schemes.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00"/>
          </w:cols>
          <w:pgMar w:left="320" w:top="482" w:right="4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ORGANIZATIONAL STRUCTURE</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diagram illustrates our corporate structure, including our principal subsidiaries,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171450</wp:posOffset>
            </wp:positionV>
            <wp:extent cx="5366385" cy="4860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366385" cy="4860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40" w:hanging="424"/>
        <w:spacing w:after="0"/>
        <w:tabs>
          <w:tab w:leader="none" w:pos="5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PLANTS AND EQUIPMENT</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corporate headquarters are located in Guangzhou, China. As of December 31, 2024, our headquarters span a total area of approximately 6,700 square meters and encompass the need of corporate administration, research and development and production. In addition to our headquarters, we also lease offices in mainland China and elsewhere in the world. We believe our existing facilities are generally adequate to meet our current needs, but we expect to seek additional space as needed to accommodate future growth.</w:t>
      </w:r>
    </w:p>
    <w:p>
      <w:pPr>
        <w:spacing w:after="0" w:line="324"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4A.</w:t>
      </w:r>
      <w:r>
        <w:rPr>
          <w:sz w:val="20"/>
          <w:szCs w:val="20"/>
          <w:color w:val="auto"/>
        </w:rPr>
        <w:tab/>
      </w:r>
      <w:r>
        <w:rPr>
          <w:rFonts w:ascii="Times New Roman" w:cs="Times New Roman" w:eastAsia="Times New Roman" w:hAnsi="Times New Roman"/>
          <w:sz w:val="18"/>
          <w:szCs w:val="18"/>
          <w:b w:val="1"/>
          <w:bCs w:val="1"/>
          <w:color w:val="auto"/>
        </w:rPr>
        <w:t>UNRESOLVED STAFF COMMENTS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00"/>
          </w:cols>
          <w:pgMar w:left="320" w:top="482" w:right="4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OPERATING AND FINANCIAL REVIEW AND PROSPECTS</w:t>
      </w:r>
    </w:p>
    <w:p>
      <w:pPr>
        <w:spacing w:after="0" w:line="121"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The following discussion of our financial condition and results of operations is based upon and should be read in conjunction with our consolidated financial statements and the related notes included in this annual report. This annual report contains forward-looking statements. See “Forward-Looking Information.” In evaluating our business, you should carefully consider the information provided under the caption “Item 3. Key Information—D. Risk Factors” in this annual report. We caution you that our businesses and financial performance are subject to substantial risks and uncertainties.</w:t>
      </w:r>
    </w:p>
    <w:p>
      <w:pPr>
        <w:spacing w:after="0" w:line="328" w:lineRule="exact"/>
        <w:rPr>
          <w:sz w:val="20"/>
          <w:szCs w:val="20"/>
          <w:color w:val="auto"/>
        </w:rPr>
      </w:pPr>
    </w:p>
    <w:p>
      <w:pPr>
        <w:ind w:left="540" w:hanging="424"/>
        <w:spacing w:after="0"/>
        <w:tabs>
          <w:tab w:leader="none" w:pos="54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RESULTS</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WeRide provides autonomous driving products and services from L2 to L4, addressing transportation needs across a range of use cases on open road, including in mobility, logistics, and sanitation industries.</w:t>
      </w:r>
    </w:p>
    <w:p>
      <w:pPr>
        <w:spacing w:after="0" w:line="162"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generate revenue from (i) the sales of autonomous driving vehicles, primarily including robobuses, robotaxis and robosweepers, and related sensor suites, (ii) the provision of autonomous driving related operational and technical support services, and (iii) the provision of other technology services, including ADAS R&amp;D services, and intelligent data services.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Continued commercialization of our autonomous driving products and services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business model centers on the commitment to address real world problems. We focus on driving the adoption of our autonomous driving technology, products and services and we have delivered consistent growth underpinned by the leadership of our commercialization and maturity of our products. We are offering a wide range of services and products. In 2022, 2023 and 2024, we offered services and products to 21, 36 and 91 business customers, respectively. We expect to scale up our operations, increase the range of our product and service offerings and expand our revenue sources in the future. Our success will depend upon the progression of technological and commercialization milestones.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Continued investment in technology</w:t>
      </w:r>
    </w:p>
    <w:p>
      <w:pPr>
        <w:spacing w:after="0" w:line="121"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Technology is at the core of our business. Our research and development team are critical to the success of our business. We have focused on attracting and retaining best-in-class talent to solve the greatest difficulties challenging the autonomous driving industry. We will continue to invest heavily in employee recruitment and retention to grow our strength in key technologies.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Since our inception, our team has made technological investments in key aspects of autonomous driving software, hardware and infrastructure. We invested heavily in the development of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Currently,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is at running stage as the foundation model and technological backbone of our operating fleet. We have achieved technical feasibility, and have been using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as our fundamental infrastructure to support our autonomous driving technology and operation. However, we do not plan to sell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directly. We will continue to make ongoing investments into this platform, including optimizing its algorithm, upgrading its computing power and storage or processing capacity. We expect to start to generate meaningful revenue and profit relating to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through the sales of our autonomous driving vehicles and provision of our operational support services, between 2026 and 2028.</w:t>
      </w:r>
    </w:p>
    <w:p>
      <w:pPr>
        <w:spacing w:after="0" w:line="18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autonomous driving industry is a promising market and technology is a key competing factor. Our financial performance will be significantly dependent on our ability to maintain our technological leadership. As such, we expect to incur substantial and potentially increasing research and development expenses and to dedicate substantial resources to improving and refining our technology capabilities. We have not capitalized our expenditure on our development activities incurred in 2022, 2023 and 2024 primarily because that we believe we are still facing uncertainties related to development and commercialization of our products and services, evolving regulatory frameworks and public reception of our innovative technology. As such, we still cannot demonstrate these activities would generate probable future economic benefits and our expenditure on these development activities incurred has not met the capitalization criteria yet. We spent considerable amount of resources, both financially and from human capital perspective, on continually upgrading this platform and its underlying universal system, end-to-end models, offboard model training, among others. We expect these development activities would start to generate meaningful future economic benefit between 2026 and 2028.</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82"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Economies of scale and improvement of cost and operational efficiencies</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Operating at a large scale gives us significant advantages in terms of efficiencies and our financial performance will depend on our ability to achieve such efficiencies.</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investment in our unified operations platform has helped us achieve a high level of commonality in software and hardware across our different products. We have the opportunity to benefit from lower per unit production cost if we operate at scale. Our future performance will depend on our ability to scale up our operation and increase the volume of our autonomous driving vehicles.</w:t>
      </w:r>
    </w:p>
    <w:p>
      <w:pPr>
        <w:spacing w:after="0" w:line="176" w:lineRule="exact"/>
        <w:rPr>
          <w:sz w:val="20"/>
          <w:szCs w:val="20"/>
          <w:color w:val="auto"/>
        </w:rPr>
      </w:pPr>
    </w:p>
    <w:p>
      <w:pPr>
        <w:ind w:left="120" w:right="440" w:firstLine="440"/>
        <w:spacing w:after="0" w:line="261" w:lineRule="auto"/>
        <w:rPr>
          <w:sz w:val="20"/>
          <w:szCs w:val="20"/>
          <w:color w:val="auto"/>
        </w:rPr>
      </w:pPr>
      <w:r>
        <w:rPr>
          <w:rFonts w:ascii="Times New Roman" w:cs="Times New Roman" w:eastAsia="Times New Roman" w:hAnsi="Times New Roman"/>
          <w:sz w:val="18"/>
          <w:szCs w:val="18"/>
          <w:color w:val="auto"/>
        </w:rPr>
        <w:t>This operations platform also allows us to apply autonomous driving technology to new use cases quickly and with greater research and development efficiency. We also expect to maintain a competitive edge in operational efficiency as we continue to upgrade the unified operations platform. The operating experience and resources we acquire by launching one use case in a given geography allows us to expand the scope of our autonomous driving products and services in the same area with greater operational efficiency, and in turn the overall scale of our operations.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expect to achieve economies of scale and improve our margin as we ramp up the deployment and operation of our autonomous driving vehicles and introduce more use cases. Emergence of competition may negatively impact pricing, margins and market share, but we believe our commercialization and technological leadership will allow us to maintain favorable margins and unit economics. Our future performance will depend on our ability to deliver on these margins and economies of scale.</w:t>
      </w:r>
    </w:p>
    <w:p>
      <w:pPr>
        <w:spacing w:after="0" w:line="180"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We remain committed to lowering our operating and production costs across our product lines although we expect the absolute amount of our costs and expenses to increase in the near future as we continue to expand our operations and invest in our technologies, products and services. We believe such investment has and will continue to strengthen our technological leadership and translate into higher efficiencies in the long run.</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Market acceptance and adoption of autonomous driving products and services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market for autonomous driving products and services, particularly L4 autonomous driving products and services, is nascent and fast evolving.</w:t>
      </w:r>
    </w:p>
    <w:p>
      <w:pPr>
        <w:spacing w:after="0" w:line="2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business model is primarily supported by a large and expanding addressable market that we believe is increasingly benefiting from the introduction of autonomous driving technologies. Our autonomous driving vehicles are expected to present compelling unit economics as compared with traditional vehicles, particularly because the adoption of self-driving technologies will reduce labor costs associated human drivers and extend the operating hours of each vehicle. Our autonomous driving technology will also help alleviate any shortage of human drivers. As a result, we have been able to identify participants across different segments of the transportation industry who have expressed support for our product and service offerings as viable solutions to the challenges they face.</w:t>
      </w:r>
    </w:p>
    <w:p>
      <w:pPr>
        <w:spacing w:after="0" w:line="18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Although we have managed to generate demand and have received market acceptance for our products and services to a certain degree, the long-term success of our business model hinges on the broadscale adoption and support of L4 autonomous driving technology. In addition, the pace of regulatory development and the time needed to obtain governmental approvals in different countries and regions for autonomous driving products are critical to our performance, particularly for deploying and operating our L4 autonomous vehicles overseas. Delays in securing these critical approvals could dramatically disrupt our revenue generation timelines and recognition milestones for operational assistance services as we transition from the testing phase to full-scale commercial operations, potentially affecting our market launch and growth trajectory.</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00"/>
          </w:cols>
          <w:pgMar w:left="320" w:top="482" w:right="4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Recognition of Share-based Compensation Expenses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have granted options and other types of awards under our 2018 Share Plan. As of the date of the annual report, we had 64,257,435 outstanding restricted share units (including vested but not settled restricted share units) and outstanding options to purchase a total of 119,915,538 ordinary shares. For the years ended December 31, 2022, 2023 and 2024, we recorded RMB325.4 million, RMB931.8 million and RMB1,187.9 million (US$162.7 million) of share-based compensation expense in the consolidated statements of profit or loss. We may record substantial share-based compensation expense in the future. See “Item 3. Key Information—D. Risk Factors—Risks Related to Our Business and Industry—We have granted options and other types of awards under our 2018 Share Plan, which will result in a substantial amount of share-based compensation expenses and may have a significant impact on our results of operations.”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breakdown of our revenue by nature in absolute amount and as a percentage of our total revenue for the periods presented: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7"/>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12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800" w:type="dxa"/>
            <w:vAlign w:val="bottom"/>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12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800" w:type="dxa"/>
            <w:vAlign w:val="bottom"/>
            <w:tcBorders>
              <w:top w:val="single" w:sz="8" w:color="auto"/>
              <w:bottom w:val="single" w:sz="8" w:color="auto"/>
            </w:tcBorders>
            <w:gridSpan w:val="3"/>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RMB</w:t>
            </w:r>
          </w:p>
        </w:tc>
        <w:tc>
          <w:tcPr>
            <w:tcW w:w="46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RMB</w:t>
            </w:r>
          </w:p>
        </w:tc>
        <w:tc>
          <w:tcPr>
            <w:tcW w:w="4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w:t>
            </w:r>
          </w:p>
        </w:tc>
        <w:tc>
          <w:tcPr>
            <w:tcW w:w="160" w:type="dxa"/>
            <w:vAlign w:val="bottom"/>
            <w:tcBorders>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RMB</w:t>
            </w:r>
          </w:p>
        </w:tc>
        <w:tc>
          <w:tcPr>
            <w:tcW w:w="720" w:type="dxa"/>
            <w:vAlign w:val="bottom"/>
            <w:tcBorders>
              <w:top w:val="single" w:sz="8" w:color="auto"/>
              <w:bottom w:val="single" w:sz="8" w:color="auto"/>
            </w:tcBorders>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US$</w:t>
            </w:r>
          </w:p>
        </w:tc>
        <w:tc>
          <w:tcPr>
            <w:tcW w:w="4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w:t>
            </w:r>
          </w:p>
        </w:tc>
        <w:tc>
          <w:tcPr>
            <w:tcW w:w="60" w:type="dxa"/>
            <w:vAlign w:val="bottom"/>
          </w:tcPr>
          <w:p>
            <w:pPr>
              <w:spacing w:after="0"/>
              <w:rPr>
                <w:sz w:val="12"/>
                <w:szCs w:val="12"/>
                <w:color w:val="auto"/>
              </w:rPr>
            </w:pPr>
          </w:p>
        </w:tc>
      </w:tr>
      <w:tr>
        <w:trPr>
          <w:trHeight w:val="142"/>
        </w:trPr>
        <w:tc>
          <w:tcPr>
            <w:tcW w:w="12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80" w:type="dxa"/>
            <w:vAlign w:val="bottom"/>
            <w:gridSpan w:val="7"/>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 except for percentages)</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1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Product revenue</w:t>
            </w:r>
            <w:r>
              <w:rPr>
                <w:rFonts w:ascii="Times New Roman" w:cs="Times New Roman" w:eastAsia="Times New Roman" w:hAnsi="Times New Roman"/>
                <w:sz w:val="25"/>
                <w:szCs w:val="25"/>
                <w:color w:val="auto"/>
                <w:vertAlign w:val="superscript"/>
              </w:rPr>
              <w:t>(1)</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337,717</w:t>
            </w:r>
          </w:p>
        </w:tc>
        <w:tc>
          <w:tcPr>
            <w:tcW w:w="1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64.0</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54,190</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87,710</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12,016</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61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Service revenue</w:t>
            </w:r>
            <w:r>
              <w:rPr>
                <w:rFonts w:ascii="Times New Roman" w:cs="Times New Roman" w:eastAsia="Times New Roman" w:hAnsi="Times New Roman"/>
                <w:sz w:val="25"/>
                <w:szCs w:val="25"/>
                <w:color w:val="auto"/>
                <w:vertAlign w:val="superscript"/>
              </w:rPr>
              <w:t>(2)</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189,826</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36.0</w:t>
            </w: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347,654</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86.5</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273,424</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37,459</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75.7</w:t>
            </w:r>
          </w:p>
        </w:tc>
      </w:tr>
      <w:tr>
        <w:trPr>
          <w:trHeight w:val="223"/>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527,543</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401,844</w:t>
            </w:r>
          </w:p>
        </w:tc>
        <w:tc>
          <w:tcPr>
            <w:tcW w:w="1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361,134</w:t>
            </w:r>
          </w:p>
        </w:tc>
        <w:tc>
          <w:tcPr>
            <w:tcW w:w="160" w:type="dxa"/>
            <w:vAlign w:val="bottom"/>
          </w:tcPr>
          <w:p>
            <w:pPr>
              <w:spacing w:after="0"/>
              <w:rPr>
                <w:sz w:val="19"/>
                <w:szCs w:val="19"/>
                <w:color w:val="auto"/>
              </w:rPr>
            </w:pPr>
          </w:p>
        </w:tc>
        <w:tc>
          <w:tcPr>
            <w:tcW w:w="5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w w:val="96"/>
              </w:rPr>
              <w:t>49,475</w:t>
            </w:r>
          </w:p>
        </w:tc>
        <w:tc>
          <w:tcPr>
            <w:tcW w:w="1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6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4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w:t>
      </w:r>
    </w:p>
    <w:p>
      <w:pPr>
        <w:spacing w:after="0" w:line="131" w:lineRule="exact"/>
        <w:rPr>
          <w:sz w:val="20"/>
          <w:szCs w:val="20"/>
          <w:color w:val="auto"/>
        </w:rPr>
      </w:pPr>
    </w:p>
    <w:p>
      <w:pPr>
        <w:ind w:left="540" w:hanging="424"/>
        <w:spacing w:after="0"/>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sales of our autonomous driving vehicles, mainly including our robobuses, robotaxis and robosweepers and related sensor suites.</w:t>
      </w:r>
    </w:p>
    <w:p>
      <w:pPr>
        <w:spacing w:after="0" w:line="27" w:lineRule="exact"/>
        <w:rPr>
          <w:rFonts w:ascii="Times New Roman" w:cs="Times New Roman" w:eastAsia="Times New Roman" w:hAnsi="Times New Roman"/>
          <w:sz w:val="18"/>
          <w:szCs w:val="18"/>
          <w:color w:val="auto"/>
        </w:rPr>
      </w:pPr>
    </w:p>
    <w:p>
      <w:pPr>
        <w:ind w:left="540" w:right="200" w:hanging="424"/>
        <w:spacing w:after="0" w:line="260"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provision of services, including autonomous driving related operational and technical support services, ADAS R&amp;D services and intelligent data services.</w:t>
      </w:r>
    </w:p>
    <w:p>
      <w:pPr>
        <w:spacing w:after="0" w:line="181" w:lineRule="exact"/>
        <w:rPr>
          <w:sz w:val="20"/>
          <w:szCs w:val="20"/>
          <w:color w:val="auto"/>
        </w:rPr>
      </w:pPr>
    </w:p>
    <w:p>
      <w:pPr>
        <w:ind w:left="120" w:right="260" w:firstLine="440"/>
        <w:spacing w:after="0" w:line="277" w:lineRule="auto"/>
        <w:rPr>
          <w:sz w:val="20"/>
          <w:szCs w:val="20"/>
          <w:color w:val="auto"/>
        </w:rPr>
      </w:pPr>
      <w:r>
        <w:rPr>
          <w:rFonts w:ascii="Times New Roman" w:cs="Times New Roman" w:eastAsia="Times New Roman" w:hAnsi="Times New Roman"/>
          <w:sz w:val="17"/>
          <w:szCs w:val="17"/>
          <w:color w:val="auto"/>
        </w:rPr>
        <w:t xml:space="preserve">We generate revenue from (i) the sales of autonomous driving vehicles, primarily including robobuses, robotaxis and robosweepers, and related sensor suites, (ii) the provision of autonomous driving related operational and technical support services, and (iii) the provision of other technology services, including ADAS R&amp;D services, and intelligent data services. We also generated an insignificant amount of revenue from the offering of robotaxi rides through </w:t>
      </w:r>
      <w:r>
        <w:rPr>
          <w:rFonts w:ascii="Times New Roman" w:cs="Times New Roman" w:eastAsia="Times New Roman" w:hAnsi="Times New Roman"/>
          <w:sz w:val="17"/>
          <w:szCs w:val="17"/>
          <w:i w:val="1"/>
          <w:iCs w:val="1"/>
          <w:color w:val="auto"/>
        </w:rPr>
        <w:t>WeRide Go</w:t>
      </w:r>
      <w:r>
        <w:rPr>
          <w:rFonts w:ascii="Times New Roman" w:cs="Times New Roman" w:eastAsia="Times New Roman" w:hAnsi="Times New Roman"/>
          <w:sz w:val="17"/>
          <w:szCs w:val="17"/>
          <w:color w:val="auto"/>
        </w:rPr>
        <w:t xml:space="preserve"> starting in 2020 and from the provision of autonomous freight-as-a-service to our customers through our robovans starting in 2023, each of which was included in service revenue from autonomous driving related operational and technical support services.</w:t>
      </w:r>
    </w:p>
    <w:p>
      <w:pPr>
        <w:spacing w:after="0" w:line="168"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are in the early stage of commercialization. As we continue to make headways in the commercialization of our autonomous technologies, the composition of our revenue and the relative weight of our revenue items may change. For instance, our robotaxis have entered commercial production in 2024 and we aim to achieve readiness for large-scale commercialization in 2025, and we expect that our revenue from the robotaxi business will increase accordingly after the achievement of these commercialization milestones.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cost of revenue primarily consists of cost of goods sold and cost of services. Our cost of goods sold represents the cost of inventories associated with the sales of our autonomous driving vehicles. Our cost of services mainly comprises payroll and employee benefits for the provision of autonomous driving related operational and technical support services, ADAS R&amp;D services and intelligent data services.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40"/>
          </w:cols>
          <w:pgMar w:left="320" w:top="482" w:right="4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breakdown of our cost of revenue by nature in absolute amount and as a percentage of our total cost of revenue for the periods presented: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7"/>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6120" w:type="dxa"/>
            <w:vAlign w:val="bottom"/>
          </w:tcPr>
          <w:p>
            <w:pPr>
              <w:spacing w:after="0"/>
              <w:rPr>
                <w:sz w:val="12"/>
                <w:szCs w:val="12"/>
                <w:color w:val="auto"/>
              </w:rPr>
            </w:pPr>
          </w:p>
        </w:tc>
        <w:tc>
          <w:tcPr>
            <w:tcW w:w="800" w:type="dxa"/>
            <w:vAlign w:val="bottom"/>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6120" w:type="dxa"/>
            <w:vAlign w:val="bottom"/>
          </w:tcPr>
          <w:p>
            <w:pPr>
              <w:spacing w:after="0"/>
              <w:rPr>
                <w:sz w:val="12"/>
                <w:szCs w:val="12"/>
                <w:color w:val="auto"/>
              </w:rPr>
            </w:pPr>
          </w:p>
        </w:tc>
        <w:tc>
          <w:tcPr>
            <w:tcW w:w="800" w:type="dxa"/>
            <w:vAlign w:val="bottom"/>
            <w:tcBorders>
              <w:top w:val="single" w:sz="8" w:color="auto"/>
              <w:bottom w:val="single" w:sz="8" w:color="auto"/>
            </w:tcBorders>
            <w:gridSpan w:val="3"/>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RMB</w:t>
            </w:r>
          </w:p>
        </w:tc>
        <w:tc>
          <w:tcPr>
            <w:tcW w:w="46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RMB</w:t>
            </w:r>
          </w:p>
        </w:tc>
        <w:tc>
          <w:tcPr>
            <w:tcW w:w="4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w:t>
            </w:r>
          </w:p>
        </w:tc>
        <w:tc>
          <w:tcPr>
            <w:tcW w:w="160" w:type="dxa"/>
            <w:vAlign w:val="bottom"/>
            <w:tcBorders>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RMB</w:t>
            </w:r>
          </w:p>
        </w:tc>
        <w:tc>
          <w:tcPr>
            <w:tcW w:w="720" w:type="dxa"/>
            <w:vAlign w:val="bottom"/>
            <w:tcBorders>
              <w:top w:val="single" w:sz="8" w:color="auto"/>
              <w:bottom w:val="single" w:sz="8" w:color="auto"/>
            </w:tcBorders>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US$</w:t>
            </w:r>
          </w:p>
        </w:tc>
        <w:tc>
          <w:tcPr>
            <w:tcW w:w="4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w:t>
            </w:r>
          </w:p>
        </w:tc>
        <w:tc>
          <w:tcPr>
            <w:tcW w:w="60" w:type="dxa"/>
            <w:vAlign w:val="bottom"/>
          </w:tcPr>
          <w:p>
            <w:pPr>
              <w:spacing w:after="0"/>
              <w:rPr>
                <w:sz w:val="12"/>
                <w:szCs w:val="12"/>
                <w:color w:val="auto"/>
              </w:rPr>
            </w:pPr>
          </w:p>
        </w:tc>
      </w:tr>
      <w:tr>
        <w:trPr>
          <w:trHeight w:val="142"/>
        </w:trPr>
        <w:tc>
          <w:tcPr>
            <w:tcW w:w="6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80" w:type="dxa"/>
            <w:vAlign w:val="bottom"/>
            <w:gridSpan w:val="7"/>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 except for percentages)</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goods sold</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192,523</w:t>
            </w:r>
          </w:p>
        </w:tc>
        <w:tc>
          <w:tcPr>
            <w:tcW w:w="1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65.3</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34,138</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71,716</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9,825</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28.6</w:t>
            </w:r>
          </w:p>
        </w:tc>
      </w:tr>
      <w:tr>
        <w:trPr>
          <w:trHeight w:val="216"/>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services</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102,475</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34.7</w:t>
            </w: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184,230</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84.4</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178,703</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24,482</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71.4</w:t>
            </w:r>
          </w:p>
        </w:tc>
      </w:tr>
      <w:tr>
        <w:trPr>
          <w:trHeight w:val="223"/>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294,998</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218,368</w:t>
            </w:r>
          </w:p>
        </w:tc>
        <w:tc>
          <w:tcPr>
            <w:tcW w:w="1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250,419</w:t>
            </w:r>
          </w:p>
        </w:tc>
        <w:tc>
          <w:tcPr>
            <w:tcW w:w="1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34,307</w:t>
            </w:r>
          </w:p>
        </w:tc>
        <w:tc>
          <w:tcPr>
            <w:tcW w:w="1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60" w:type="dxa"/>
            <w:vAlign w:val="bottom"/>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expect our cost of revenue to increase in absolute amounts in the foreseeable future as we continue to commercialize our technologies and given the projected growth in the sales of our products and services. As is with the case of our revenue composition, our cost structure may also change as our product and service portfolio continues to expand and evolve.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our gross profit and gross margin for the periods presented:</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1000" w:type="dxa"/>
            <w:vAlign w:val="bottom"/>
            <w:tcBorders>
              <w:bottom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5200" w:type="dxa"/>
            <w:vAlign w:val="bottom"/>
          </w:tcPr>
          <w:p>
            <w:pPr>
              <w:spacing w:after="0"/>
              <w:rPr>
                <w:sz w:val="10"/>
                <w:szCs w:val="10"/>
                <w:color w:val="auto"/>
              </w:rPr>
            </w:pPr>
          </w:p>
        </w:tc>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i w:val="1"/>
                <w:iCs w:val="1"/>
                <w:color w:val="auto"/>
              </w:rPr>
              <w:t>Gross Profit</w:t>
            </w:r>
          </w:p>
        </w:tc>
        <w:tc>
          <w:tcPr>
            <w:tcW w:w="42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i w:val="1"/>
                <w:iCs w:val="1"/>
                <w:color w:val="auto"/>
              </w:rPr>
              <w:t>Gross</w:t>
            </w:r>
          </w:p>
        </w:tc>
        <w:tc>
          <w:tcPr>
            <w:tcW w:w="260" w:type="dxa"/>
            <w:vAlign w:val="bottom"/>
          </w:tcPr>
          <w:p>
            <w:pPr>
              <w:spacing w:after="0"/>
              <w:rPr>
                <w:sz w:val="10"/>
                <w:szCs w:val="10"/>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Gross Profit</w:t>
            </w:r>
          </w:p>
        </w:tc>
        <w:tc>
          <w:tcPr>
            <w:tcW w:w="44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i w:val="1"/>
                <w:iCs w:val="1"/>
                <w:color w:val="auto"/>
              </w:rPr>
              <w:t>Gross</w:t>
            </w:r>
          </w:p>
        </w:tc>
        <w:tc>
          <w:tcPr>
            <w:tcW w:w="260" w:type="dxa"/>
            <w:vAlign w:val="bottom"/>
          </w:tcPr>
          <w:p>
            <w:pPr>
              <w:spacing w:after="0"/>
              <w:rPr>
                <w:sz w:val="10"/>
                <w:szCs w:val="10"/>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Gross Profit</w:t>
            </w: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Gross Profit</w:t>
            </w:r>
          </w:p>
        </w:tc>
        <w:tc>
          <w:tcPr>
            <w:tcW w:w="44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b w:val="1"/>
                <w:bCs w:val="1"/>
                <w:i w:val="1"/>
                <w:iCs w:val="1"/>
                <w:color w:val="auto"/>
              </w:rPr>
              <w:t>Gross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52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i w:val="1"/>
                <w:iCs w:val="1"/>
                <w:color w:val="auto"/>
                <w:w w:val="95"/>
              </w:rPr>
              <w:t>margin</w:t>
            </w:r>
          </w:p>
        </w:tc>
        <w:tc>
          <w:tcPr>
            <w:tcW w:w="980" w:type="dxa"/>
            <w:vAlign w:val="bottom"/>
            <w:gridSpan w:val="2"/>
            <w:vMerge w:val="continue"/>
          </w:tcPr>
          <w:p>
            <w:pPr>
              <w:spacing w:after="0"/>
              <w:rPr>
                <w:sz w:val="15"/>
                <w:szCs w:val="15"/>
                <w:color w:val="auto"/>
              </w:rPr>
            </w:pPr>
          </w:p>
        </w:tc>
        <w:tc>
          <w:tcPr>
            <w:tcW w:w="7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margin</w:t>
            </w:r>
          </w:p>
        </w:tc>
        <w:tc>
          <w:tcPr>
            <w:tcW w:w="98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i w:val="1"/>
                <w:iCs w:val="1"/>
                <w:color w:val="auto"/>
                <w:w w:val="99"/>
              </w:rPr>
              <w:t>margin</w:t>
            </w:r>
          </w:p>
        </w:tc>
        <w:tc>
          <w:tcPr>
            <w:tcW w:w="0" w:type="dxa"/>
            <w:vAlign w:val="bottom"/>
          </w:tcPr>
          <w:p>
            <w:pPr>
              <w:spacing w:after="0"/>
              <w:rPr>
                <w:sz w:val="1"/>
                <w:szCs w:val="1"/>
                <w:color w:val="auto"/>
              </w:rPr>
            </w:pPr>
          </w:p>
        </w:tc>
      </w:tr>
      <w:tr>
        <w:trPr>
          <w:trHeight w:val="115"/>
        </w:trPr>
        <w:tc>
          <w:tcPr>
            <w:tcW w:w="5200" w:type="dxa"/>
            <w:vAlign w:val="bottom"/>
          </w:tcPr>
          <w:p>
            <w:pPr>
              <w:spacing w:after="0"/>
              <w:rPr>
                <w:sz w:val="10"/>
                <w:szCs w:val="10"/>
                <w:color w:val="auto"/>
              </w:rPr>
            </w:pPr>
          </w:p>
        </w:tc>
        <w:tc>
          <w:tcPr>
            <w:tcW w:w="740" w:type="dxa"/>
            <w:vAlign w:val="bottom"/>
            <w:tcBorders>
              <w:top w:val="single" w:sz="8" w:color="auto"/>
            </w:tcBorders>
          </w:tcPr>
          <w:p>
            <w:pPr>
              <w:jc w:val="right"/>
              <w:ind w:right="120"/>
              <w:spacing w:after="0" w:line="116" w:lineRule="exact"/>
              <w:rPr>
                <w:sz w:val="20"/>
                <w:szCs w:val="20"/>
                <w:color w:val="auto"/>
              </w:rPr>
            </w:pPr>
            <w:r>
              <w:rPr>
                <w:rFonts w:ascii="Times New Roman" w:cs="Times New Roman" w:eastAsia="Times New Roman" w:hAnsi="Times New Roman"/>
                <w:sz w:val="13"/>
                <w:szCs w:val="13"/>
                <w:b w:val="1"/>
                <w:bCs w:val="1"/>
                <w:i w:val="1"/>
                <w:iCs w:val="1"/>
                <w:color w:val="auto"/>
              </w:rPr>
              <w:t>RMB</w:t>
            </w:r>
          </w:p>
        </w:tc>
        <w:tc>
          <w:tcPr>
            <w:tcW w:w="260" w:type="dxa"/>
            <w:vAlign w:val="bottom"/>
          </w:tcPr>
          <w:p>
            <w:pPr>
              <w:spacing w:after="0"/>
              <w:rPr>
                <w:sz w:val="10"/>
                <w:szCs w:val="10"/>
                <w:color w:val="auto"/>
              </w:rPr>
            </w:pPr>
          </w:p>
        </w:tc>
        <w:tc>
          <w:tcPr>
            <w:tcW w:w="420" w:type="dxa"/>
            <w:vAlign w:val="bottom"/>
            <w:tcBorders>
              <w:top w:val="single" w:sz="8" w:color="auto"/>
            </w:tcBorders>
          </w:tcPr>
          <w:p>
            <w:pPr>
              <w:jc w:val="right"/>
              <w:ind w:right="81"/>
              <w:spacing w:after="0" w:line="116" w:lineRule="exact"/>
              <w:rPr>
                <w:sz w:val="20"/>
                <w:szCs w:val="20"/>
                <w:color w:val="auto"/>
              </w:rPr>
            </w:pPr>
            <w:r>
              <w:rPr>
                <w:rFonts w:ascii="Times New Roman" w:cs="Times New Roman" w:eastAsia="Times New Roman" w:hAnsi="Times New Roman"/>
                <w:sz w:val="13"/>
                <w:szCs w:val="13"/>
                <w:b w:val="1"/>
                <w:bCs w:val="1"/>
                <w:i w:val="1"/>
                <w:iCs w:val="1"/>
                <w:color w:val="auto"/>
              </w:rPr>
              <w:t>%</w:t>
            </w:r>
          </w:p>
        </w:tc>
        <w:tc>
          <w:tcPr>
            <w:tcW w:w="260" w:type="dxa"/>
            <w:vAlign w:val="bottom"/>
          </w:tcPr>
          <w:p>
            <w:pPr>
              <w:spacing w:after="0"/>
              <w:rPr>
                <w:sz w:val="10"/>
                <w:szCs w:val="10"/>
                <w:color w:val="auto"/>
              </w:rPr>
            </w:pPr>
          </w:p>
        </w:tc>
        <w:tc>
          <w:tcPr>
            <w:tcW w:w="720" w:type="dxa"/>
            <w:vAlign w:val="bottom"/>
            <w:tcBorders>
              <w:top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i w:val="1"/>
                <w:iCs w:val="1"/>
                <w:color w:val="auto"/>
              </w:rPr>
              <w:t>RMB</w:t>
            </w:r>
          </w:p>
        </w:tc>
        <w:tc>
          <w:tcPr>
            <w:tcW w:w="260" w:type="dxa"/>
            <w:vAlign w:val="bottom"/>
          </w:tcPr>
          <w:p>
            <w:pPr>
              <w:spacing w:after="0"/>
              <w:rPr>
                <w:sz w:val="10"/>
                <w:szCs w:val="10"/>
                <w:color w:val="auto"/>
              </w:rPr>
            </w:pPr>
          </w:p>
        </w:tc>
        <w:tc>
          <w:tcPr>
            <w:tcW w:w="440" w:type="dxa"/>
            <w:vAlign w:val="bottom"/>
            <w:tcBorders>
              <w:top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i w:val="1"/>
                <w:iCs w:val="1"/>
                <w:color w:val="auto"/>
              </w:rPr>
              <w:t>%</w:t>
            </w:r>
          </w:p>
        </w:tc>
        <w:tc>
          <w:tcPr>
            <w:tcW w:w="260" w:type="dxa"/>
            <w:vAlign w:val="bottom"/>
          </w:tcPr>
          <w:p>
            <w:pPr>
              <w:spacing w:after="0"/>
              <w:rPr>
                <w:sz w:val="10"/>
                <w:szCs w:val="10"/>
                <w:color w:val="auto"/>
              </w:rPr>
            </w:pPr>
          </w:p>
        </w:tc>
        <w:tc>
          <w:tcPr>
            <w:tcW w:w="720" w:type="dxa"/>
            <w:vAlign w:val="bottom"/>
            <w:tcBorders>
              <w:top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i w:val="1"/>
                <w:iCs w:val="1"/>
                <w:color w:val="auto"/>
              </w:rPr>
              <w:t>RMB</w:t>
            </w:r>
          </w:p>
        </w:tc>
        <w:tc>
          <w:tcPr>
            <w:tcW w:w="260" w:type="dxa"/>
            <w:vAlign w:val="bottom"/>
          </w:tcPr>
          <w:p>
            <w:pPr>
              <w:spacing w:after="0"/>
              <w:rPr>
                <w:sz w:val="10"/>
                <w:szCs w:val="10"/>
                <w:color w:val="auto"/>
              </w:rPr>
            </w:pPr>
          </w:p>
        </w:tc>
        <w:tc>
          <w:tcPr>
            <w:tcW w:w="720" w:type="dxa"/>
            <w:vAlign w:val="bottom"/>
            <w:tcBorders>
              <w:top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i w:val="1"/>
                <w:iCs w:val="1"/>
                <w:color w:val="auto"/>
              </w:rPr>
              <w:t>US$</w:t>
            </w:r>
          </w:p>
        </w:tc>
        <w:tc>
          <w:tcPr>
            <w:tcW w:w="260" w:type="dxa"/>
            <w:vAlign w:val="bottom"/>
          </w:tcPr>
          <w:p>
            <w:pPr>
              <w:spacing w:after="0"/>
              <w:rPr>
                <w:sz w:val="10"/>
                <w:szCs w:val="10"/>
                <w:color w:val="auto"/>
              </w:rPr>
            </w:pPr>
          </w:p>
        </w:tc>
        <w:tc>
          <w:tcPr>
            <w:tcW w:w="440" w:type="dxa"/>
            <w:vAlign w:val="bottom"/>
            <w:tcBorders>
              <w:top w:val="single" w:sz="8" w:color="auto"/>
            </w:tcBorders>
          </w:tcPr>
          <w:p>
            <w:pPr>
              <w:jc w:val="right"/>
              <w:ind w:right="81"/>
              <w:spacing w:after="0" w:line="116" w:lineRule="exact"/>
              <w:rPr>
                <w:sz w:val="20"/>
                <w:szCs w:val="20"/>
                <w:color w:val="auto"/>
              </w:rPr>
            </w:pPr>
            <w:r>
              <w:rPr>
                <w:rFonts w:ascii="Times New Roman" w:cs="Times New Roman" w:eastAsia="Times New Roman" w:hAnsi="Times New Roman"/>
                <w:sz w:val="13"/>
                <w:szCs w:val="13"/>
                <w:b w:val="1"/>
                <w:bCs w:val="1"/>
                <w:i w:val="1"/>
                <w:iCs w:val="1"/>
                <w:color w:val="auto"/>
              </w:rPr>
              <w: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5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6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for percentages)</w:t>
            </w: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145,194</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43.0</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20,052</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37.0</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15,994</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2,191</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87,351</w:t>
            </w:r>
          </w:p>
        </w:tc>
        <w:tc>
          <w:tcPr>
            <w:tcW w:w="26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46.0</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163,424</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47.0</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94,721</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12,977</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232,545</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44.1</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183,476</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45.7</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110,715</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15,168</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30.7</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Due to the success of our product and service offerings, we are in a favorable market position to secure a healthy profit margin. For the years ended December 31, 2022, 2023 and 2024, our gross profit was RMB232.5 million, RMB183.5 million, and RMB110.7 million (US$15.2 million), respectively, and our gross margin, which represents the proportion of revenues that exceeds cost of revenues, was 44.1%, 45.7% and 30.7%, respectively.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operating expenses primarily consist of research and development expenses, administrative expenses and selling expenses.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our operating expenses and as a percentage of our revenue for the periods presented:</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820" w:type="dxa"/>
            <w:vAlign w:val="bottom"/>
          </w:tcPr>
          <w:p>
            <w:pPr>
              <w:spacing w:after="0"/>
              <w:rPr>
                <w:sz w:val="12"/>
                <w:szCs w:val="12"/>
                <w:color w:val="auto"/>
              </w:rPr>
            </w:pPr>
          </w:p>
        </w:tc>
        <w:tc>
          <w:tcPr>
            <w:tcW w:w="1040" w:type="dxa"/>
            <w:vAlign w:val="bottom"/>
            <w:tcBorders>
              <w:bottom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Borders>
              <w:bottom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4820" w:type="dxa"/>
            <w:vAlign w:val="bottom"/>
          </w:tcPr>
          <w:p>
            <w:pPr>
              <w:spacing w:after="0"/>
              <w:rPr>
                <w:sz w:val="12"/>
                <w:szCs w:val="12"/>
                <w:color w:val="auto"/>
              </w:rPr>
            </w:pPr>
          </w:p>
        </w:tc>
        <w:tc>
          <w:tcPr>
            <w:tcW w:w="1040" w:type="dxa"/>
            <w:vAlign w:val="bottom"/>
            <w:tcBorders>
              <w:bottom w:val="single" w:sz="8" w:color="auto"/>
            </w:tcBorders>
            <w:gridSpan w:val="2"/>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RMB</w:t>
            </w:r>
          </w:p>
        </w:tc>
        <w:tc>
          <w:tcPr>
            <w:tcW w:w="54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w:t>
            </w: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RMB</w:t>
            </w:r>
          </w:p>
        </w:tc>
        <w:tc>
          <w:tcPr>
            <w:tcW w:w="54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w:t>
            </w: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RMB</w:t>
            </w:r>
          </w:p>
        </w:tc>
        <w:tc>
          <w:tcPr>
            <w:tcW w:w="920" w:type="dxa"/>
            <w:vAlign w:val="bottom"/>
            <w:tcBorders>
              <w:bottom w:val="single" w:sz="8" w:color="auto"/>
            </w:tcBorders>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US$</w:t>
            </w:r>
          </w:p>
        </w:tc>
        <w:tc>
          <w:tcPr>
            <w:tcW w:w="52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w:t>
            </w:r>
          </w:p>
        </w:tc>
        <w:tc>
          <w:tcPr>
            <w:tcW w:w="120" w:type="dxa"/>
            <w:vAlign w:val="bottom"/>
          </w:tcPr>
          <w:p>
            <w:pPr>
              <w:spacing w:after="0"/>
              <w:rPr>
                <w:sz w:val="12"/>
                <w:szCs w:val="12"/>
                <w:color w:val="auto"/>
              </w:rPr>
            </w:pPr>
          </w:p>
        </w:tc>
      </w:tr>
      <w:tr>
        <w:trPr>
          <w:trHeight w:val="142"/>
        </w:trPr>
        <w:tc>
          <w:tcPr>
            <w:tcW w:w="4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40" w:type="dxa"/>
            <w:vAlign w:val="bottom"/>
            <w:gridSpan w:val="6"/>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 except for percentages)</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(758,565)</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(143.8)</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(1,058,395)</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(263.4)</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(1,091,357)</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(149,515)</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(302.2)</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(237,236)</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(45.0)</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(625,369)</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(155.6)</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(1,138,802)</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(156,015)</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(315.3)</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(23,574)</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(41,447)</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(53,566)</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(7,339)</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w:t>
            </w:r>
          </w:p>
        </w:tc>
      </w:tr>
      <w:tr>
        <w:trPr>
          <w:trHeight w:val="27"/>
        </w:trPr>
        <w:tc>
          <w:tcPr>
            <w:tcW w:w="48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(1,019,375)</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(193.3)</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(1,725,211)</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(429.3)</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(2,283,725)</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(312,869)</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(632.3)</w:t>
            </w:r>
          </w:p>
        </w:tc>
      </w:tr>
      <w:tr>
        <w:trPr>
          <w:trHeight w:val="20"/>
        </w:trPr>
        <w:tc>
          <w:tcPr>
            <w:tcW w:w="48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48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(i) payroll and employee benefits, (ii) share-based compensation, (iii) depreciation and amortization, (iv) professional services fee, (v) service fee from a related party, (vi) outsourcing service fee, (vii) utilities and property management fee and (viii) others.</w:t>
      </w:r>
    </w:p>
    <w:p>
      <w:pPr>
        <w:spacing w:after="0" w:line="17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were RMB758.6 million, RMB1,058.4 million and RMB1,091.4 million (US$149.5 million) in 2022, 2023 and 2024, respectively.</w:t>
      </w:r>
    </w:p>
    <w:p>
      <w:pPr>
        <w:spacing w:after="0" w:line="162"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as we continue to focus on the testing, trial, and commercialization of our autonomous driving technology, expand our R&amp;D team and invest more resources to improve our technological capabilities.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administrative expenses mainly consist of personnel-related expenses, professional service fees and other general corporate expenses.</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2022, 2023 and 2024, our administrative expenses were RMB237.2 million, RMB625.4 million and RMB1,138.8 million (US$156.0 million), respectively. We expect that our administrative expenses will continue to increase in absolute amounts in the foreseeable future, as we have become a public company, hire additional personnel and incur additional expenses related to the anticipated growth of our business and our operation. On the other hand, we expect a reduction of the weight of our administrative expenses as a percentage of our revenue over the long term due to our efforts to increase operational efficiency.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Selling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selling expenses primarily consist of personnel-related expenses associated with our sales and marketing personnel.</w:t>
      </w:r>
    </w:p>
    <w:p>
      <w:pPr>
        <w:spacing w:after="0" w:line="225"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2023 and 2024, our selling expenses were RMB23.6 million, RMB41.4 million and RMB53.6 million (US$7.3 million), respectively.</w:t>
      </w:r>
    </w:p>
    <w:p>
      <w:pPr>
        <w:spacing w:after="0" w:line="162"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expect our selling expenses to increase in absolute amount in the foreseeable future, as we continue to expand our sales network, build brand awareness and inform market participants on the benefits of our autonomous driving products and services. We expect our selling expenses to decrease as a percentage of revenue over the long term as we continue to increase our operational efficiency.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net income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other net income mainly consists of (i) government grants and (ii) net (loss)/gain on disposal of non-current assets.</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2023 and 2024, our other net income was RMB19.3 million, RMB15.8 million and RMB16.5 million (US$2.3 million),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loss on receivables and contract assets</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Impairment loss on receivables and contract assets is recognized from loss allowance measured at an amount equal to lifetime expected credit losses, or ECL(s), based on historical settlement records and forward-looking information. Expected loss rates are based on actual loss experience over the past 3 years. These rates are adjusted to reflect differences between economic conditions during the period over which the historic data has been collected, current conditions and our view of economic conditions over the expected lives of the receivables and contract assets. For the years ended December 31, 2022, 2023 and 2024, our impairment loss on receivables and contract assets, was RMB11.7 million, RMB40.2 million and RMB28.7 million (US$3.9 million), respectively.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foreign exchange gain</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This represents gain arising from the sales and purchases which give rise to receivables, payables and cash balances that are denominated in a foreign currency, i.e. a currency other than the functional currency of the operations to which the transactions relate.</w:t>
      </w:r>
    </w:p>
    <w:p>
      <w:pPr>
        <w:spacing w:after="0" w:line="162"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We recorded a net foreign exchange gain of RMB20.2 million, RMB7.1 million and RMB27.9 million (US$3.8 million) for the years ended December 31, 2022, 2023 and 2024, respectively.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20"/>
          </w:cols>
          <w:pgMar w:left="320" w:top="482"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income represents earnings generated from our cash balance including our cash and cash equivalents, restricted cash and time deposits.</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2023 and 2024, our interest income was RMB36.1 million, RMB132.0 million and RMB176.9 million (US$24.2 million),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finance costs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Our other finance costs consist of (i) interest on lease liabilities, (ii) changes in the carrying amount of put option liabilities and (iii) interest on bank loans.</w:t>
      </w:r>
    </w:p>
    <w:p>
      <w:pPr>
        <w:spacing w:after="0" w:line="16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2023 and 2024, our other finance costs were RMB4.2 million, RMB3.5 million and RMB3.5 million (US$0.5 million),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Inducement charges of warrants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Our inducement charges of warrants represent the initial fair value of certain warrants issued to our investors at no additional consideration in 2022, which was RMB125.2 million for the year ended December 31, 2022. Under the relevant warrants, such investors had the right to subscribe for more preferred shares at a predetermined price during a specific period.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changes of financial liabilities measured at FVTPL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financial liabilities measured at FVTPL consist of warrants liabilities.</w:t>
      </w:r>
    </w:p>
    <w:p>
      <w:pPr>
        <w:spacing w:after="0" w:line="225"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2023 and 2024, our fair value changes of financial liabilities measured at FVTPL was a gain of RMB25.3 million, a loss of RMB4.5 million and nil,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the carrying amounts of preferred shares and other financial instruments subject to redemption and other preferential rights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Changes in the carrying amounts of preferred shares and other financial instruments subject to redemption and other preferential rights represent the changes of the present value of the redemption amount that could be triggered by the contingent redemption events.</w:t>
      </w:r>
    </w:p>
    <w:p>
      <w:pPr>
        <w:spacing w:after="0" w:line="162" w:lineRule="exact"/>
        <w:rPr>
          <w:sz w:val="20"/>
          <w:szCs w:val="20"/>
          <w:color w:val="auto"/>
        </w:rPr>
      </w:pPr>
    </w:p>
    <w:p>
      <w:pPr>
        <w:jc w:val="both"/>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For the years ended December 31, 2022, 2023 and 2024, our changes in the carrying amounts of preferred shares and other financial instruments subject to redemption and other preferential rights was RMB479.2 million, RMB554.0 million and RMB465.3 million (US$63.7 million), respectively.</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2024, our income tax expense was RMB2.9 million and RMB5.9 million (US$0.8 million), respectively. We had no income tax expense for the year ended December 31, 2022.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incorporated in the Cayman Islands. The Cayman Islands currently has no form of income, corporate or capital gains tax. There are no other taxes likely to be material to us levied by the government of the Cayman Islands except for stamp duties, which may be applicable on instruments executed in, or brought within the jurisdiction of, the Cayman Islands.</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20"/>
          </w:cols>
          <w:pgMar w:left="320" w:top="482" w:right="5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Our subsidiary in Hong Kong is subject to an income tax rate of 16.5% on any part of assessable profits over HKD2,000,000 and 8.25% for assessable profits below HKD2,000,000. Additionally, payments of dividends by our subsidiary in Hong Kong to our company are not subject to any Hong Kong withholding tax.</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Under the United States Internal Revenue Code, our subsidiary established in the U.S. is subject to a unified federal corporate income tax rate of 21% and California state income and franchise tax of 8.84%.</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PRC</w:t>
      </w:r>
    </w:p>
    <w:p>
      <w:pPr>
        <w:spacing w:after="0" w:line="121" w:lineRule="exact"/>
        <w:rPr>
          <w:sz w:val="20"/>
          <w:szCs w:val="20"/>
          <w:color w:val="auto"/>
        </w:rPr>
      </w:pPr>
    </w:p>
    <w:p>
      <w:pPr>
        <w:ind w:left="560" w:right="240"/>
        <w:spacing w:after="0" w:line="261" w:lineRule="auto"/>
        <w:rPr>
          <w:sz w:val="20"/>
          <w:szCs w:val="20"/>
          <w:color w:val="auto"/>
        </w:rPr>
      </w:pPr>
      <w:r>
        <w:rPr>
          <w:rFonts w:ascii="Times New Roman" w:cs="Times New Roman" w:eastAsia="Times New Roman" w:hAnsi="Times New Roman"/>
          <w:sz w:val="18"/>
          <w:szCs w:val="18"/>
          <w:color w:val="auto"/>
        </w:rPr>
        <w:t>Under the EIT Law effective from January 1, 2008, which was most recently amended on December 29, 2018, a statutory enterprise income tax rate of 25% is applicable to foreign investment enterprises and domestic companies, subject to preferential tax treatments available to qualified enterprises in certain encouraged sectors of the economy. Enterprises that qualify as “high and new technology enterprises” are entitled to a preferential rate of 15% subject to renewal every three years.</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WFOE was certified as a “high and new technology enterprise” in December 2022 and is therefore entitled to a preferential tax rate of 15% rather than the statutory enterprise income tax rate of 25% for each of 2022, 2023 and 2024. All of our other mainland China subsidiaries were subject to enterprise income tax at a rate of 25% in 2022, 2023 and 2024.</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subject to value added tax, at rates from 3% to 13% on the services we provide, less any deductible VAT we have already paid or borne.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are also subject to surcharges on VAT payments in accordance with PRC law.</w:t>
      </w:r>
    </w:p>
    <w:p>
      <w:pPr>
        <w:spacing w:after="0" w:line="20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Pursuant to the EIT Law, a 10% withholding tax is levied on dividends declared to foreign investors from mainland China effective from January 1, 2008, unless any such foreign investor’s jurisdiction of incorporation has a tax treaty or similar agreement with mainland China that provides for a different withholding arrangement. Dividends paid by our wholly foreign-owned subsidiary in mainland China to our intermediary holding company in Hong Kong will be subject to a withholding tax rate of 10%.</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Notwithstanding the foregoing, if our holding company in the Cayman Islands or any of our subsidiaries outside of mainland China were deemed to be a “resident enterprise” under the EIT Law and its implementation rules, it would be subject to enterprise income tax on its worldwide income at a rate of 25%. See “Item 3. Key Information—D. Risk Factors—Risks Related to Doing Business in Mainland China—If we are classified as a PRC resident enterprise for PRC income tax purposes, such classification could result in unfavorable tax consequences to us and our non-PRC shareholders or ADS 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results of operations for the periods presented, both in absolute amount and as a percentage of our revenue for the periods presented. This information should be read together with our consolidated financial statements and related notes included elsewhere in this annual report. The results of operations in any period are not necessarily indicative of our future trends.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280" w:type="dxa"/>
            <w:vAlign w:val="bottom"/>
          </w:tcPr>
          <w:p>
            <w:pPr>
              <w:spacing w:after="0"/>
              <w:rPr>
                <w:sz w:val="12"/>
                <w:szCs w:val="12"/>
                <w:color w:val="auto"/>
              </w:rPr>
            </w:pPr>
          </w:p>
        </w:tc>
        <w:tc>
          <w:tcPr>
            <w:tcW w:w="920" w:type="dxa"/>
            <w:vAlign w:val="bottom"/>
            <w:tcBorders>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5280" w:type="dxa"/>
            <w:vAlign w:val="bottom"/>
          </w:tcPr>
          <w:p>
            <w:pPr>
              <w:spacing w:after="0"/>
              <w:rPr>
                <w:sz w:val="12"/>
                <w:szCs w:val="12"/>
                <w:color w:val="auto"/>
              </w:rPr>
            </w:pPr>
          </w:p>
        </w:tc>
        <w:tc>
          <w:tcPr>
            <w:tcW w:w="920" w:type="dxa"/>
            <w:vAlign w:val="bottom"/>
            <w:tcBorders>
              <w:bottom w:val="single" w:sz="8" w:color="auto"/>
            </w:tcBorders>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RMB</w:t>
            </w:r>
          </w:p>
        </w:tc>
        <w:tc>
          <w:tcPr>
            <w:tcW w:w="54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w:t>
            </w: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RMB</w:t>
            </w:r>
          </w:p>
        </w:tc>
        <w:tc>
          <w:tcPr>
            <w:tcW w:w="5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w:t>
            </w: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RMB</w:t>
            </w:r>
          </w:p>
        </w:tc>
        <w:tc>
          <w:tcPr>
            <w:tcW w:w="860" w:type="dxa"/>
            <w:vAlign w:val="bottom"/>
            <w:tcBorders>
              <w:bottom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US$</w:t>
            </w:r>
          </w:p>
        </w:tc>
        <w:tc>
          <w:tcPr>
            <w:tcW w:w="58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w:t>
            </w:r>
          </w:p>
        </w:tc>
        <w:tc>
          <w:tcPr>
            <w:tcW w:w="80" w:type="dxa"/>
            <w:vAlign w:val="bottom"/>
          </w:tcPr>
          <w:p>
            <w:pPr>
              <w:spacing w:after="0"/>
              <w:rPr>
                <w:sz w:val="12"/>
                <w:szCs w:val="12"/>
                <w:color w:val="auto"/>
              </w:rPr>
            </w:pPr>
          </w:p>
        </w:tc>
      </w:tr>
      <w:tr>
        <w:trPr>
          <w:trHeight w:val="142"/>
        </w:trPr>
        <w:tc>
          <w:tcPr>
            <w:tcW w:w="5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0" w:type="dxa"/>
            <w:vAlign w:val="bottom"/>
            <w:gridSpan w:val="6"/>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 except for percentages)</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 revenue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337,717</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64.0</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54,190</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87,710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12,016</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 revenue</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189,826</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36.0</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347,654</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86.5</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273,424</w:t>
            </w:r>
          </w:p>
        </w:tc>
        <w:tc>
          <w:tcPr>
            <w:tcW w:w="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37,459</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75.7</w:t>
            </w: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527,543</w:t>
            </w:r>
          </w:p>
        </w:tc>
        <w:tc>
          <w:tcPr>
            <w:tcW w:w="1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401,844</w:t>
            </w:r>
          </w:p>
        </w:tc>
        <w:tc>
          <w:tcPr>
            <w:tcW w:w="1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361,134</w:t>
            </w:r>
          </w:p>
        </w:tc>
        <w:tc>
          <w:tcPr>
            <w:tcW w:w="180" w:type="dxa"/>
            <w:vAlign w:val="bottom"/>
          </w:tcPr>
          <w:p>
            <w:pPr>
              <w:spacing w:after="0"/>
              <w:rPr>
                <w:sz w:val="19"/>
                <w:szCs w:val="19"/>
                <w:color w:val="auto"/>
              </w:rPr>
            </w:pPr>
          </w:p>
        </w:tc>
        <w:tc>
          <w:tcPr>
            <w:tcW w:w="68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w w:val="92"/>
              </w:rPr>
              <w:t>49,475</w:t>
            </w:r>
          </w:p>
        </w:tc>
        <w:tc>
          <w:tcPr>
            <w:tcW w:w="1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80" w:type="dxa"/>
            <w:vAlign w:val="bottom"/>
          </w:tcPr>
          <w:p>
            <w:pPr>
              <w:spacing w:after="0"/>
              <w:rPr>
                <w:sz w:val="19"/>
                <w:szCs w:val="19"/>
                <w:color w:val="auto"/>
              </w:rPr>
            </w:pPr>
          </w:p>
        </w:tc>
      </w:tr>
      <w:tr>
        <w:trPr>
          <w:trHeight w:val="371"/>
        </w:trPr>
        <w:tc>
          <w:tcPr>
            <w:tcW w:w="5280" w:type="dxa"/>
            <w:vAlign w:val="bottom"/>
          </w:tcPr>
          <w:p>
            <w:pPr>
              <w:spacing w:after="0"/>
              <w:rPr>
                <w:sz w:val="24"/>
                <w:szCs w:val="24"/>
                <w:color w:val="auto"/>
              </w:rPr>
            </w:pPr>
          </w:p>
        </w:tc>
        <w:tc>
          <w:tcPr>
            <w:tcW w:w="760" w:type="dxa"/>
            <w:vAlign w:val="bottom"/>
          </w:tcPr>
          <w:p>
            <w:pPr>
              <w:jc w:val="right"/>
              <w:ind w:right="316"/>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109" w:name="page110"/>
    <w:bookmarkEnd w:id="10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3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Cost of revenue</w:t>
            </w:r>
            <w:r>
              <w:rPr>
                <w:rFonts w:ascii="Times New Roman" w:cs="Times New Roman" w:eastAsia="Times New Roman" w:hAnsi="Times New Roman"/>
                <w:sz w:val="25"/>
                <w:szCs w:val="25"/>
                <w:b w:val="1"/>
                <w:bCs w:val="1"/>
                <w:color w:val="auto"/>
                <w:vertAlign w:val="superscript"/>
              </w:rPr>
              <w:t>(2)</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Cost of goods sold</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(192,523)</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(36.5)</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(34,138)</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(71,716)</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(9,825)</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services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(102,475)</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(19.4)</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(184,230)</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(45.8)</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(178,703)</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(24,482)</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(294,998)</w:t>
            </w:r>
          </w:p>
        </w:tc>
        <w:tc>
          <w:tcPr>
            <w:tcW w:w="20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(55.9)</w:t>
            </w:r>
          </w:p>
        </w:tc>
        <w:tc>
          <w:tcPr>
            <w:tcW w:w="2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(218,368)</w:t>
            </w:r>
          </w:p>
        </w:tc>
        <w:tc>
          <w:tcPr>
            <w:tcW w:w="2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(54.3)</w:t>
            </w:r>
          </w:p>
        </w:tc>
        <w:tc>
          <w:tcPr>
            <w:tcW w:w="2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(250,419)</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(34,307)</w:t>
            </w:r>
          </w:p>
        </w:tc>
        <w:tc>
          <w:tcPr>
            <w:tcW w:w="22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232,545</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44.1</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183,476</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45.7</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110,715</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15,168</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30.7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net income</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19,296</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15,750</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16,491</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2,259</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Research and development expenses</w:t>
            </w:r>
            <w:r>
              <w:rPr>
                <w:rFonts w:ascii="Times New Roman" w:cs="Times New Roman" w:eastAsia="Times New Roman" w:hAnsi="Times New Roman"/>
                <w:sz w:val="25"/>
                <w:szCs w:val="25"/>
                <w:color w:val="auto"/>
                <w:vertAlign w:val="superscript"/>
              </w:rPr>
              <w:t>(2)</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(758,565)</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(143.8)</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(1,058,395)</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(263.4)</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(1,091,357)</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(149,515)</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(302.2)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Administrative expenses</w:t>
            </w:r>
            <w:r>
              <w:rPr>
                <w:rFonts w:ascii="Times New Roman" w:cs="Times New Roman" w:eastAsia="Times New Roman" w:hAnsi="Times New Roman"/>
                <w:sz w:val="25"/>
                <w:szCs w:val="25"/>
                <w:color w:val="auto"/>
                <w:vertAlign w:val="superscript"/>
              </w:rPr>
              <w:t>(2)</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(237,236)</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(45.0)</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(625,369)</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(155.6)</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(1,138,802)</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(156,015)</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(315.3)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Selling expenses</w:t>
            </w:r>
            <w:r>
              <w:rPr>
                <w:rFonts w:ascii="Times New Roman" w:cs="Times New Roman" w:eastAsia="Times New Roman" w:hAnsi="Times New Roman"/>
                <w:sz w:val="25"/>
                <w:szCs w:val="25"/>
                <w:color w:val="auto"/>
                <w:vertAlign w:val="superscript"/>
              </w:rPr>
              <w:t>(2)</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(23,574)</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(41,447)</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(10.3)</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(53,566)</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(7,339)</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loss on receivables and contract asset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(11,696)</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(40,217)</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(28,664)</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(3,927)</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(779,230)</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(147.7)</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(1,566,202)</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(389.8)</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(2,185,183)</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(299,369)</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(605.1)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foreign exchange (loss)/gain</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20,209</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7,052</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27,880</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3,820</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36,111</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132,042</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32.9</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176,902</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24,235</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4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Fair value changes of financial assets at fair value through profit</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4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or loss (“FVTPL”)</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7,731</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42,960</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(61,834)</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(8,471)</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finance costs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(4,202)</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(3,490)</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(0.9)</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(3,451)</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(473)</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Inducement charges of warrants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(125,213)</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(23.7)</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changes of financial liabilities measured at FVTPL</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25,308</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(4,549)</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4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Changes in the carrying amounts of preferred shares and other</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financial instruments subject to redemption and other</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4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preferential rights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(479,210)</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(90.8)</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(554,048)</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(137.9)</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(465,254)</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(63,740)</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(128.8)</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taxation</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(1,298,496)</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(246.1)</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(1,946,235)</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(484.3)</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(2,510,940)</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(343,998)</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(695.3)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(2,866)</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(0.7)</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(5,868)</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(804)</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year</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(1,298,496)</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(246.1)</w:t>
            </w:r>
          </w:p>
        </w:tc>
        <w:tc>
          <w:tcPr>
            <w:tcW w:w="4400" w:type="dxa"/>
            <w:vAlign w:val="bottom"/>
            <w:gridSpan w:val="10"/>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(1,949,101)   (485.0)  (2,516,808)  (344,802)   (696.9)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Non-IFRS adjusted net loss</w:t>
            </w:r>
            <w:r>
              <w:rPr>
                <w:rFonts w:ascii="Times New Roman" w:cs="Times New Roman" w:eastAsia="Times New Roman" w:hAnsi="Times New Roman"/>
                <w:sz w:val="26"/>
                <w:szCs w:val="26"/>
                <w:color w:val="auto"/>
                <w:vertAlign w:val="superscript"/>
              </w:rPr>
              <w:t>(1)</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20" w:type="dxa"/>
            <w:vAlign w:val="bottom"/>
          </w:tcPr>
          <w:p>
            <w:pPr>
              <w:spacing w:after="0"/>
              <w:rPr>
                <w:sz w:val="24"/>
                <w:szCs w:val="24"/>
                <w:color w:val="auto"/>
              </w:rPr>
            </w:pPr>
          </w:p>
        </w:tc>
        <w:tc>
          <w:tcPr>
            <w:tcW w:w="4820" w:type="dxa"/>
            <w:vAlign w:val="bottom"/>
            <w:gridSpan w:val="2"/>
            <w:vMerge w:val="continue"/>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(401,683)</w:t>
            </w:r>
          </w:p>
        </w:tc>
        <w:tc>
          <w:tcPr>
            <w:tcW w:w="20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(501,680)</w:t>
            </w:r>
          </w:p>
        </w:tc>
        <w:tc>
          <w:tcPr>
            <w:tcW w:w="22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(801,853)</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(109,854)</w:t>
            </w:r>
          </w:p>
        </w:tc>
        <w:tc>
          <w:tcPr>
            <w:tcW w:w="2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(222.0)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7715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w:t>
      </w:r>
    </w:p>
    <w:p>
      <w:pPr>
        <w:spacing w:after="0" w:line="131" w:lineRule="exact"/>
        <w:rPr>
          <w:sz w:val="20"/>
          <w:szCs w:val="20"/>
          <w:color w:val="auto"/>
        </w:rPr>
      </w:pPr>
    </w:p>
    <w:p>
      <w:pPr>
        <w:ind w:left="540" w:right="460" w:hanging="424"/>
        <w:spacing w:after="0" w:line="261" w:lineRule="auto"/>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discussions of our adjusted net loss and reconciliation of adjusted net loss to loss for the year, see “—Non-IFRS Financial Measures” for details.</w:t>
      </w:r>
    </w:p>
    <w:p>
      <w:pPr>
        <w:ind w:left="540" w:hanging="424"/>
        <w:spacing w:after="0"/>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expenses were allocated as follows:</w:t>
      </w:r>
    </w:p>
    <w:p>
      <w:pPr>
        <w:spacing w:after="0" w:line="227"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640" w:type="dxa"/>
            <w:vAlign w:val="bottom"/>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c>
          <w:tcPr>
            <w:tcW w:w="860" w:type="dxa"/>
            <w:vAlign w:val="bottom"/>
            <w:gridSpan w:val="2"/>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104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RMB</w:t>
            </w: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RMB</w:t>
            </w:r>
          </w:p>
        </w:tc>
        <w:tc>
          <w:tcPr>
            <w:tcW w:w="260" w:type="dxa"/>
            <w:vAlign w:val="bottom"/>
            <w:tcBorders>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RMB</w:t>
            </w:r>
          </w:p>
        </w:tc>
        <w:tc>
          <w:tcPr>
            <w:tcW w:w="6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US$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gridSpan w:val="4"/>
          </w:tcPr>
          <w:p>
            <w:pPr>
              <w:jc w:val="right"/>
              <w:ind w:right="680"/>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10,284</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7,161</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231,000</w:t>
            </w: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440,138</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234,350</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89,978</w:t>
            </w:r>
          </w:p>
        </w:tc>
        <w:tc>
          <w:tcPr>
            <w:tcW w:w="1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465,678</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937,660</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4,451</w:t>
            </w: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15,684</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8,696</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325,429</w:t>
            </w:r>
          </w:p>
        </w:tc>
        <w:tc>
          <w:tcPr>
            <w:tcW w:w="1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931,784</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1,187,867</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162,737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to Year Ended December 31, 2023</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revenue decreased by 10.1% from RMB401.8 million in 2023 to RMB361.1 million (US$49.5 million) in 2024.</w:t>
      </w:r>
    </w:p>
    <w:p>
      <w:pPr>
        <w:spacing w:after="0" w:line="225"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product revenue increased by 61.9% from RMB54.2 million in 2023 to RMB87.7 million (US$12.0 million) in 2024, primarily due to (i) the sales of 49 robosweepers in 2024, (ii) the increase of in the sales of robotaxis from 3 units in 2023 to 18 units in 2024 and (iii) the sales of 10 robovan in 2024, partially offset by the decrease in the sales of our robobuses from 19 units in 2023 to 14 units in 2024.</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40"/>
          </w:cols>
          <w:pgMar w:left="320" w:top="472"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illustrates our product sales in the years presented:</w:t>
      </w:r>
    </w:p>
    <w:p>
      <w:pPr>
        <w:spacing w:after="0" w:line="246"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12" w:lineRule="exact"/>
        <w:rPr>
          <w:sz w:val="20"/>
          <w:szCs w:val="20"/>
          <w:color w:val="auto"/>
        </w:rPr>
      </w:pPr>
    </w:p>
    <w:tbl>
      <w:tblPr>
        <w:tblLayout w:type="fixed"/>
        <w:tblInd w:w="1440" w:type="dxa"/>
        <w:tblCellMar>
          <w:top w:w="0" w:type="dxa"/>
          <w:left w:w="0" w:type="dxa"/>
          <w:bottom w:w="0" w:type="dxa"/>
          <w:right w:w="0" w:type="dxa"/>
        </w:tblCellMar>
      </w:tblPr>
      <w:tr>
        <w:trPr>
          <w:trHeight w:val="142"/>
        </w:trPr>
        <w:tc>
          <w:tcPr>
            <w:tcW w:w="56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top w:val="single" w:sz="8" w:color="auto"/>
              <w:bottom w:val="single" w:sz="8" w:color="auto"/>
            </w:tcBorders>
          </w:tcPr>
          <w:p>
            <w:pPr>
              <w:spacing w:after="0"/>
              <w:rPr>
                <w:sz w:val="12"/>
                <w:szCs w:val="12"/>
                <w:color w:val="auto"/>
              </w:rPr>
            </w:pPr>
          </w:p>
        </w:tc>
        <w:tc>
          <w:tcPr>
            <w:tcW w:w="16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r>
      <w:tr>
        <w:trPr>
          <w:trHeight w:val="142"/>
        </w:trPr>
        <w:tc>
          <w:tcPr>
            <w:tcW w:w="5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60" w:type="dxa"/>
            <w:vAlign w:val="bottom"/>
          </w:tcPr>
          <w:p>
            <w:pPr>
              <w:jc w:val="right"/>
              <w:ind w:right="1096"/>
              <w:spacing w:after="0" w:line="142" w:lineRule="exact"/>
              <w:rPr>
                <w:sz w:val="20"/>
                <w:szCs w:val="20"/>
                <w:color w:val="auto"/>
              </w:rPr>
            </w:pPr>
            <w:r>
              <w:rPr>
                <w:rFonts w:ascii="Times New Roman" w:cs="Times New Roman" w:eastAsia="Times New Roman" w:hAnsi="Times New Roman"/>
                <w:sz w:val="14"/>
                <w:szCs w:val="14"/>
                <w:i w:val="1"/>
                <w:iCs w:val="1"/>
                <w:color w:val="auto"/>
              </w:rPr>
              <w:t>(unit)</w:t>
            </w:r>
          </w:p>
        </w:tc>
        <w:tc>
          <w:tcPr>
            <w:tcW w:w="40" w:type="dxa"/>
            <w:vAlign w:val="bottom"/>
          </w:tcPr>
          <w:p>
            <w:pPr>
              <w:spacing w:after="0"/>
              <w:rPr>
                <w:sz w:val="12"/>
                <w:szCs w:val="12"/>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robotaxis</w:t>
            </w:r>
          </w:p>
        </w:tc>
        <w:tc>
          <w:tcPr>
            <w:tcW w:w="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1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of robosweepers</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robovans</w:t>
            </w:r>
          </w:p>
        </w:tc>
        <w:tc>
          <w:tcPr>
            <w:tcW w:w="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of robobuses</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bl>
    <w:p>
      <w:pPr>
        <w:spacing w:after="0" w:line="17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service revenue decreased by 21.4% from RMB347.7 million in 2023 to RMB273.4 million (US$37.5 million) in 2024, primarily due to a decrease of RMB97.5 million (US$13.4 million) in revenue from other technology services as our customized R&amp;D services for certain client had been completed since the third quarter of 2024 and partially offset by an increase of RMB23.2 million (US$3.2 million) in revenue from autonomous driving related operational and technical support services as enlarged operational services generated from robobuses and robosweepers.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19"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Our cost of goods sold increased from RMB34.1 million in 2023 to RMB71.7 million (US$9.8 million) in 2024, primarily as a result of the increase in the sales of our robotaxis, robosweepers and robovans.</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Our cost of services decreased from RMB184.2 million in 2023 to RMB178.7 million (US$24.5 million) in 2024, mainly due to a decrease in service fee for other technology services from RMB139.6 million in 2023 to RMB115.9 million (US$15.9 million) in 2024 as our customized R&amp;D services for certain client was completed during the third quarter of 2024, paralleling the decrease in our service revenue, partially offset by an increase of RMB18.4 million in operational and technical supporting services.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Gross profit and gross margin</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gross profit decreased from RMB183.5 million in 2023 to RMB110.7 million (US$15.2 million) in 2024. Our gross margin decreased from 45.7% in 2023 to 30.7% in 2024. The decrease was primarily due to (i) the fluctuation of revenue mix with more products of lower profit margin, such as robosweepers and robobuses sold in 2024 and because we adopted a more competitive sales strategy in 2024 with lower prices (ii) the increased labor resources and cloud service fees for delivering ADAS research and development services to Bosch in 2024, and (iii) relatively low profit margin from our enlarged intelligent data services which commenced in 2024.</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research and development expenses increased by 3.1% from RMB1,058.4 million in 2023 to RMB1,091.4 million (US$149.5 million) in 2024, mainly due to (i) an increase of RMB161.1 million (US$22.1 million) in payroll and employee benefits, mainly for strengthening and enhancing the technological leadership and position in the industry, (ii) an increase of RMB44.2 million (US$6.1 million) in professional service fee for sensor suites upgrading related to our autonomous driving vehicles, and (iii) an increase of RMB8.1 million (US$1.1 million) in service fee from a related party for surveying and mapping services partially offset by a decrease in share-based compensation of RMB205.8 million (US$28.2 million), primarily resulting from the recognition of the share-based compensation for restricted share units since August 2023 when the vesting of the restricted share units has since become probable.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82" w:right="4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Administrative expenses</w:t>
      </w:r>
    </w:p>
    <w:p>
      <w:pPr>
        <w:spacing w:after="0" w:line="119"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Our administrative expenses increased by 82.1% from RMB625.4 million in 2023 to RMB1,138.8 million (US$156.0 million) in 2024, mainly due to (i) an increase of RMB472.0 million (US$64.7 million) in share-based compensations as a result of the issuance of restricted share units and options in 2024, (ii) an increase of RMB23.8 million (US$3.3 million) in personnel-related expenses mainly attributable to hiring administrative and management personnel and increasing average payroll and employee benefits in 2024 to support the operations of a growing organization, and (iii) an increase of RMB16.0 million (US$2.2 million) in professional service fees mainly related to our initial public offering completed in late 2024.</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Selling expenses</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selling expenses increased by 29.5% from RMB41.4 million in 2023 to RMB53.6 million (US$7.3 million) in 2024, mainly due to (i) an increase in personnel-related expenses and labor costs of RMB11.3 million (US$1.5 million) resulting from an increase in the number of personnel with selling and marketing functions and for business expansion, and (ii) an increase of RMB6.1 million (US$0.8 million) in marketing expenses for brand promotion, business development and clients relationship maintenance. The foregoing increase was partially offset by a decrease of RMB7.0 million (US$1.0 million) in share-based compensation expenses as a result of the decreased issuance of share-based awards in 2024.</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net income</w:t>
      </w:r>
    </w:p>
    <w:p>
      <w:pPr>
        <w:spacing w:after="0" w:line="119"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Our other net income increased from RMB15.8 million in 2023 to RMB16.5 million (US$2.3 million) in 2024, primarily related to a gain on disposal of non-current assets.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Impairment loss on receivables and contract assets</w:t>
      </w:r>
    </w:p>
    <w:p>
      <w:pPr>
        <w:spacing w:after="0" w:line="11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Our impairment loss on receivables and contract assets decreased from RMB40.2 million in 2023 to RMB28.7 million (US$3.9 million) in 2024, primarily due to that we have proactively made collection efforts with our customers to achieve timely settlement of our trade receivables.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Net foreign exchange gain</w:t>
      </w:r>
    </w:p>
    <w:p>
      <w:pPr>
        <w:spacing w:after="0" w:line="119"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Our net foreign exchange gain increased from RMB7.1 million in 2023 to RMB27.9 million (US$3.8 million) in 2024, primarily as a result of the fluctuations in the exchange rate between Renminbi and U.S. dollars and the increase in foreign currency balances.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interest income increased from RMB132.0 million in 2023 to RMB176.9 million (US$24.2 million) in 2024, resulting from an increase in our balance of cash and cash equivalents and time deposits held in US dollars as well as an increase in the applicable interest rate.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Fair value changes of financial assets at FVTPL</w:t>
      </w:r>
    </w:p>
    <w:p>
      <w:pPr>
        <w:spacing w:after="0" w:line="11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Fair value changes of financial assets at FVTPL changed from RMB43.0 million in 2023 to negative RMB61.8 million (US$8.5 million) in 2024, primarily as a result of the share price fluctuation of equity investments held by us in 2024.</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finance costs</w:t>
      </w:r>
    </w:p>
    <w:p>
      <w:pPr>
        <w:spacing w:after="0" w:line="11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Our other finance costs remain stable at RMB3.5 million and RMB3.5 million (US$0.5 million) in 2023 and 2024, mainly due to a decrease in interest expenses for lease liabilities offset by an increase in interest expenses for bank loans.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Fair value changes of financial liabilities measured at FVTPL</w:t>
      </w:r>
    </w:p>
    <w:p>
      <w:pPr>
        <w:spacing w:after="0" w:line="11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Our financial liabilities measured at FVTPL consist of warrants and convertible notes to purchase/convert into redeemable convertible preference shares. We recorded fair value loss of financial liabilities measured at FVTPL in the amount of RMB4.5 million in 2023 and nil in 2024. The change was primarily because the relative financial liabilities had been derecognized as of December 31, 2023.</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00"/>
          </w:cols>
          <w:pgMar w:left="320" w:top="482" w:right="4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Changes in the carrying amounts of preferred shares and other financial instruments subject to redemption and other preferential rights</w:t>
      </w:r>
    </w:p>
    <w:p>
      <w:pPr>
        <w:spacing w:after="0" w:line="11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Changes in the carrying amounts of preferred shares and other financial instruments subject to redemption and other preferential rights decreased by 16.0% from RMB554.0 million in 2023 to RMB465.3 million (US$63.7 million) in 2024 because our convertible preferred shares liabilities were converted to equity after our initial public offering completed in October 2024.</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had income tax expenses of RMB5.9 million (US$0.8 million) in 2024, as compared to income tax expenses of RMB2.9 million in 2023, primarily due to an increase in our interest income from our overseas subsidiary.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Loss for the year</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As a result of the foregoing, our loss for the period increased by 29.1% from RMB1,949.1 million in 2023 to RMB2,516.8 million (US$344.8 million) in 2024.</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Non-IFRS adjusted net loss</w:t>
      </w:r>
    </w:p>
    <w:p>
      <w:pPr>
        <w:spacing w:after="0" w:line="119" w:lineRule="exact"/>
        <w:rPr>
          <w:sz w:val="20"/>
          <w:szCs w:val="20"/>
          <w:color w:val="auto"/>
        </w:rPr>
      </w:pPr>
    </w:p>
    <w:p>
      <w:pPr>
        <w:ind w:left="120" w:right="400" w:firstLine="440"/>
        <w:spacing w:after="0" w:line="312" w:lineRule="auto"/>
        <w:rPr>
          <w:sz w:val="20"/>
          <w:szCs w:val="20"/>
          <w:color w:val="auto"/>
        </w:rPr>
      </w:pPr>
      <w:r>
        <w:rPr>
          <w:rFonts w:ascii="Times New Roman" w:cs="Times New Roman" w:eastAsia="Times New Roman" w:hAnsi="Times New Roman"/>
          <w:sz w:val="17"/>
          <w:szCs w:val="17"/>
          <w:color w:val="auto"/>
        </w:rPr>
        <w:t>Our non-IFRS adjusted net loss increased by 59.8% from RMB501.7 million in 2023 to RMB801.9 million (US$109.9 million) in 2024. For discussions of our adjusted net loss and reconciliation of adjusted net loss to loss for the year, see “—Non-IFRS Financial Measures” for details.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 Compared to Year Ended December 31, 2022</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revenue decreased by 23.8% from RMB527.5 million in 2022 to RMB401.8 million in 2023.</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Our product revenue decreased from RMB337.7 million in 2022 to RMB54.2 million in 2023, primarily due to (i) the decrease in the sales of our robobuses from 90 units in 2022 to 19 units in 2023; and (ii) the decrease in the sales of robotaxis from 11 units in 2022 to three units in 2023.</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illustrates our product sales in the years presented:</w:t>
      </w:r>
    </w:p>
    <w:p>
      <w:pPr>
        <w:spacing w:after="0" w:line="24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12" w:lineRule="exact"/>
        <w:rPr>
          <w:sz w:val="20"/>
          <w:szCs w:val="20"/>
          <w:color w:val="auto"/>
        </w:rPr>
      </w:pPr>
    </w:p>
    <w:tbl>
      <w:tblPr>
        <w:tblLayout w:type="fixed"/>
        <w:tblInd w:w="1880" w:type="dxa"/>
        <w:tblCellMar>
          <w:top w:w="0" w:type="dxa"/>
          <w:left w:w="0" w:type="dxa"/>
          <w:bottom w:w="0" w:type="dxa"/>
          <w:right w:w="0" w:type="dxa"/>
        </w:tblCellMar>
      </w:tblPr>
      <w:tr>
        <w:trPr>
          <w:trHeight w:val="142"/>
        </w:trPr>
        <w:tc>
          <w:tcPr>
            <w:tcW w:w="482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2"/>
                <w:szCs w:val="12"/>
                <w:color w:val="auto"/>
              </w:rPr>
            </w:pPr>
          </w:p>
        </w:tc>
      </w:tr>
      <w:tr>
        <w:trPr>
          <w:trHeight w:val="20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robobuses</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9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shd w:val="clear" w:color="auto" w:fill="CCEEFF"/>
          </w:tcPr>
          <w:p>
            <w:pPr>
              <w:spacing w:after="0"/>
              <w:rPr>
                <w:sz w:val="18"/>
                <w:szCs w:val="18"/>
                <w:color w:val="auto"/>
              </w:rPr>
            </w:pPr>
          </w:p>
        </w:tc>
      </w:tr>
      <w:tr>
        <w:trPr>
          <w:trHeight w:val="234"/>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of robotaxis</w:t>
            </w:r>
          </w:p>
        </w:tc>
        <w:tc>
          <w:tcPr>
            <w:tcW w:w="116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11</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bl>
    <w:p>
      <w:pPr>
        <w:spacing w:after="0" w:line="17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decreases in sales in 2023 were mainly as a result of a challenging macroeconomic environment. Based on our communication with our potential business partners, we have an understanding that they prioritized their budgets in 2023 for investment in other fields. As a result, we recorded less revenue than anticipated in 2023.</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Our service revenue increased by 83.1% from RMB189.8 million in 2022 to RMB347.7 million in 2023, primarily due to an increase of RMB105.2 million in ADAS research and development service revenue as a result of the customized research and development services we provided to Bosch, and an increase of RMB52.6 million in the provision of operational and technical support services for robobuses, robotaxis and robosweepers. ADAS research and development service revenue historically contributed a significant portion of our service revenue. Going forward, we expect the revenue from the provision of operational and technical support services as a percentage of service revenue to rise as the operation of our L4 autonomous driving fleet scales. We also generated an insignificant amount of revenue from the offering of robotaxi rides through </w:t>
      </w:r>
      <w:r>
        <w:rPr>
          <w:rFonts w:ascii="Times New Roman" w:cs="Times New Roman" w:eastAsia="Times New Roman" w:hAnsi="Times New Roman"/>
          <w:sz w:val="18"/>
          <w:szCs w:val="18"/>
          <w:i w:val="1"/>
          <w:iCs w:val="1"/>
          <w:color w:val="auto"/>
        </w:rPr>
        <w:t>WeRide Go</w:t>
      </w:r>
      <w:r>
        <w:rPr>
          <w:rFonts w:ascii="Times New Roman" w:cs="Times New Roman" w:eastAsia="Times New Roman" w:hAnsi="Times New Roman"/>
          <w:sz w:val="18"/>
          <w:szCs w:val="18"/>
          <w:color w:val="auto"/>
        </w:rPr>
        <w:t xml:space="preserve"> in 2022 and 2023.</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60"/>
          </w:cols>
          <w:pgMar w:left="320" w:top="482" w:right="5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cost of goods sold decreased from RMB192.5 million in 2022 to RMB34.1 million in 2023, primarily as a result of the decrease in the sales of our robobuses.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cost of services increased from RMB102.5 million in 2022 to RMB184.2 million in 2023, mainly due to an increase in the service fee for the development of the ADAS from RMB13.2 million in 2022 to RMB50.7 million in 2023, and to a lesser extent, an increase in personnel-related expenses from RMB75.4 million in 2022 to RMB101.6 million in 2023, which were incurred in respect of the ADAS research and development service we provided to Bosch and the provision of operational and technical support services for robobuses, robotaxis and robosweepers.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Gross profit and gross margin</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gross profit decreased by 21.1% from RMB232.5 million in 2022 to RMB183.5 million in 2023. Our gross margin experienced an enhancement in 2023, climbing from 44.1% to 45.7%. The gross profit generated from the sales of our products decreased from RMB145.2 million in 2022 to RMB20.1 million in 2023 primarily as a result of the decrease in the sales of our robobuses. The gross profit generated from the provision of our services increased significantly from RMB87.4 million in 2022 to RMB163.4 million in 2023 primarily due to the increase in ADAS research and development service revenue as well as the increase in the provision of operational and technical support services for robobuses, robotaxis and robosweepers.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Our research and development expenses increased by 39.5% from RMB758.6 million in 2022 to RMB1,058.4 million, mainly due to an increase in share-based compensation of RMB209.1 million, primarily resulting from the recognition of a cumulative catch-up of the share-based compensation for restricted share units in 2023 as the vesting of the restricted share units has since become probable, and an increase in share-based compensation expenses as a result of the issuance of options in 2023, and to a lesser extent, due to an increase of RMB64.8 million in payroll and employee benefits resulting from the expansion of our research and development team due to our enhanced focus on technology investment.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Administrative expenses</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administrative expenses increased significantly from RMB237.2 million in 2022 to RMB625.4 million in 2023, mainly due to a substantial rise in share-based compensations of RMB375.7 million as a result of the recognition of a cumulative catch-up of the share-based compensation for restricted share units in 2023 as the vesting of the restricted share units has since become probable, and as a result of issuance of options in 2023 and the vesting of restricted share units as our initial public offering became probable in 2023, and to a lesser extent, a slight increase in payroll and employee benefits of RMB14.9 million resulting from an increase in the number of personnel with administrative function.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Selling expenses</w:t>
      </w:r>
    </w:p>
    <w:p>
      <w:pPr>
        <w:spacing w:after="0" w:line="119"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selling expenses increased by 75.8% from RMB23.6 million in 2022 to RMB41.4 million, mainly due to an increase of RMB11.2 million in share-based compensations as a result of issuance of options in 2023, and an increase of RMB8.6 million in personnel-related expenses resulting from an increase in the number of personnel with selling and marketing functions.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net income</w:t>
      </w:r>
    </w:p>
    <w:p>
      <w:pPr>
        <w:spacing w:after="0" w:line="11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Our other net income decreased by 18.4% from RMB19.3 million in 2022 to RMB15.8 million in 2023, primarily resulted from a decrease in government grants.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82" w:right="4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Impairment loss on receivables and contract assets</w:t>
      </w:r>
    </w:p>
    <w:p>
      <w:pPr>
        <w:spacing w:after="0" w:line="119" w:lineRule="exact"/>
        <w:rPr>
          <w:sz w:val="20"/>
          <w:szCs w:val="20"/>
          <w:color w:val="auto"/>
        </w:rPr>
      </w:pPr>
    </w:p>
    <w:p>
      <w:pPr>
        <w:jc w:val="both"/>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Our impairment loss on receivables and contract assets increased significantly from RMB11.7 million in 2022 to RMB40.2 million in 2023, primarily due to the aging deterioration of receivables and contract assets as a result of slowed down cash collection from our customers, and the increase of our balances of receivables.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Net foreign exchange gain</w:t>
      </w:r>
    </w:p>
    <w:p>
      <w:pPr>
        <w:spacing w:after="0" w:line="11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Our net foreign exchange gain decreased from RMB20.2 million in 2022 to RMB7.1 million in 2023, primarily as a result of the fluctuations in the exchange rate between Renminbi and U.S. dollars.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interest income increased from RMB36.1 million in 2022 to RMB132.0 million in 2023, resulting from an increase in our balance of cash and time deposits held in US dollars as well as an increase in the applicable interest rate.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Fair value changes of financial assets at FVTPL</w:t>
      </w:r>
    </w:p>
    <w:p>
      <w:pPr>
        <w:spacing w:after="0" w:line="11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Fair value changes of financial assets at FVTPL increased significantly from RMB7.7 million in 2022 to RMB43.0 million in 2023, primarily as a result of the longer holding period of wealth management products held by us in 2023.</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finance costs</w:t>
      </w:r>
    </w:p>
    <w:p>
      <w:pPr>
        <w:spacing w:after="0" w:line="11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Our other finance costs decreased by 16.9% from RMB4.2 million in 2022 to RMB3.5 million in 2023, mainly due to a decrease on interest for lease liabilities.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Inducement charges of warrants</w:t>
      </w:r>
    </w:p>
    <w:p>
      <w:pPr>
        <w:spacing w:after="0" w:line="119"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Our inducement charges of warrants was RMB125.2 million and nil in 2022 and 2023, respectively. The incurrence of the inducement charges of warrants in 2022 was due to the issuance of warrants in 2022 which were granted to certain preferred share investors without additional consideration. Under the relevant warrants, such investors had the right to subscribe for more preferred shares at a predetermined price during a specific period. The initial fair value of these warrants is treated as an inducement charge for the financing activities. In 2023, we did not issue new warrants.</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Fair value changes of financial liabilities measured at FVTPL</w:t>
      </w:r>
    </w:p>
    <w:p>
      <w:pPr>
        <w:spacing w:after="0" w:line="11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Our financial liabilities consist of warrants and convertible notes to purchase/convert into redeemable convertible preference shares. We recorded fair value gain of financial liabilities measured at FVTPL in the amount of RMB25.3 million in 2022 and fair value loss of financial liabilities measured at FVTPL in the amount of RMB4.5 million in 2023. The change was primarily due to the change in the fair value of convertible notes and warrants due to the expiration of warrants issued to certain preferred share investors in 2022 and the exercise of the remaining warrants in 2023.</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Changes in the carrying amounts of preferred shares and other financial instruments subject to redemption and other preferential rights</w:t>
      </w:r>
    </w:p>
    <w:p>
      <w:pPr>
        <w:spacing w:after="0" w:line="119"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Changes in the carrying amounts of preferred shares and other financial instruments subject to redemption and other preferential rights increased by 15.6% from RMB479.2 million in 2022 to RMB554.0 million in 2023 as a result of changes in the present value of the redemption amounts of our convertible redeemable preferred shares and other financial instruments.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00"/>
          </w:cols>
          <w:pgMar w:left="320" w:top="482" w:right="47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We had income tax expenses of RMB2.9 million in 2023, representing withholding taxes on interest income generated by our overseas subsidiaries. We did not record income tax expense in 2022.</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Loss for the year</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 result of the foregoing, our loss for the year increased by 50.1% from RMB1,298.5 million in 2022 to RMB1,949.1 million in 2023.</w:t>
      </w:r>
    </w:p>
    <w:p>
      <w:pPr>
        <w:spacing w:after="0" w:line="22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expect to narrow our loss in the foreseeable future. We have generated increasing commercialization revenue from autonomous driving products and services in most previous financial years, and have witnessed a change of revenue mix resulting from an increased service revenue. We expect this upward trend in our commercialization revenue to resume as we grow our business strategically and achieve large-scale commercialization. However, as we are in the early stage of commercialization and our revenue mix is shifting in response to evolving market condition, this upward trend is expected to be volatile.</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At the same time, we anticipate that our cost of revenue and operating expenses will grow moderately and at a slower pace than the revenue increase. In particular, we expect to (i) lower the per unit production cost of our autonomous driving products as we achieve economies of scale from expanded fleet size and through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benefiting from the high level of commonality in software and hardware across our different products that this platform provides; (ii) improve research and development efficiency as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delivers efficient capital utilization on both software and hardware levels, shortens the development cycle of new products and allows us to conquer new use cases quickly and efficiently; and (iii) improve deployment efficiency as our well-defined product lines and platform approach enable technology reusability, multi-use case coverage and market synergies.</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the other hand, losses attributable to changes in the carrying amounts of preferred shares and other financial instruments subject to redemption and other preferential rights, which totaled RMB479.2 million and RMB554.0 million in 2022 and 2023. With the conversion of preferred shares into Class A ordinary shares upon the completion of our initial public offering in October 2024, we expect our loss for the year to be reduced in the near future.</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See “Item 3. Key Information—D. Risk Factors—Risks Related to Our Business and Industry” for a non-exhaustive list of factors that may affect our ability to narrow our loss. In addition, we will recognize a substantial amount of share-based compensation expenses upon the completion of our initial public offering. See “Item 3. Key Information—D. Risk Factors—Risks Related to Our Business and Industry—We have granted options and other types of awards under our 2018 Share Plan, which will result in a substantial amount of share-based compensation expenses and may have a significant impact on our results of operations.”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Non-IFRS adjusted net loss</w:t>
      </w:r>
    </w:p>
    <w:p>
      <w:pPr>
        <w:spacing w:after="0" w:line="119"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Our non-IFRS adjusted net loss increased by 24.9% from RMB401.7 million in 2022 to RMB501.7 million in 2023. For discussions of our adjusted net loss and reconciliation of adjusted net loss to loss for the year, see “—Non-IFRS Financial Measures” for details.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Non-IFRS Financial Measures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evaluating our business, we consider and use of the non-IFRS financial measure of adjusted net loss as a supplemental measure to review and assess our operating performance. We believe that adjusted net loss provides useful information to investors and others in understanding and evaluating our consolidated results of operations in the same manner as it helps our management. We define adjusted net loss as loss for the year excluding share-based compensation expenses, inducement charges of warrants, fair value changes of financial liabilities measured at FVTPL, fair value changes of financial assets at FVTPL and changes in the carrying amounts of preferred shares and other financial instruments subject to redemption and other preferential rights, all of which are net of nil tax.</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060"/>
          </w:cols>
          <w:pgMar w:left="320" w:top="482" w:right="5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present the non-IFRS financial measure because it is used by our management to evaluate our operating performance and formulate business plans. Adjusted net loss enables our management to assess our operating results without considering the impacts of the aforementioned non-cash adjustment items that we do not consider to be indicative of our core operations. Accordingly, we believe that the use of this non-IFRS financial measure provides useful information to investors and others in understanding and evaluating our operating results in the same manner as our management and board of directors.</w:t>
      </w:r>
    </w:p>
    <w:p>
      <w:pPr>
        <w:spacing w:after="0" w:line="183"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This non-IFRS financial measure is not defined under IFRS and is not presented in accordance with IFRS. The non-IFRS financial measure has limitations as an analytical tool. One of the key limitations of using adjusted net loss is that it does not reflect all items of expenses that affect our operations. Further, this non-IFRS measure may differ from the non-IFRS information used by other companies, including peer companies, and therefore its comparability may be limited.</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non-IFRS financial measure should not be considered in isolation or construed as an alternative to loss for the year or any other measure of performance information prepared and presented in accordance with IFRS or as an indicator of our operating performance. Investors are encouraged to review our historical non-IFRS financial measure in light of the most directly comparable IFRS measure, as shown below. The non-IFRS financial measure presented here may not be comparable to similarly titled measure presented by other companies. Other companies may calculate similarly titled measures differently, limiting the usefulness of such measures when analyzing our data comparatively. We encourage you to review our financial information in its entirety and not rely on a single financial measure.</w:t>
      </w:r>
    </w:p>
    <w:p>
      <w:pPr>
        <w:spacing w:after="0" w:line="187"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reconciles our adjusted net loss for the years indicated to the most directly comparable financial measure calculated and presented in accordance with IFRS, which is loss for the year:</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84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84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104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84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70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80" w:type="dxa"/>
            <w:vAlign w:val="bottom"/>
            <w:gridSpan w:val="4"/>
          </w:tcPr>
          <w:p>
            <w:pPr>
              <w:jc w:val="right"/>
              <w:ind w:right="78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loss for the year to adjusted net loss: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10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(1,298,496)</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(1,949,101)</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(2,516,808)</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(344,802)</w:t>
            </w: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04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325,429</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931,784</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1,187,867</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162,737</w:t>
            </w: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Inducement charges of warrants</w:t>
            </w:r>
          </w:p>
        </w:tc>
        <w:tc>
          <w:tcPr>
            <w:tcW w:w="104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125,213</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changes of financial assets at FVTPL</w:t>
            </w:r>
          </w:p>
        </w:tc>
        <w:tc>
          <w:tcPr>
            <w:tcW w:w="10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(7,731)</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(42,960)</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61,834</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8,471</w:t>
            </w: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changes of financial liabilities measured at FVTPL</w:t>
            </w:r>
          </w:p>
        </w:tc>
        <w:tc>
          <w:tcPr>
            <w:tcW w:w="10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(25,308)</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4,549</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20" w:type="dxa"/>
            <w:vAlign w:val="bottom"/>
          </w:tcPr>
          <w:p>
            <w:pPr>
              <w:spacing w:after="0"/>
              <w:rPr>
                <w:sz w:val="17"/>
                <w:szCs w:val="17"/>
                <w:color w:val="auto"/>
              </w:rPr>
            </w:pPr>
          </w:p>
        </w:tc>
        <w:tc>
          <w:tcPr>
            <w:tcW w:w="6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Changes in the carrying amounts of preferred shares and other financial</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6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instruments subject to redemption and other preferential rights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479,210</w:t>
            </w:r>
          </w:p>
        </w:tc>
        <w:tc>
          <w:tcPr>
            <w:tcW w:w="20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554,048</w:t>
            </w:r>
          </w:p>
        </w:tc>
        <w:tc>
          <w:tcPr>
            <w:tcW w:w="20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465,254</w:t>
            </w:r>
          </w:p>
        </w:tc>
        <w:tc>
          <w:tcPr>
            <w:tcW w:w="20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63,740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Non-IFRS adjusted net loss</w:t>
            </w:r>
          </w:p>
        </w:tc>
        <w:tc>
          <w:tcPr>
            <w:tcW w:w="10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(401,683)</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(501,680)</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(801,853)</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(109,854)</w:t>
            </w: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6" w:lineRule="exact"/>
        <w:rPr>
          <w:sz w:val="20"/>
          <w:szCs w:val="20"/>
          <w:color w:val="auto"/>
        </w:rPr>
      </w:pPr>
    </w:p>
    <w:p>
      <w:pPr>
        <w:ind w:left="120" w:right="7180" w:hanging="4"/>
        <w:spacing w:after="0" w:line="378" w:lineRule="auto"/>
        <w:tabs>
          <w:tab w:leader="none" w:pos="552"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AND CAPITAL RESOURCES Cash Flows and Working Capital</w:t>
      </w: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2024, we have financed our operating and investing activities mainly through historical equity financing activities. In October 2024, we completed our initial public offering on the Nasdaq Stock Market, raising gross proceeds of US$120.0 million, excluding proceeds from the underwriters’ partial exercise of their option to purchase additional ADSs, combined with US$320.5 million concurrent private placement.</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2023 and 2024, our cash and cash equivalents were RMB1,661.2 and RMB4,268.3 million (US$584.8 million), respectively. As of December 31, 2023 and 2024, our time deposits were RMB2,550.3 million and RMB620.1 million (US$85.0 million), respectively. As of December 31, 2023 and 2024, our financial assets at FVTPL was RMB317.0 million and RMB1,742.1 million (US$238.7 million), respectively. Our financial assets at FVTPL primarily represents our investments in wealth management products and in a listed company.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20"/>
          </w:cols>
          <w:pgMar w:left="320" w:top="482"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believe our current cash and cash equivalents will be sufficient to meet our current and anticipated working capital requirements and capital expenditures for at least the next 12 months. We may, however, need additional cash resources in the future to satisfy capital requirements, respond to adverse developments or changes in our circumstances or unforeseen events or conditions, or fund organic or inorganic growth. If we determine that our cash requirements exceed the amount of cash we have on hand, we may seek to issue equity or equity linked securities or obtain debt financing. The issuance and sale of additional equity would result in further dilution to our shareholders. The incurrence of indebtedness could expose us to additional obligations and restrictions with respect to our operations. In the event that we are unable to secure sufficient financing resources in amounts or on terms acceptable to us, our business, financial condition and results of operations may be materially and adversely affected.</w:t>
      </w:r>
    </w:p>
    <w:p>
      <w:pPr>
        <w:spacing w:after="0" w:line="18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2024, 35.2% and 64.8% of our cash, cash equivalents, restricted cash, time deposits and financial assets at FVTPL were held in mainland China and outside mainland China, respectively, and 7.6% and 92.1% were denominated in Renminbi and U.S. dollars, respectively. Our cash, cash equivalents, restricted cash, time deposits and financial assets at FVTPL as of December 31, 2024 outside mainland China was held primarily in Singapore, the U.S., and Middle East.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cash concentration disclosures, see Note 30(f) to our audited consolidated financial statements included elsewhere in this annual report.</w:t>
      </w:r>
    </w:p>
    <w:p>
      <w:pPr>
        <w:spacing w:after="0" w:line="225"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As a Cayman Islands exempted company and offshore holding company, we are permitted under PRC laws and regulations to provide funding to our mainland China subsidiaries only through loans or capital contributions. We expect to repatriate a portion of the proceeds raised in our offshore offerings into our PRC operations for general corporate purposes within the business scope of our mainland China subsidiaries but such limitation under PRC laws and regulations could delay us from using the proceeds from our offshore offerings to make loans or capital contributions to our mainland China subsidiaries. See “Item 3. Key Information—D. Risk Factors—Risks Related to Doing Business in Mainland China—PRC regulation of loans to and direct investment in PRC entities by offshore holding companies and governmental control of currency conversion may affect our ability to use the proceeds of our offshore offerings to make loans or additional capital contributions to our mainland China subsidiaries, which could materially and adversely affect our liquidity and our ability to fund and expand our business.” The ability of our subsidiaries in China to make dividends or other cash payments to us is subject to various restrictions under PRC laws and regulations. See “Item 3. Key Information—D. Risk Factors—Risks Related to Doing Business in Mainland China—We may rely on dividends and other distributions on equity paid by our mainland China subsidiaries to fund any cash and financing requirements we may have, and any limitation on the ability of our mainland China subsidiaries to make payments to us could have a material and adverse effect on our ability to conduct our business.” For other restrictions and limitations on liquidity and capital resources as a result of our corporate structure, see “Item 5. Operating and Financial Review and Prospects—B. Liquidity and Capital Resources—Holding Company Structure.”</w:t>
      </w:r>
    </w:p>
    <w:p>
      <w:pPr>
        <w:spacing w:after="0" w:line="197"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7"/>
          <w:szCs w:val="17"/>
          <w:color w:val="auto"/>
        </w:rPr>
        <w:t>A substantial majority of our revenue has been denominated in RMB for the years ended December 31, 2022, 2023 and 2024. Under existing PRC laws and regulations, our mainland China subsidiaries are allowed to pay dividends in foreign currencies to us without prior SAFE approval by following the applicable procedural requirements. However, our mainland China subsidiaries are allowed to pay dividends to us only out of their accumulated profits, if any, determined in accordance with Chinese accounting standards and regulations. Our mainland China subsidiaries are required to set aside at least 10% of their after-tax profits after making up previous years’ accumulated losses each year, if any, to fund certain statutory reserve funds until the total amount set aside reaches 50% of their registered capital. These reserves are not distributable as cash dividends. Payments of current account items, including profit distributions, interest payments and trade and service-related foreign exchange transactions, can be made in foreign currencies without prior SAFE approval as long as certain procedural requirements are fulfilled. Therefore, historically, our mainland China subsidiaries have not paid dividends to us, and they will not be able to pay dividends until they generate accumulated profits. See “Item 5. Operating and Financial Review and Prospects—B. Liquidity and Capital Resources—Holding Company Structure.” Furthermore, approval from or registration with competent government authorities is required where the Renminbi is to be converted into foreign currency and remitted out of mainland China to pay capital expenses such as the repayment of loans denominated in foreign currencies. The PRC government may at its discretion restrict access to foreign currencies for current account transactions in the future. If the foreign exchange control system prevents us from obtaining sufficient foreign currencies to satisfy our foreign currency demands, we may not be able to pay dividends in foreign currencies to our shareholders, including holders of our ADSs.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20"/>
          </w:cols>
          <w:pgMar w:left="320" w:top="482"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80" w:firstLine="440"/>
        <w:spacing w:after="0" w:line="261" w:lineRule="auto"/>
        <w:rPr>
          <w:sz w:val="20"/>
          <w:szCs w:val="20"/>
          <w:color w:val="auto"/>
        </w:rPr>
      </w:pPr>
      <w:r>
        <w:rPr>
          <w:rFonts w:ascii="Times New Roman" w:cs="Times New Roman" w:eastAsia="Times New Roman" w:hAnsi="Times New Roman"/>
          <w:sz w:val="18"/>
          <w:szCs w:val="18"/>
          <w:color w:val="auto"/>
        </w:rPr>
        <w:t>Some of government grants received and anticipated to be received by our company are unconditional while some have conditions attached. Under the terms and conditions of the government grants received and anticipated to be received, we are required to meet certain requirements of operational performance, such as operating in a specified area for a minimum period of time, or financial performance such as minimum revenue amount and tax payment in certain time period in the specified regions of mainland China.</w:t>
      </w:r>
    </w:p>
    <w:p>
      <w:pPr>
        <w:spacing w:after="0" w:line="180" w:lineRule="exact"/>
        <w:rPr>
          <w:sz w:val="20"/>
          <w:szCs w:val="20"/>
          <w:color w:val="auto"/>
        </w:rPr>
      </w:pPr>
    </w:p>
    <w:p>
      <w:pPr>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We received government grants in cash of RMB24.9 million, RMB52.4 million and RMB19.5 million (US$2.7 million) for the years ended December 31, 2022, 2023 and 2024, respectively. Almost all the grants were provided by the governments in mainland China and received in Renminbi.</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movements of our cash flows for the periods presented:</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302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84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78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100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84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4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4"/>
          </w:tcPr>
          <w:p>
            <w:pPr>
              <w:jc w:val="right"/>
              <w:ind w:right="76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(670,381)</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(474,890)</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(593,595)</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in)/generated from investing activities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(2,202,414)</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(546,944)</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325,505</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 financing activities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2,184,588</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446,954</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2,823,875</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386,869</w:t>
            </w: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(decrease)/increase in cash and cash equivalents</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(688,207)</w:t>
            </w:r>
          </w:p>
        </w:tc>
        <w:tc>
          <w:tcPr>
            <w:tcW w:w="2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(574,880)</w:t>
            </w:r>
          </w:p>
        </w:tc>
        <w:tc>
          <w:tcPr>
            <w:tcW w:w="2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2,555,785</w:t>
            </w:r>
          </w:p>
        </w:tc>
        <w:tc>
          <w:tcPr>
            <w:tcW w:w="2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350,141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as of January 1</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2,725,568</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2,233,691</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1,661,152</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196,330</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2,341</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51,363</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as of December 31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2,233,691</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1,661,152</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4,268,300</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584,755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 in 2024 was RMB593.6 million (US$81.3 million). The difference between the loss for the period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RMB2,516.8 million (US$344.8 million) and operating cash outflow was primarily the result of (i) the adjustment of non-cash items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RMB1,919.5 million (US$263.0 million), mainly consisted of share-based compensation expenses of RMB1,187.9 million (US$162.7 million)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changes in the carrying amounts of preferred shares and other financial instruments subject to redemption and other preferential rights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RMB465.3 million (US$63.7 million), and (ii) a net decrease in working capital, which represents total current assets less total current liabilities, by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RMB7.5 million (US$1.0 million). The net decrease in working capital was primarily attributable to an increase in other payables, deposits received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accrued expenses of RMB98.6 million (US$13.5 million), a decrease in trade receivables and contract assets of RMB43.2 million (US$5.9 million)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mainly due to enhanced cash collection from customers, partially offset by (i) a decrease in amounts due to related parties of RMB68.4 million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(US$9.4 million) for settlement of purchase orders to Yutong affiliates and Yuji affiliates, and (ii) an increase in inventories of RMB62.3 million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(US$8.5 million) mainly driven by stocking for foreseeable purchase orders.</w:t>
      </w:r>
    </w:p>
    <w:p>
      <w:pPr>
        <w:spacing w:after="0" w:line="20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in 2023 was RMB474.9 million. The difference between the loss for the year of RMB1,949.1 million and operating cash outflow was primarily the result of (i) the adjustment of non-cash items of RMB1,585.2 million, mainly consisted of share-based compensation expenses of RMB931.8 million, changes in the carrying amounts of preferred shares and other financial instruments subject to redemption and other preferential rights of RMB554.0 million, and (ii) partially offset by a net increase in working capital by RMB108.1 million. The net increase in working capital was primarily attributable to increase in trade receivables of RMB54.1 million mainly due to the aging deterioration of receivables and longer period for cash collection, increase in inventories of RMB68.5 million driven by increased stocking for foreseeable purchase orders, and an increase in prepayments, deposits and other receivables of RMB108.4 million primarily due to prepayments for the bulk purchase of autonomous driving sensors and increased payments made on behalf of customers.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20"/>
          </w:cols>
          <w:pgMar w:left="320" w:top="482"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in 2022 was RMB670.4 million. The difference between the loss for the year of RMB1,298.5 million and operating cash outflow was primarily the result of (i) the adjustment of non-cash items of RMB991.9 million, mainly consisted of changes in the carrying amounts of preferred shares and other financial instruments subject to redemption and other preferential rights of RMB479.2 million, inducement charges of warrants of RMB125.2 million and share-based compensation expenses of RMB325.4 million, and (ii) partially offset by a net increase in working capital by RMB363.8 million. The net increase in working capital was primarily attributable to an increase in trade receivables and contract assets of RMB308.9 million and an increase in inventory of RMB41.5 million driven by the increase in the sales of our autonomous driving vehicles and provision of ADAS services and partially offset by (i) an increase in other non-current liabilities and other payables, deposits received and accrued expenses of RMB14.8 million and (ii) a decrease in prepayments to and amount due from related parties by RMB9.0 million.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Cash generated from investing activities in 2024 was RMB325.5 million (US$44.6 million), consisting primarily of proceeds from maturity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time deposits of RMB5,156.8 million (US$706.5 million) and proceeds from sales of financial assets measured at FVTPL of RMB324.8 million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(US$44.5 million), partially offset by payments for purchase of financial assets at FVTPL of RMB1,807.5 million (US$247.6 million) and purchase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time deposits of RMB3,257.0 million (US$446.2 million).</w:t>
      </w:r>
    </w:p>
    <w:p>
      <w:pPr>
        <w:spacing w:after="0" w:line="207"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in 2023 was RMB546.9 million, consisting primarily of purchase of time deposits of RMB2,915.3 million and payments for purchase of financial assets at FVTPL of RMB1,965.3 million, partially offset by proceeds from sales of financial assets at FVTPL of RMB2,925.3 million and proceeds from maturity of time deposits of RMB1,454.4 million.</w:t>
      </w:r>
    </w:p>
    <w:p>
      <w:pPr>
        <w:spacing w:after="0" w:line="176"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in 2022 was RMB2,202.4 million, consisting primarily of purchase of financial assets at FVTPL of RMB2,041.2 million and purchase of time deposits of RMB1,487.9 million, partially offset by proceeds from sales of financial assets at FVTPL of RMB929.8 million.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Cash generated from financing activities in 2024 was RMB2,823.9 million (US$386.9 million), consisting primarily of proceeds from issuance of ordinary shares relating to our initial public offering and exercise of the over-allotment option, net of commissions of RMB3,170.8 million (US$434.4 million), which was partially offset by payment of withholding tax arising from the settlement of vested RSUs of RMB394.2 million (US$54.0 million).</w:t>
      </w:r>
    </w:p>
    <w:p>
      <w:pPr>
        <w:spacing w:after="0" w:line="158"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Cash generated from financing activities in 2023 was RMB447.0 million, consisting primarily of proceeds from issuance of preferred shares and other financial instruments subject to redemption and other preferential rights of RMB485.3 million.</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Cash generated from financing activities in 2022 was RMB2,184.6 million, consisting primarily of proceeds from issuance of preferred shares and other financial instruments subject to redemption and other preferential rights of RMB2,163.4 million.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Our material cash requirements as of December 31, 2024 and any subsequent interim period primarily include our capital expenditures and contractual obligations.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21" w:lineRule="exact"/>
        <w:rPr>
          <w:sz w:val="20"/>
          <w:szCs w:val="20"/>
          <w:color w:val="auto"/>
        </w:rPr>
      </w:pPr>
    </w:p>
    <w:p>
      <w:pPr>
        <w:ind w:left="120" w:right="660" w:firstLine="440"/>
        <w:spacing w:after="0" w:line="266" w:lineRule="auto"/>
        <w:rPr>
          <w:sz w:val="20"/>
          <w:szCs w:val="20"/>
          <w:color w:val="auto"/>
        </w:rPr>
      </w:pPr>
      <w:r>
        <w:rPr>
          <w:rFonts w:ascii="Times New Roman" w:cs="Times New Roman" w:eastAsia="Times New Roman" w:hAnsi="Times New Roman"/>
          <w:sz w:val="18"/>
          <w:szCs w:val="18"/>
          <w:color w:val="auto"/>
        </w:rPr>
        <w:t>Our capital expenditures were RMB82.7 million, RMB37.0 million and RMB85.5 million (US$11.7 million) in 2022, 2023 and 2024, respectively. Capital expenditures primarily represent expenditures on payments for purchase of intangible assets, property and equipment. The following table sets forth our capital expenditure for the periods presented:</w:t>
      </w:r>
    </w:p>
    <w:p>
      <w:pPr>
        <w:spacing w:after="0" w:line="19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620" w:type="dxa"/>
            <w:vAlign w:val="bottom"/>
            <w:tcBorders>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2"/>
                <w:szCs w:val="12"/>
                <w:color w:val="auto"/>
              </w:rPr>
            </w:pPr>
          </w:p>
        </w:tc>
        <w:tc>
          <w:tcPr>
            <w:tcW w:w="620" w:type="dxa"/>
            <w:vAlign w:val="bottom"/>
            <w:tcBorders>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2"/>
                <w:szCs w:val="12"/>
                <w:color w:val="auto"/>
              </w:rPr>
            </w:pPr>
          </w:p>
        </w:tc>
        <w:tc>
          <w:tcPr>
            <w:tcW w:w="94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6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3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0" w:type="dxa"/>
            <w:vAlign w:val="bottom"/>
            <w:tcBorders>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80" w:type="dxa"/>
            <w:vAlign w:val="bottom"/>
            <w:gridSpan w:val="4"/>
          </w:tcPr>
          <w:p>
            <w:pPr>
              <w:jc w:val="right"/>
              <w:ind w:right="68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760" w:type="dxa"/>
            <w:vAlign w:val="bottom"/>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(80,812)</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(36,650)</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(84,004)</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2840" w:type="dxa"/>
            <w:vAlign w:val="bottom"/>
          </w:tcPr>
          <w:p>
            <w:pPr>
              <w:spacing w:after="0"/>
              <w:rPr>
                <w:sz w:val="18"/>
                <w:szCs w:val="18"/>
                <w:color w:val="auto"/>
              </w:rPr>
            </w:pPr>
          </w:p>
        </w:tc>
        <w:tc>
          <w:tcPr>
            <w:tcW w:w="92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(1,881)</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(304)</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(1,504)</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b w:val="1"/>
                <w:bCs w:val="1"/>
                <w:color w:val="auto"/>
              </w:rPr>
              <w:t>(82,693)</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(36,954)</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(85,508)</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(11,715)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40" w:type="dxa"/>
            <w:vAlign w:val="bottom"/>
            <w:vMerge w:val="restart"/>
          </w:tcPr>
          <w:p>
            <w:pPr>
              <w:jc w:val="right"/>
              <w:ind w:right="1330"/>
              <w:spacing w:after="0"/>
              <w:rPr>
                <w:sz w:val="20"/>
                <w:szCs w:val="20"/>
                <w:color w:val="auto"/>
              </w:rPr>
            </w:pPr>
            <w:r>
              <w:rPr>
                <w:rFonts w:ascii="Times New Roman" w:cs="Times New Roman" w:eastAsia="Times New Roman" w:hAnsi="Times New Roman"/>
                <w:sz w:val="18"/>
                <w:szCs w:val="18"/>
                <w:color w:val="auto"/>
              </w:rPr>
              <w:t>116</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2" w:right="4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40" w:firstLine="440"/>
        <w:spacing w:after="0" w:line="312" w:lineRule="auto"/>
        <w:rPr>
          <w:sz w:val="20"/>
          <w:szCs w:val="20"/>
          <w:color w:val="auto"/>
        </w:rPr>
      </w:pPr>
      <w:r>
        <w:rPr>
          <w:rFonts w:ascii="Times New Roman" w:cs="Times New Roman" w:eastAsia="Times New Roman" w:hAnsi="Times New Roman"/>
          <w:sz w:val="17"/>
          <w:szCs w:val="17"/>
          <w:color w:val="auto"/>
        </w:rPr>
        <w:t>We expect our capital expenditures to continue to be significant in the foreseeable future as we expand our business and continue to invest in technological development. We intend to fund our future capital expenditures with our existing cash balance and proceeds from offshore offerings.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contractual obligations primarily include (i) our operating lease obligations, (ii) our obligations to repurchase equity interest of and make payment to certain investors in one of our subsidiaries if certain agreed performance condition is not satisfied, (iii) vehicle purchase agreements with our OEM partners, and (iv) research and development service agreement with another OEM partner.</w:t>
      </w:r>
    </w:p>
    <w:p>
      <w:pPr>
        <w:spacing w:after="0" w:line="176"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Our operating lease obligations primarily related to the rentals for office premises, staff accommodations and garage in mainland China and outside mainland China. Our leasing expense was RMB33.1 million, RMB37.1 million and RMB40.2 million (US$5.5 million) for the years ended December 31, 2022, 2023 and 2024, respectively.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operating lease obligations as of December 31, 2024.</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1060" w:type="dxa"/>
            <w:vAlign w:val="bottom"/>
            <w:vMerge w:val="restart"/>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8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7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1300" w:type="dxa"/>
            <w:vAlign w:val="bottom"/>
            <w:tcBorders>
              <w:bottom w:val="single" w:sz="8" w:color="auto"/>
            </w:tcBorders>
          </w:tcPr>
          <w:p>
            <w:pPr>
              <w:jc w:val="right"/>
              <w:ind w:right="164"/>
              <w:spacing w:after="0" w:line="142" w:lineRule="exact"/>
              <w:rPr>
                <w:sz w:val="20"/>
                <w:szCs w:val="20"/>
                <w:color w:val="auto"/>
              </w:rPr>
            </w:pPr>
            <w:r>
              <w:rPr>
                <w:rFonts w:ascii="Times New Roman" w:cs="Times New Roman" w:eastAsia="Times New Roman" w:hAnsi="Times New Roman"/>
                <w:sz w:val="14"/>
                <w:szCs w:val="14"/>
                <w:b w:val="1"/>
                <w:bCs w:val="1"/>
                <w:color w:val="auto"/>
                <w:w w:val="98"/>
              </w:rPr>
              <w:t>Less Than 1 Year</w:t>
            </w:r>
          </w:p>
        </w:tc>
        <w:tc>
          <w:tcPr>
            <w:tcW w:w="1180" w:type="dxa"/>
            <w:vAlign w:val="bottom"/>
            <w:tcBorders>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1-2 Years</w:t>
            </w: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 Years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80" w:type="dxa"/>
            <w:vAlign w:val="bottom"/>
            <w:gridSpan w:val="2"/>
          </w:tcPr>
          <w:p>
            <w:pPr>
              <w:jc w:val="right"/>
              <w:ind w:right="719"/>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(RMB in thousands)</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commitment</w:t>
            </w:r>
          </w:p>
        </w:tc>
        <w:tc>
          <w:tcPr>
            <w:tcW w:w="106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8"/>
                <w:szCs w:val="18"/>
                <w:color w:val="auto"/>
              </w:rPr>
              <w:t>67,175</w:t>
            </w:r>
          </w:p>
        </w:tc>
        <w:tc>
          <w:tcPr>
            <w:tcW w:w="130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38,524</w:t>
            </w:r>
          </w:p>
        </w:tc>
        <w:tc>
          <w:tcPr>
            <w:tcW w:w="118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22,761</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5,890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addition, WeRide HK, Guangzhou Jingqi and two investors jointly established Wenyuan Yuexing and entered into a shareholders agreement in respect thereto. The investors injected capital of RMB36.0 million and RMB28.8 million in exchange for 20% and 16% equity interest of Wenyuan Yuexing, respectively. Pursuant to the terms of the shareholders agreement, the investors have the right to require us to repurchase all or a part of their equity interests in Wenyuan Yuexing and to require us to pay any shortfall if their investment return falls below 10% of the original injection amount, if certain agreed performance condition is not satisfied. Based on negotiation with the shareholders of Wenyuan Yuexing, we agreed to redeem 15% equity interest of Wenyuan Yuexing from one of the investors in advance in 2021. Our total liabilities under the aforesaid obligations were RMB41.1 million (US$5.6 million) as of December 31, 2024.</w:t>
      </w:r>
    </w:p>
    <w:p>
      <w:pPr>
        <w:spacing w:after="0" w:line="18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entered into a vehicle purchase agreement with an affiliate of our shareholder, pursuant to which we committed to purchase vehicles with an aggregated purchase amount of RMB100.3 million (US$13.8 million) in 2024. As of December 31, 2024, we have paid RMB55.4 million (US$7.6 million) under this vehicle purchase agreement.</w:t>
      </w:r>
    </w:p>
    <w:p>
      <w:pPr>
        <w:spacing w:after="0" w:line="176"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We also entered into a vehicle purchase agreement with a third-party OEM partner, pursuant to which we committed to purchase vehicles manufactured by this third-party OEM partner with an aggregated purchase amount of RMB32.7 million (US$4.5 million) in 2024 and 2025. As of December 31, 2024, we have paid RMB15.4 million (US$2.1 million) under this vehicle purchase agreement.</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Furthermore, we entered into a research and development service agreement with another OEM partner, pursuant to which we will purchase research and development services with an aggregated purchase amount of RMB216.8 million (US$29.8 million) in 2024 and 2025. As of December 31, 2024, no research and development services has been provided and we have not paid any consideration yet.</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intend to fund our existing and future material cash requirements with our existing cash balance. Other than as discussed above, we did not have any significant capital or other commitments, long-term or other contractual obligations or guarantees, including relating to contracts entered into with our OEM partners and Tier-1 supplier partners, as of December 31, 2024 and any subsequent interim period.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20"/>
          </w:cols>
          <w:pgMar w:left="320" w:top="482" w:right="4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Commitments and Arrangements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have not entered into any financial guarantees or other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WeRide Inc. is a holding company with no material operations of its own. We conduct our business primarily through our subsidiaries in mainland China. As a result, our ability to pay dividends depends upon dividends paid by our mainland China subsidiaries. If our existing mainland China subsidiaries or any newly formed ones incur debt on their own behalf in the future, the instruments governing their debt may restrict their ability to pay dividends to us. In addition, our wholly foreign-owned subsidiaries in mainland China are permitted to pay dividends to us only out of its retained earnings, if any, as determined in accordance with PRC accounting standards and regulations. Under PRC law, each of our subsidiaries in mainland China is required to set aside at least 10% of its after-tax profits each year, if any, to fund certain statutory reserve funds until such reserve funds reach 50% of their registered capital. In addition, our wholly foreign-owned subsidiaries in mainland China may allocate a portion of their after-tax profits based on PRC accounting standards to enterprise expansion funds and staff bonus and welfare funds at their discretion. The statutory reserve funds and the discretionary funds are not distributable as cash dividends. Remittance of dividends by a wholly foreign-owned company out of mainland China is subject to examination by the banks designated by SAFE. Our mainland China subsidiaries have not paid dividends and will not be able to pay dividends until they generate accumulated profits and meet the requirements for statutory reserve funds.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A list of recently issued accounting pronouncements that are relevant to us is included in Note 1(e) of our consolidated financial statements included elsewhere in this annual report.</w:t>
      </w:r>
    </w:p>
    <w:p>
      <w:pPr>
        <w:spacing w:after="0" w:line="306" w:lineRule="exact"/>
        <w:rPr>
          <w:sz w:val="20"/>
          <w:szCs w:val="20"/>
          <w:color w:val="auto"/>
        </w:rPr>
      </w:pPr>
    </w:p>
    <w:p>
      <w:pPr>
        <w:ind w:left="540" w:hanging="424"/>
        <w:spacing w:after="0"/>
        <w:tabs>
          <w:tab w:leader="none" w:pos="5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PATENTS AND LICENSES, ETC.</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See “Item 4. Information On the Company—B. Business Overview—Research and Development” and “Item 4. Information On the Company—B. Business Overview—Intellectual Property.”</w:t>
      </w:r>
    </w:p>
    <w:p>
      <w:pPr>
        <w:spacing w:after="0" w:line="306" w:lineRule="exact"/>
        <w:rPr>
          <w:sz w:val="20"/>
          <w:szCs w:val="20"/>
          <w:color w:val="auto"/>
        </w:rPr>
      </w:pPr>
    </w:p>
    <w:p>
      <w:pPr>
        <w:ind w:left="540" w:hanging="424"/>
        <w:spacing w:after="0"/>
        <w:tabs>
          <w:tab w:leader="none" w:pos="5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TREND INFORMATION</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Other than as disclosed elsewhere in this annual report, we are not aware of any trends, uncertainties, demands, commitments or events for the period since January 1, 2025 that are reasonably likely to have a material effect on our net revenues, income, profitability, liquidity or capital resources, or that would cause the disclosed financial information to be not necessarily indicative of future operating results or financial conditions.</w:t>
      </w:r>
    </w:p>
    <w:p>
      <w:pPr>
        <w:spacing w:after="0" w:line="320" w:lineRule="exact"/>
        <w:rPr>
          <w:sz w:val="20"/>
          <w:szCs w:val="20"/>
          <w:color w:val="auto"/>
        </w:rPr>
      </w:pPr>
    </w:p>
    <w:p>
      <w:pPr>
        <w:ind w:left="540" w:hanging="424"/>
        <w:spacing w:after="0"/>
        <w:tabs>
          <w:tab w:leader="none" w:pos="54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IFRS as issued by the IASB. Preparing these consolidated financial statements in conformity with IFRS as issued by the IASB requires us to exercise estimates that affect the reported amounts of assets, liabilities and disclosures of contingent assets and liabilities at the balance sheet dates, as well as the reported amounts of revenue and expenses during the reporting periods. To the extent that there are material differences between these estimates and actual results, our financial condition or results of operations would be affected. We base our estimates on our own historical experience and other assumptions that we believe are reasonable after taking account of our circumstances and expectations for the future based on available information. We evaluate these estimates on an ongoing basis.</w:t>
      </w:r>
    </w:p>
    <w:p>
      <w:pPr>
        <w:spacing w:after="0" w:line="187"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There are other items within our consolidated financial statements that require estimation but are not deemed critical, as defined above. Changes in estimates used in these and other items could have a material impact on our consolidated financial statements. For a detailed discussion of our significant accounting estimates and judgments, see Note 3 to our consolidated financial statements included elsewhere in this annual report.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20"/>
          </w:cols>
          <w:pgMar w:left="320" w:top="482" w:right="4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critical accounting estimates that we believe to have the most significant impact on our consolidated financial statements are described below.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measure the cost of equity-settled transactions with employees by reference to the fair value of the equity instruments at the date at which they are granted. The fair value is estimated using a model which requires the determination of the appropriate inputs. We have to estimate the forfeiture rate in order to determine the amount of share-based compensation expenses charged to the statement of profit or loss. We had to estimate the vesting periods of the share awards which were variable and subject to an estimate of when an initial public offering of our Company would occur before we completed our initial public offering in October 2024. The assumptions and models used for estimating the fair value of share-based compensation are disclosed in Note 30 to our consolidated financial statements included elsewhere in this annual report.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Fair Value of Our Shares</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Prior to completion of our initial public offering, we were a private company with no quoted market prices for our shares. We therefore made estimates of the fair value of our shares on various dates for the following purposes:</w:t>
      </w:r>
    </w:p>
    <w:p>
      <w:pPr>
        <w:spacing w:after="0" w:line="67" w:lineRule="exact"/>
        <w:rPr>
          <w:sz w:val="20"/>
          <w:szCs w:val="20"/>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fair value of our share-based compensation to our employees at each grant date;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fair value of our financial liabilities for the warrants at the issuance date and each period end.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fair value of our shares.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 of</w:t>
            </w:r>
          </w:p>
        </w:tc>
        <w:tc>
          <w:tcPr>
            <w:tcW w:w="0" w:type="dxa"/>
            <w:vAlign w:val="bottom"/>
          </w:tcPr>
          <w:p>
            <w:pPr>
              <w:spacing w:after="0"/>
              <w:rPr>
                <w:sz w:val="1"/>
                <w:szCs w:val="1"/>
                <w:color w:val="auto"/>
              </w:rPr>
            </w:pPr>
          </w:p>
        </w:tc>
      </w:tr>
      <w:tr>
        <w:trPr>
          <w:trHeight w:val="148"/>
        </w:trPr>
        <w:tc>
          <w:tcPr>
            <w:tcW w:w="5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 Valuation</w:t>
            </w:r>
          </w:p>
        </w:tc>
        <w:tc>
          <w:tcPr>
            <w:tcW w:w="1860" w:type="dxa"/>
            <w:vAlign w:val="bottom"/>
            <w:gridSpan w:val="2"/>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1460" w:type="dxa"/>
            <w:vAlign w:val="bottom"/>
            <w:gridSpan w:val="2"/>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Discount Rate</w:t>
            </w:r>
          </w:p>
        </w:tc>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DLOM</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 Options Per</w:t>
            </w:r>
          </w:p>
        </w:tc>
        <w:tc>
          <w:tcPr>
            <w:tcW w:w="0" w:type="dxa"/>
            <w:vAlign w:val="bottom"/>
          </w:tcPr>
          <w:p>
            <w:pPr>
              <w:spacing w:after="0"/>
              <w:rPr>
                <w:sz w:val="1"/>
                <w:szCs w:val="1"/>
                <w:color w:val="auto"/>
              </w:rPr>
            </w:pPr>
          </w:p>
        </w:tc>
      </w:tr>
      <w:tr>
        <w:trPr>
          <w:trHeight w:val="167"/>
        </w:trPr>
        <w:tc>
          <w:tcPr>
            <w:tcW w:w="5540" w:type="dxa"/>
            <w:vAlign w:val="bottom"/>
            <w:gridSpan w:val="2"/>
            <w:vMerge w:val="continue"/>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1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149"/>
        </w:trPr>
        <w:tc>
          <w:tcPr>
            <w:tcW w:w="1080" w:type="dxa"/>
            <w:vAlign w:val="bottom"/>
            <w:tcBorders>
              <w:top w:val="single" w:sz="8" w:color="auto"/>
            </w:tcBorders>
          </w:tcPr>
          <w:p>
            <w:pPr>
              <w:spacing w:after="0"/>
              <w:rPr>
                <w:sz w:val="12"/>
                <w:szCs w:val="12"/>
                <w:color w:val="auto"/>
              </w:rPr>
            </w:pPr>
          </w:p>
        </w:tc>
        <w:tc>
          <w:tcPr>
            <w:tcW w:w="446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i w:val="1"/>
                <w:iCs w:val="1"/>
                <w:color w:val="auto"/>
              </w:rPr>
              <w:t>(US$)</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2022</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2.88</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0.55-1.24</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3.42</w:t>
            </w:r>
          </w:p>
        </w:tc>
        <w:tc>
          <w:tcPr>
            <w:tcW w:w="5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58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w:t>
            </w:r>
          </w:p>
        </w:tc>
        <w:tc>
          <w:tcPr>
            <w:tcW w:w="5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0.46-1.24</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3.44</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3.46</w:t>
            </w:r>
          </w:p>
        </w:tc>
        <w:tc>
          <w:tcPr>
            <w:tcW w:w="5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58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5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0.55-1.24</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3.47</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26, 2024</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4.82</w:t>
            </w:r>
          </w:p>
        </w:tc>
        <w:tc>
          <w:tcPr>
            <w:tcW w:w="5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58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5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0.00-1.22</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 2024</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4.82</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1.22-1.24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utilized discounted cash flow, or DCF, valuation model to determine the fair value of our shares.</w:t>
      </w:r>
    </w:p>
    <w:p>
      <w:pPr>
        <w:spacing w:after="0" w:line="22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With the assistance of an independent valuation firm, we applied an income approach, specifically a DCF analysis based on our projected cash flows using management’s best estimates as of the valuation date to determine the fair value of our shares. The income approach involves applying appropriate discount rates to estimated cash flows that are based on earnings forecasts, the major assumptions used in earnings forecasts include revenue growth rate and the profit margin. However, these fair values are inherently uncertain and highly subjective. The other assumptions used in calculating the fair value of our shares using income approach include:</w:t>
      </w:r>
    </w:p>
    <w:p>
      <w:pPr>
        <w:spacing w:after="0" w:line="89" w:lineRule="exact"/>
        <w:rPr>
          <w:sz w:val="20"/>
          <w:szCs w:val="20"/>
          <w:color w:val="auto"/>
        </w:rPr>
      </w:pPr>
    </w:p>
    <w:p>
      <w:pPr>
        <w:ind w:left="1080" w:right="120" w:hanging="424"/>
        <w:spacing w:after="0" w:line="266"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Rates. The discount rates listed out in the table were based on the weighted average cost of capital, which was determined based on a number of factors including risk-free rate, comparative industry risk, equity risk premium, company size and non-systemic risk factors.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40"/>
          </w:cols>
          <w:pgMar w:left="320" w:top="482" w:right="4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right="140" w:hanging="424"/>
        <w:spacing w:after="0" w:line="25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for Lack of Marketability, or DLOM. DLOM was quantified by the Black-Scholes option pricing model and Finnerty option model. Under this option-pricing method, the cost of the put option, which could be used to hedge the price change before the privately held shares can be sold, was considered as a basis to determine the DLOM. The key assumptions of such model include risk-free rate, timing of a liquidity event (such as an initial public offering), and estimated volatility of our shares. The further the valuation date is from an expected liquidity event, the higher the put option value and thus the higher the implied DLOM. The lower DLOM is used for the valuation, the higher is the determined fair value of the ordinary shares.</w:t>
      </w:r>
    </w:p>
    <w:p>
      <w:pPr>
        <w:spacing w:after="0" w:line="187"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determination of the fair value of our shares requires complex and subjective judgments to be made regarding our projected financial and operating results, our unique business risks, the liquidity of our shares and our operating history and prospects at the date of valuation.</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option-pricing method was used to allocate the enterprise’s value to ordinary shares and convertible redeemable preferred shares. This method treats ordinary shares and convertible redeemable preferred shares as call options on the enterprise’s value, with exercise prices based on their respective payoffs upon a liquidity event, such as a sale of our Company, an initial public offering, or a redemption event, and estimates of risk free rate and the volatility of our equity securities. The anticipated timing is based on the plans of our Board and management.</w:t>
      </w:r>
    </w:p>
    <w:p>
      <w:pPr>
        <w:spacing w:after="0" w:line="180"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fair value of our shares increased from US$2.88 per share as of June 30, 2022 to US$3.42 per share as of December 31, 2022. This increase was primarily attributable to (i) our successful completion of series d+ preferred shares financing, which provided us with the fund needed for our continual expansion, and (ii) decrease of DLOM from 15% to 13% as a result of major milestones described above and the continual growth of our business which reduced the risks associated with our cash flow and earnings forecast.</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fair value of our shares increased from US$3.42 per share as of December 31, 2022 to US$3.44 per share as of June 30, 2023. This increase was primarily attributable to decrease of DLOM from 13% to 11% as a result of the continual growth of our business which reduced the risks associated with our cash flow and earnings forecast.</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fair value of our shares remained largely stable from US$3.44 per share as of June 30, 2023 to US$3.46 per share as of December 31, 2023. This slight increase was primarily attributable to a decrease of DLOM from 11% to 7% as a result of the continual growth of our business which reduced the risks associated with our cash flow and earnings forecast.</w:t>
      </w:r>
    </w:p>
    <w:p>
      <w:pPr>
        <w:spacing w:after="0" w:line="176"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fair value of our shares remained stable from US$3.46 per share as of December 31, 2023 to US$3.47 per share as of June 30, 2024. This slight increase was primarily attributable to a decrease of DLOM from 7% to 4% as a result of the continual growth of our business which reduced the risks associated with our cash flow and earnings forecast.</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fair value of our shares increased from US$3.47 per share as of June 30, 2024 to US$4.82 per share as of July 26, 2024 which is 7% discount on the lower end of our initial public offering price range. This increase is primarily due to the heightened probability of an initial public offering as a result of our initial public offering plan.</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DIRECTORS, SENIOR MANAGEMENT AND EMPLOYEES</w:t>
      </w:r>
    </w:p>
    <w:p>
      <w:pPr>
        <w:spacing w:after="0" w:line="131" w:lineRule="exact"/>
        <w:rPr>
          <w:sz w:val="20"/>
          <w:szCs w:val="20"/>
          <w:color w:val="auto"/>
        </w:rPr>
      </w:pPr>
    </w:p>
    <w:p>
      <w:pPr>
        <w:ind w:left="540" w:hanging="424"/>
        <w:spacing w:after="0"/>
        <w:tabs>
          <w:tab w:leader="none" w:pos="5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SENIOR MANAGEMENT</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information regarding our executive officers and directors as of the date of this annual report.</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6"/>
                <w:szCs w:val="16"/>
                <w:color w:val="auto"/>
              </w:rPr>
            </w:pPr>
          </w:p>
        </w:tc>
        <w:tc>
          <w:tcPr>
            <w:tcW w:w="6400" w:type="dxa"/>
            <w:vAlign w:val="bottom"/>
          </w:tcPr>
          <w:p>
            <w:pPr>
              <w:ind w:left="2780"/>
              <w:spacing w:after="0"/>
              <w:rPr>
                <w:sz w:val="20"/>
                <w:szCs w:val="20"/>
                <w:color w:val="auto"/>
              </w:rPr>
            </w:pPr>
            <w:r>
              <w:rPr>
                <w:rFonts w:ascii="Times New Roman" w:cs="Times New Roman" w:eastAsia="Times New Roman" w:hAnsi="Times New Roman"/>
                <w:sz w:val="14"/>
                <w:szCs w:val="14"/>
                <w:b w:val="1"/>
                <w:bCs w:val="1"/>
                <w:color w:val="auto"/>
              </w:rPr>
              <w:t>Position/Title</w:t>
            </w:r>
          </w:p>
        </w:tc>
      </w:tr>
      <w:tr>
        <w:trPr>
          <w:trHeight w:val="191"/>
        </w:trPr>
        <w:tc>
          <w:tcPr>
            <w:tcW w:w="3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Tony Xu Han</w:t>
            </w:r>
          </w:p>
        </w:tc>
        <w:tc>
          <w:tcPr>
            <w:tcW w:w="100" w:type="dxa"/>
            <w:vAlign w:val="bottom"/>
          </w:tcPr>
          <w:p>
            <w:pPr>
              <w:spacing w:after="0"/>
              <w:rPr>
                <w:sz w:val="16"/>
                <w:szCs w:val="16"/>
                <w:color w:val="auto"/>
              </w:rPr>
            </w:pPr>
          </w:p>
        </w:tc>
        <w:tc>
          <w:tcPr>
            <w:tcW w:w="7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tcPr>
          <w:p>
            <w:pPr>
              <w:spacing w:after="0"/>
              <w:rPr>
                <w:sz w:val="16"/>
                <w:szCs w:val="16"/>
                <w:color w:val="auto"/>
              </w:rPr>
            </w:pPr>
          </w:p>
        </w:tc>
        <w:tc>
          <w:tcPr>
            <w:tcW w:w="64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Founder, Chairman and Chief Executive Officer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Yan Li</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6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Co-founder, Director and Chief Technology Officer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Hua Zhong</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6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Xuan Li</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6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 and Head of International</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Qingxiong Yang</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6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Takao Asami</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6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Huiping Yan</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6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Tong Zhang</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6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Jean-François Salles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6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w:t>
      </w:r>
    </w:p>
    <w:p>
      <w:pPr>
        <w:spacing w:after="0" w:line="131" w:lineRule="exact"/>
        <w:rPr>
          <w:sz w:val="20"/>
          <w:szCs w:val="20"/>
          <w:color w:val="auto"/>
        </w:rPr>
      </w:pPr>
    </w:p>
    <w:p>
      <w:pPr>
        <w:ind w:left="540" w:right="420" w:hanging="424"/>
        <w:spacing w:after="0" w:line="282"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Huiping Yan and David Tong Zhang has been determined by us to satisfy the “independence” requirements of Rule 5605(a)(2) of the Listing Rules of the Nasdaq Stock Market and Rule 10A-3 under the Exchange Act.</w:t>
      </w:r>
    </w:p>
    <w:p>
      <w:pPr>
        <w:sectPr>
          <w:pgSz w:w="11900" w:h="16838" w:orient="portrait"/>
          <w:cols w:equalWidth="0" w:num="1">
            <w:col w:w="11140"/>
          </w:cols>
          <w:pgMar w:left="320" w:top="482" w:right="439" w:bottom="1440" w:gutter="0" w:footer="0" w:header="0"/>
        </w:sectPr>
      </w:pP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40"/>
          </w:cols>
          <w:pgMar w:left="320" w:top="482" w:right="439"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Dr. Tony Xu Han </w:t>
      </w:r>
      <w:r>
        <w:rPr>
          <w:rFonts w:ascii="Times New Roman" w:cs="Times New Roman" w:eastAsia="Times New Roman" w:hAnsi="Times New Roman"/>
          <w:sz w:val="18"/>
          <w:szCs w:val="18"/>
          <w:color w:val="auto"/>
        </w:rPr>
        <w:t>founded our company and currently serves as chairman and Chief Executive Officer. Prior to founding our company, Dr. 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worked as an associate professor of the Electrical &amp; Computer Engineering Department at the University of Missouri from 2007 to 2017, and was granted tenure in 2013. In his academic career, he specialized in computer vison and machine learning. He worked as the Chief Scientist of autonomous driving unit at Baidu Inc. (Nasdaq: BIDU and HKEX: 9888) from 2014 to 2017. Dr. Han received his bachelor’s degree in communication engineering from Beijing Jiaotong University in 1998, master’s degree in electrical engineering from the University of Rhode Island in the United States in 2002, and Ph.D. in electrical and computer engineering from the University of Illinois Urbana-Champaign in the United States in 2008.</w:t>
      </w:r>
    </w:p>
    <w:p>
      <w:pPr>
        <w:spacing w:after="0" w:line="182" w:lineRule="exact"/>
        <w:rPr>
          <w:sz w:val="20"/>
          <w:szCs w:val="20"/>
          <w:color w:val="auto"/>
        </w:rPr>
      </w:pPr>
    </w:p>
    <w:p>
      <w:pPr>
        <w:ind w:left="120" w:right="20" w:firstLine="440"/>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Dr. Yan Li </w:t>
      </w:r>
      <w:r>
        <w:rPr>
          <w:rFonts w:ascii="Times New Roman" w:cs="Times New Roman" w:eastAsia="Times New Roman" w:hAnsi="Times New Roman"/>
          <w:sz w:val="17"/>
          <w:szCs w:val="17"/>
          <w:color w:val="auto"/>
        </w:rPr>
        <w:t>co-founded our company and currently serves as our director and Chief Technology Officer. Prior to co-founding our company, Dr. Li</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served as the director of engineering of Ucar Technology Inc. from 2015 to 2017, leading the autonomous driving department and connected vehicle data platform. From 2012 to 2015, he worked as a senior engineer at Facebook, Inc. (currently known as Meta Platforms, Inc.) where he was responsible for developing machine learning algorithms and engines. From 1999 to 2002 and 2009 to 2012, Dr. Li worked as an applied researcher at Microsoft Corporation. Dr. Li received his bachelor’s degree in computer science from Tsinghua University in 1997, master’s degree in computer science from Tsinghua University in 1999 and Ph.D. in electrical and computer engineering from Carnegie Mellon University in the United States in 2009.</w:t>
      </w:r>
    </w:p>
    <w:p>
      <w:pPr>
        <w:spacing w:after="0" w:line="168"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Dr. Hua Zhong </w:t>
      </w:r>
      <w:r>
        <w:rPr>
          <w:rFonts w:ascii="Times New Roman" w:cs="Times New Roman" w:eastAsia="Times New Roman" w:hAnsi="Times New Roman"/>
          <w:sz w:val="18"/>
          <w:szCs w:val="18"/>
          <w:color w:val="auto"/>
        </w:rPr>
        <w:t>has served as our senior vice president since our inception. Prior to joining our company, Dr. Zhong was a principal engineer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Ucar Inc. Prior to that, Dr. Zhong worked at Google as well as Siemens. Dr. Zhong previously worked at Microsoft Research Asia, where he was mainly responsible for computer vision and machine learning research and development. Dr. Zhong received his bachelor’s degree in computer science from Tsinghua University in 2000, and Ph.D. in computer science from Carnegie Mellon University in the United States in 2008.</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Ms. Jennifer Xuan Li </w:t>
      </w:r>
      <w:r>
        <w:rPr>
          <w:rFonts w:ascii="Times New Roman" w:cs="Times New Roman" w:eastAsia="Times New Roman" w:hAnsi="Times New Roman"/>
          <w:sz w:val="18"/>
          <w:szCs w:val="18"/>
          <w:color w:val="auto"/>
        </w:rPr>
        <w:t>joined our company in 2020, and currently serves as our Chief Financial Officer and Head of International. Prior to joining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company, Ms. Li served as the investment director of SenseTime from 2018 to 2020, where she was responsible for capital raising and strategic investments in high-tech sectors. From 2015 to 2018, Ms. Li worked as the strategic investment director of Baidu, where she was responsible for AI and mobile-related investments. Ms. Li previously worked at the investment banking division of Deutsche Bank and at UBS. Ms. Li received her double bachelor’s degrees in computer science and business management from Nanyang Technological University.</w:t>
      </w:r>
    </w:p>
    <w:p>
      <w:pPr>
        <w:spacing w:after="0" w:line="183"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Dr. Qingxiong Yang </w:t>
      </w:r>
      <w:r>
        <w:rPr>
          <w:rFonts w:ascii="Times New Roman" w:cs="Times New Roman" w:eastAsia="Times New Roman" w:hAnsi="Times New Roman"/>
          <w:sz w:val="18"/>
          <w:szCs w:val="18"/>
          <w:color w:val="auto"/>
        </w:rPr>
        <w:t>has served as our Vice President since 2021. Prior to joining our company, Dr. Yang served as the chief executive officer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MoonX.AI (currently known as Shenzhen Wenyuan Zhixing Intelligent Technology Co., Ltd.) from 2018 to 2021. Prior to that, Dr. Yang worked as senior director of autonomous driving at DiDi from 2016 to 2017. Dr. Yang was an assistant professor at the Department of Computer Science of the City University of Hong Kong from 2011 to 2016, where his research focused on computer vision and graphics. Dr. Yang received his bachelor’s degree in electric engineering and information science from the University of Science and Technology of China in 2004 and Ph.D. in electrical and computer engineering from the University of Illinois at Urbana-Champaign in the United States in 2010.</w:t>
      </w:r>
    </w:p>
    <w:p>
      <w:pPr>
        <w:spacing w:after="0" w:line="18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Mr. Takao Asami </w:t>
      </w:r>
      <w:r>
        <w:rPr>
          <w:rFonts w:ascii="Times New Roman" w:cs="Times New Roman" w:eastAsia="Times New Roman" w:hAnsi="Times New Roman"/>
          <w:sz w:val="18"/>
          <w:szCs w:val="18"/>
          <w:color w:val="auto"/>
        </w:rPr>
        <w:t>has served as our director since April 2022. Mr. Asami has worked at multiple positions at Nissan Motor Co., Ltd. and Renault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 Mr. Asami has been the chairman of the board of directors of Nissan Technology Development (Shanghai) Co., Ltd. (formerly known as Alliance Automotive Research &amp; Development (Shanghai) Co., Ltd., which was a joint venture company between Renault S.A. and Nissan Motor Co., Ltd.), currently a subsidiary of Nissan Motor Co., Ltd. since February 2019 and a member of the board of directors of Nissan (China) Investment Co., Ltd., a subsidiary of Nissan Motor Co., Ltd., since February 2023. Since 2013, he has served as a Senior Vice President at Nissan Motor Co., Ltd. From 2009 to 2013, he was the corporate vice president focusing on research at Nissan Motor Co., Ltd. Mr. Asami received his bachelor’s degree in electrical engineering from the University of Tokyo Faculty of Engineering in 1981 and his master’s degree in electrical engineering from the University of Southern California School of Engineering in the United States in 1988.</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20"/>
          </w:cols>
          <w:pgMar w:left="320" w:top="482" w:right="4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jc w:val="both"/>
        <w:ind w:left="120" w:right="200" w:firstLine="44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Ms. Huiping Yan </w:t>
      </w:r>
      <w:r>
        <w:rPr>
          <w:rFonts w:ascii="Times New Roman" w:cs="Times New Roman" w:eastAsia="Times New Roman" w:hAnsi="Times New Roman"/>
          <w:sz w:val="17"/>
          <w:szCs w:val="17"/>
          <w:color w:val="auto"/>
        </w:rPr>
        <w:t>has served as our director since October 2024. Ms. Yan has served as the chief financial officer of ZTO Express (Cayman) Inc.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(NYSE: ZTO, HKEX: 2057) since May 2018 and was the vice president of finance there from January 2018 to May 2018. Before that, Ms. Yan spent approximately seven years serving as the chief financial officer of a number of Chinese TMT and hospitality companies including approximately two years at Zhejiang Cainiao Supply Chain Management Co., Ltd., the logistics arm of Alibaba Group Holdings Limited (NYSE: BABA, HKEX: 9988), and over four years at Home Inns &amp; Hotels Management Inc. (currently known as Homeinns Hotel Group), a leading economy hotel chain in China.</w:t>
      </w:r>
    </w:p>
    <w:p>
      <w:pPr>
        <w:spacing w:after="0" w:line="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Prior to that, Ms. Yan spent approximately nine years at General Electirc Company (GE) in both the U.S. and Asia, serving in various key roles in corporate and operational financial management. Prior to that, Ms. Yan spent over six years at Deloitte &amp; Touche in the U.S. in tax services. Ms. Yan has served as the independent non-executive director of TUHU Car Inc. (HKEX: 9690), a leading integrated online and offline platform for automotive service in China since September 2023. Ms. Yan studied at Shanghai Foreign Language Institute (currently known as Shanghai International Studies University), where she majored in English literature and linguistics and received a bachelor’s degree in business administration with an accounting major from Hawaii Pacific University in the United States in August 1991. Ms. Yan graduated from the GE experienced financial leadership program in September 2003 and is a U.S.-certified public accountant with a CGMA designation (AICPA).</w:t>
      </w:r>
    </w:p>
    <w:p>
      <w:pPr>
        <w:spacing w:after="0" w:line="186"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Mr. David Tong Zhang </w:t>
      </w:r>
      <w:r>
        <w:rPr>
          <w:rFonts w:ascii="Times New Roman" w:cs="Times New Roman" w:eastAsia="Times New Roman" w:hAnsi="Times New Roman"/>
          <w:sz w:val="18"/>
          <w:szCs w:val="18"/>
          <w:color w:val="auto"/>
        </w:rPr>
        <w:t>has served as our director since October 2024. Mr. Zhang has extensive experience representing Chinese issuers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leading investment banks in U.S. initial public offerings, Hong Kong initial public offerings and other Rule 144A and Regulation S offerings of equity, debt and convertible securities. Mr. Zhang had been a senior corporate partner in the Hong Kong office of Kirkland &amp; Ellis International LLP, from which he retired in 2024. Prior to joining Kirkland &amp; Ellis International LLP in 2011, Mr. Zhang was a partner of Latham &amp; Watkins LLP for eight years. Mr. Zhang is an independent non-executive director of Fosun International Limited (HKEX: 00656), a global innovation-driven consumer group; a non-executive director of Noah Holdings Private Wealth and Asset Management Limited (NYSE: NOAH and HKEX: 6686), a leading wealth management service provider; and an independent director of Morgan Stanley Securities (China) Co., Ltd. He is a member of the Board of Trustees of Tulane University. Mr. Zhang earned his juris doctor degree from Tulane University Law School in the United States in 1991.</w:t>
      </w:r>
    </w:p>
    <w:p>
      <w:pPr>
        <w:spacing w:after="0" w:line="18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Mr. Jean-François Salles </w:t>
      </w:r>
      <w:r>
        <w:rPr>
          <w:rFonts w:ascii="Times New Roman" w:cs="Times New Roman" w:eastAsia="Times New Roman" w:hAnsi="Times New Roman"/>
          <w:sz w:val="18"/>
          <w:szCs w:val="18"/>
          <w:color w:val="auto"/>
        </w:rPr>
        <w:t>has served as our Director since 2025. Mr. Salles currently serves as the Vice President of Partnerships at Renault Group,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position he held since 2023. Prior to that, Mr. Salles served as Global Vice President of Supply Chain at the Renault Group from 2019 to 2023, a role he held for more than four and a half years after different positions in Renault-Nissan-Mitsubishi Alliance Supply Chain. Mr. Salles first joined the Renault Group in 1996 as a project manager in trim and chassis logistics and continued with the company in Manufacturing and Quality areas. He became director of supply chain for Europe at Renault in 2015. Mr. Salles received his Master of Science degree in Manufacturing and Engineering at Ecole Centrale Paris in 1992.</w:t>
      </w:r>
    </w:p>
    <w:p>
      <w:pPr>
        <w:spacing w:after="0" w:line="329" w:lineRule="exact"/>
        <w:rPr>
          <w:sz w:val="20"/>
          <w:szCs w:val="20"/>
          <w:color w:val="auto"/>
        </w:rPr>
      </w:pPr>
    </w:p>
    <w:p>
      <w:pPr>
        <w:ind w:left="540" w:hanging="424"/>
        <w:spacing w:after="0"/>
        <w:tabs>
          <w:tab w:leader="none" w:pos="54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For the fiscal year ended December 31, 2024, we paid an aggregate of RMB29.9 million (US$4.1 million) in cash to our executive officers, and we did not pay any compensation to our directors who are not our executive officers. We have not set aside or accrued any amount to provide pension, retirement or other similar benefits to our directors and executive officers. Our mainland China subsidiaries are required by law to make contributions equal to certain percentages of each employee’s salary for his or her pension insurance, medical insurance, unemployment insurance and other statutory benefits and a housing provident fund.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 Under these agreements, each of our executive officers is employed for a specified time period. We may terminate employment for cause, for certain acts of the executive officer, such as continued failure to satisfactorily perform, willful misconduct or gross negligence in the performance of agreed duties, conviction or entry of a guilty or nolo contendere plea of any felony or any misdemeanor involving moral turpitude, dishonest act that results in material detriment to us, or material breach of the employment agreement. We may also terminate an executive officer’s employment without cause upon a 60-day advance written notice. In such case of termination by us, we will provide severance payments to the executive officer as may be agreed between the executive officer and us. The executive officer may resign at any time with a 60-day advance written notice.</w:t>
      </w:r>
    </w:p>
    <w:p>
      <w:pPr>
        <w:spacing w:after="0" w:line="18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customers or prospective customers, or the confidential or proprietary information of any third 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20"/>
          </w:cols>
          <w:pgMar w:left="320" w:top="482" w:right="4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7"/>
          <w:szCs w:val="17"/>
          <w:color w:val="auto"/>
        </w:rPr>
        <w:t>In addition, each executive officer has agreed to be bound by non-competition restrictions during the term of his or her employment and typically for two years following the termination of the employment. Each executive officer has also agreed to be subject to certain non-solicitation restrictions during the term of his or her employment and typically for one year following the termination of the employment. Specifically, each executive officer has agreed not to (i) solicit from any customer or business partner doing business with us during the effective term of the employment agreement business of the same or of a similar nature to our business; (ii) solicit from any of our known potential customer business of the same or of a similar nature to that which has been the subject of our known written or oral bid, offer or proposal, or of substantial preparation with a view to making such a bid, proposal or offer; (iii) solicit the employment or services of, or hire or engage, any person who is known to be employed or engaged by us; or</w:t>
      </w:r>
    </w:p>
    <w:p>
      <w:pPr>
        <w:spacing w:after="0" w:line="2" w:lineRule="exact"/>
        <w:rPr>
          <w:sz w:val="20"/>
          <w:szCs w:val="20"/>
          <w:color w:val="auto"/>
        </w:rPr>
      </w:pPr>
    </w:p>
    <w:p>
      <w:pPr>
        <w:ind w:left="120" w:hanging="4"/>
        <w:spacing w:after="0" w:line="260" w:lineRule="auto"/>
        <w:tabs>
          <w:tab w:leader="none" w:pos="42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interfere with our business or accounts, including, but not limited to, with respect to any relationship or agreement between any vendor or supplier and us.</w:t>
      </w:r>
    </w:p>
    <w:p>
      <w:pPr>
        <w:spacing w:after="0" w:line="181"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 Incentive Plan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2018 Share Plan</w:t>
      </w:r>
    </w:p>
    <w:p>
      <w:pPr>
        <w:spacing w:after="0" w:line="121" w:lineRule="exact"/>
        <w:rPr>
          <w:sz w:val="20"/>
          <w:szCs w:val="20"/>
          <w:color w:val="auto"/>
        </w:rPr>
      </w:pPr>
    </w:p>
    <w:p>
      <w:pPr>
        <w:jc w:val="both"/>
        <w:ind w:left="120" w:right="200" w:firstLine="440"/>
        <w:spacing w:after="0" w:line="257" w:lineRule="auto"/>
        <w:rPr>
          <w:sz w:val="20"/>
          <w:szCs w:val="20"/>
          <w:color w:val="auto"/>
        </w:rPr>
      </w:pPr>
      <w:r>
        <w:rPr>
          <w:rFonts w:ascii="Times New Roman" w:cs="Times New Roman" w:eastAsia="Times New Roman" w:hAnsi="Times New Roman"/>
          <w:sz w:val="18"/>
          <w:szCs w:val="18"/>
          <w:color w:val="auto"/>
        </w:rPr>
        <w:t>In June 2018, our shareholders and board of directors approved the 2018 Share Plan, which was amended and restated in July 2024 and may be amended and restated from time to time, in order to attract, incentivize and retain employees, outside directors and consultants of our company and to promote the success of our business. The maximum aggregate number of ordinary shares that may be issued under the 2018 Share Plan is</w:t>
      </w:r>
    </w:p>
    <w:p>
      <w:pPr>
        <w:spacing w:after="0" w:line="1"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311,125,716 shares initially, which will be increased by a number equal to 1.0% of the total number of issued and outstanding shares on an as-converted and fully-diluted basis on the last day of the immediately preceding fiscal year. As of the date of the annual report, we had 64,257,435 outstanding restricted share units (including vested but not settled restricted share units) and outstanding options to purchase a total of 119,915,538 ordinary shares.</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paragraphs summarize the principal terms of the 2018 Share Plan.</w:t>
      </w:r>
    </w:p>
    <w:p>
      <w:pPr>
        <w:spacing w:after="0" w:line="223" w:lineRule="exact"/>
        <w:rPr>
          <w:sz w:val="20"/>
          <w:szCs w:val="20"/>
          <w:color w:val="auto"/>
        </w:rPr>
      </w:pPr>
    </w:p>
    <w:p>
      <w:pPr>
        <w:ind w:left="120" w:right="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Type of Awards. </w:t>
      </w:r>
      <w:r>
        <w:rPr>
          <w:rFonts w:ascii="Times New Roman" w:cs="Times New Roman" w:eastAsia="Times New Roman" w:hAnsi="Times New Roman"/>
          <w:sz w:val="18"/>
          <w:szCs w:val="18"/>
          <w:color w:val="auto"/>
        </w:rPr>
        <w:t>The 2018 Share Plan provides for the direct award or sale of shares, the grant of options to purchase shares and the grant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share units to acquire shares. Options granted under the plan may be ISOs intended to qualify under Code Section 422 or NSOs which are not intended to so qualify.</w:t>
      </w:r>
    </w:p>
    <w:p>
      <w:pPr>
        <w:spacing w:after="0" w:line="173" w:lineRule="exact"/>
        <w:rPr>
          <w:sz w:val="20"/>
          <w:szCs w:val="20"/>
          <w:color w:val="auto"/>
        </w:rPr>
      </w:pPr>
    </w:p>
    <w:p>
      <w:pPr>
        <w:ind w:left="120" w:right="3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Our board of directors or one or more committees appointed by the board of directors will administer the plan.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or the board of directors, as applicable, shall have full authority and discretion to take any actions it deems necessary or advisable for the administration of the plan.</w:t>
      </w:r>
    </w:p>
    <w:p>
      <w:pPr>
        <w:spacing w:after="0" w:line="17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Award Agreement. </w:t>
      </w:r>
      <w:r>
        <w:rPr>
          <w:rFonts w:ascii="Times New Roman" w:cs="Times New Roman" w:eastAsia="Times New Roman" w:hAnsi="Times New Roman"/>
          <w:sz w:val="18"/>
          <w:szCs w:val="18"/>
          <w:color w:val="auto"/>
        </w:rPr>
        <w:t>Each award of shares, each sale of shares, each grant of an option and each grant of restricted share units under the plan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evidenced by a share grant agreement, a share purchase agreement, a share option agreement and restricted share unit agreement, respectively. Such award, sale and option shall be subject to all applicable terms and conditions of the plan and which the board of directors deems appropriate for inclusion in a share grant agreement or share purchase agreement.</w:t>
      </w:r>
    </w:p>
    <w:p>
      <w:pPr>
        <w:spacing w:after="0" w:line="180" w:lineRule="exact"/>
        <w:rPr>
          <w:sz w:val="20"/>
          <w:szCs w:val="20"/>
          <w:color w:val="auto"/>
        </w:rPr>
      </w:pPr>
    </w:p>
    <w:p>
      <w:pPr>
        <w:ind w:left="120" w:right="3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Our employees, outside directors and consultants are eligible for the grant of awards under the plan, while only employees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eligible for the grant ISOs.</w:t>
      </w:r>
    </w:p>
    <w:p>
      <w:pPr>
        <w:spacing w:after="0" w:line="158" w:lineRule="exact"/>
        <w:rPr>
          <w:sz w:val="20"/>
          <w:szCs w:val="20"/>
          <w:color w:val="auto"/>
        </w:rPr>
      </w:pPr>
    </w:p>
    <w:p>
      <w:pPr>
        <w:jc w:val="center"/>
        <w:ind w:left="620" w:right="260"/>
        <w:spacing w:after="0" w:line="456" w:lineRule="auto"/>
        <w:rPr>
          <w:sz w:val="20"/>
          <w:szCs w:val="20"/>
          <w:color w:val="auto"/>
        </w:rPr>
      </w:pPr>
      <w:r>
        <w:rPr>
          <w:rFonts w:ascii="Times New Roman" w:cs="Times New Roman" w:eastAsia="Times New Roman" w:hAnsi="Times New Roman"/>
          <w:sz w:val="18"/>
          <w:szCs w:val="18"/>
          <w:i w:val="1"/>
          <w:iCs w:val="1"/>
          <w:color w:val="auto"/>
        </w:rPr>
        <w:t xml:space="preserve">Vesting Schedule. </w:t>
      </w:r>
      <w:r>
        <w:rPr>
          <w:rFonts w:ascii="Times New Roman" w:cs="Times New Roman" w:eastAsia="Times New Roman" w:hAnsi="Times New Roman"/>
          <w:sz w:val="18"/>
          <w:szCs w:val="18"/>
          <w:color w:val="auto"/>
        </w:rPr>
        <w:t>In general, the plan administrator determines the vesting schedule, which is specified in the relevant share option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123</w:t>
      </w:r>
    </w:p>
    <w:p>
      <w:pPr>
        <w:sectPr>
          <w:pgSz w:w="11900" w:h="16838" w:orient="portrait"/>
          <w:cols w:equalWidth="0" w:num="1">
            <w:col w:w="11080"/>
          </w:cols>
          <w:pgMar w:left="320" w:top="482" w:right="4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right="7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Exercise of Awards. </w:t>
      </w:r>
      <w:r>
        <w:rPr>
          <w:rFonts w:ascii="Times New Roman" w:cs="Times New Roman" w:eastAsia="Times New Roman" w:hAnsi="Times New Roman"/>
          <w:sz w:val="18"/>
          <w:szCs w:val="18"/>
          <w:color w:val="auto"/>
        </w:rPr>
        <w:t>The plan administrator determines the exercise or purchase price, as applicable, for shares to be offered or options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share units to be granted, which is specified in the relevant award agreement.</w:t>
      </w:r>
    </w:p>
    <w:p>
      <w:pPr>
        <w:spacing w:after="0" w:line="158" w:lineRule="exact"/>
        <w:rPr>
          <w:sz w:val="20"/>
          <w:szCs w:val="20"/>
          <w:color w:val="auto"/>
        </w:rPr>
      </w:pPr>
    </w:p>
    <w:p>
      <w:pPr>
        <w:ind w:left="120"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Transfer Restrictions. </w:t>
      </w:r>
      <w:r>
        <w:rPr>
          <w:rFonts w:ascii="Times New Roman" w:cs="Times New Roman" w:eastAsia="Times New Roman" w:hAnsi="Times New Roman"/>
          <w:sz w:val="18"/>
          <w:szCs w:val="18"/>
          <w:color w:val="auto"/>
        </w:rPr>
        <w:t>Awards may not be transferred in any manner by the participant other than in accordance with the exceptions provided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or the relevant award agreement or otherwise determined by the plan administrator, such as transfers by a beneficiary designation, by will or the laws of descent and distribution.</w:t>
      </w:r>
    </w:p>
    <w:p>
      <w:pPr>
        <w:spacing w:after="0" w:line="173"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Termination and Amendment. </w:t>
      </w:r>
      <w:r>
        <w:rPr>
          <w:rFonts w:ascii="Times New Roman" w:cs="Times New Roman" w:eastAsia="Times New Roman" w:hAnsi="Times New Roman"/>
          <w:sz w:val="18"/>
          <w:szCs w:val="18"/>
          <w:color w:val="auto"/>
        </w:rPr>
        <w:t>Unless terminated earlier, the plan has a term of ten years after the later of (i) the date when the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adopted the plan or (ii) the date when the board of directors and company’s shareholders approved the most recent increase in the number of shares reserved. Our board of directors has the authority amend, suspend, or terminate the plan at any time and for any reason. Any amendment to the plan, however, is subject to the company’s shareholder approval only to the extent required to comply with applicable laws, regulations and rules.</w:t>
      </w:r>
    </w:p>
    <w:p>
      <w:pPr>
        <w:spacing w:after="0" w:line="182"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as of the date of this annual report, the outstanding awards granted to our directors and executive officers, excluding awards that were exercised, forfeited or canceled after the relevant grant dates.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0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5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 Options</w:t>
            </w:r>
          </w:p>
        </w:tc>
        <w:tc>
          <w:tcPr>
            <w:tcW w:w="1080" w:type="dxa"/>
            <w:vAlign w:val="bottom"/>
            <w:gridSpan w:val="2"/>
            <w:vMerge w:val="continue"/>
          </w:tcPr>
          <w:p>
            <w:pPr>
              <w:spacing w:after="0"/>
              <w:rPr>
                <w:sz w:val="12"/>
                <w:szCs w:val="12"/>
                <w:color w:val="auto"/>
              </w:rPr>
            </w:pPr>
          </w:p>
        </w:tc>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800" w:type="dxa"/>
            <w:vAlign w:val="bottom"/>
            <w:vMerge w:val="restart"/>
          </w:tcPr>
          <w:p>
            <w:pPr>
              <w:spacing w:after="0"/>
              <w:rPr>
                <w:sz w:val="12"/>
                <w:szCs w:val="12"/>
                <w:color w:val="auto"/>
              </w:rPr>
            </w:pPr>
          </w:p>
        </w:tc>
        <w:tc>
          <w:tcPr>
            <w:tcW w:w="15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and Restricted</w:t>
            </w: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214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Date of Grant</w:t>
            </w:r>
          </w:p>
        </w:tc>
        <w:tc>
          <w:tcPr>
            <w:tcW w:w="120" w:type="dxa"/>
            <w:vAlign w:val="bottom"/>
          </w:tcPr>
          <w:p>
            <w:pPr>
              <w:spacing w:after="0"/>
              <w:rPr>
                <w:sz w:val="12"/>
                <w:szCs w:val="12"/>
                <w:color w:val="auto"/>
              </w:rPr>
            </w:pPr>
          </w:p>
        </w:tc>
        <w:tc>
          <w:tcPr>
            <w:tcW w:w="19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Date of Expiration</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3800" w:type="dxa"/>
            <w:vAlign w:val="bottom"/>
            <w:vMerge w:val="continue"/>
          </w:tcPr>
          <w:p>
            <w:pPr>
              <w:spacing w:after="0"/>
              <w:rPr>
                <w:sz w:val="15"/>
                <w:szCs w:val="15"/>
                <w:color w:val="auto"/>
              </w:rPr>
            </w:pPr>
          </w:p>
        </w:tc>
        <w:tc>
          <w:tcPr>
            <w:tcW w:w="156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Share Units</w:t>
            </w:r>
          </w:p>
        </w:tc>
        <w:tc>
          <w:tcPr>
            <w:tcW w:w="108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(US$/Share)</w:t>
            </w:r>
          </w:p>
        </w:tc>
        <w:tc>
          <w:tcPr>
            <w:tcW w:w="2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160" w:type="dxa"/>
            <w:vAlign w:val="bottom"/>
            <w:tcBorders>
              <w:top w:val="single" w:sz="8" w:color="CCEEFF"/>
            </w:tcBorders>
            <w:gridSpan w:val="2"/>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Tony Xu Han</w:t>
            </w:r>
          </w:p>
        </w:tc>
        <w:tc>
          <w:tcPr>
            <w:tcW w:w="1240" w:type="dxa"/>
            <w:vAlign w:val="bottom"/>
            <w:tcBorders>
              <w:top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27,595,520</w:t>
            </w:r>
          </w:p>
        </w:tc>
        <w:tc>
          <w:tcPr>
            <w:tcW w:w="3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ind w:left="60"/>
              <w:spacing w:after="0" w:line="185" w:lineRule="exact"/>
              <w:rPr>
                <w:sz w:val="20"/>
                <w:szCs w:val="20"/>
                <w:color w:val="auto"/>
              </w:rPr>
            </w:pPr>
            <w:r>
              <w:rPr>
                <w:rFonts w:ascii="Times New Roman" w:cs="Times New Roman" w:eastAsia="Times New Roman" w:hAnsi="Times New Roman"/>
                <w:sz w:val="18"/>
                <w:szCs w:val="18"/>
                <w:color w:val="auto"/>
                <w:w w:val="97"/>
              </w:rPr>
              <w:t>1.24 to 3.89</w:t>
            </w:r>
          </w:p>
        </w:tc>
        <w:tc>
          <w:tcPr>
            <w:tcW w:w="160" w:type="dxa"/>
            <w:vAlign w:val="bottom"/>
            <w:tcBorders>
              <w:top w:val="single" w:sz="8" w:color="CCEEFF"/>
            </w:tcBorders>
            <w:shd w:val="clear" w:color="auto" w:fill="CCEEFF"/>
          </w:tcPr>
          <w:p>
            <w:pPr>
              <w:spacing w:after="0"/>
              <w:rPr>
                <w:sz w:val="16"/>
                <w:szCs w:val="16"/>
                <w:color w:val="auto"/>
              </w:rPr>
            </w:pPr>
          </w:p>
        </w:tc>
        <w:tc>
          <w:tcPr>
            <w:tcW w:w="2140" w:type="dxa"/>
            <w:vAlign w:val="bottom"/>
            <w:tcBorders>
              <w:top w:val="single" w:sz="8" w:color="auto"/>
            </w:tcBorders>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Between October 29, 2022</w:t>
            </w:r>
          </w:p>
        </w:tc>
        <w:tc>
          <w:tcPr>
            <w:tcW w:w="120" w:type="dxa"/>
            <w:vAlign w:val="bottom"/>
            <w:tcBorders>
              <w:top w:val="single" w:sz="8" w:color="CCEEFF"/>
            </w:tcBorders>
            <w:shd w:val="clear" w:color="auto" w:fill="CCEEFF"/>
          </w:tcPr>
          <w:p>
            <w:pPr>
              <w:spacing w:after="0"/>
              <w:rPr>
                <w:sz w:val="16"/>
                <w:szCs w:val="16"/>
                <w:color w:val="auto"/>
              </w:rPr>
            </w:pPr>
          </w:p>
        </w:tc>
        <w:tc>
          <w:tcPr>
            <w:tcW w:w="1960" w:type="dxa"/>
            <w:vAlign w:val="bottom"/>
            <w:tcBorders>
              <w:top w:val="single" w:sz="8" w:color="auto"/>
            </w:tcBorders>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Between October 28, 2032</w:t>
            </w:r>
          </w:p>
        </w:tc>
        <w:tc>
          <w:tcPr>
            <w:tcW w:w="0" w:type="dxa"/>
            <w:vAlign w:val="bottom"/>
          </w:tcPr>
          <w:p>
            <w:pPr>
              <w:spacing w:after="0"/>
              <w:rPr>
                <w:sz w:val="1"/>
                <w:szCs w:val="1"/>
                <w:color w:val="auto"/>
              </w:rPr>
            </w:pPr>
          </w:p>
        </w:tc>
      </w:tr>
      <w:tr>
        <w:trPr>
          <w:trHeight w:val="248"/>
        </w:trPr>
        <w:tc>
          <w:tcPr>
            <w:tcW w:w="360" w:type="dxa"/>
            <w:vAlign w:val="bottom"/>
            <w:shd w:val="clear" w:color="auto" w:fill="CCEEFF"/>
          </w:tcPr>
          <w:p>
            <w:pPr>
              <w:spacing w:after="0"/>
              <w:rPr>
                <w:sz w:val="21"/>
                <w:szCs w:val="21"/>
                <w:color w:val="auto"/>
              </w:rPr>
            </w:pPr>
          </w:p>
        </w:tc>
        <w:tc>
          <w:tcPr>
            <w:tcW w:w="38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 July 26, 2024</w:t>
            </w:r>
          </w:p>
        </w:tc>
        <w:tc>
          <w:tcPr>
            <w:tcW w:w="2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 July 25, 2034</w:t>
            </w:r>
          </w:p>
        </w:tc>
        <w:tc>
          <w:tcPr>
            <w:tcW w:w="0" w:type="dxa"/>
            <w:vAlign w:val="bottom"/>
          </w:tcPr>
          <w:p>
            <w:pPr>
              <w:spacing w:after="0"/>
              <w:rPr>
                <w:sz w:val="1"/>
                <w:szCs w:val="1"/>
                <w:color w:val="auto"/>
              </w:rPr>
            </w:pPr>
          </w:p>
        </w:tc>
      </w:tr>
      <w:tr>
        <w:trPr>
          <w:trHeight w:val="198"/>
        </w:trPr>
        <w:tc>
          <w:tcPr>
            <w:tcW w:w="4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Yan Li</w:t>
            </w:r>
          </w:p>
        </w:tc>
        <w:tc>
          <w:tcPr>
            <w:tcW w:w="1560" w:type="dxa"/>
            <w:vAlign w:val="bottom"/>
            <w:gridSpan w:val="2"/>
          </w:tcPr>
          <w:p>
            <w:pPr>
              <w:jc w:val="right"/>
              <w:ind w:right="320"/>
              <w:spacing w:after="0" w:line="198" w:lineRule="exact"/>
              <w:rPr>
                <w:sz w:val="20"/>
                <w:szCs w:val="20"/>
                <w:color w:val="auto"/>
              </w:rPr>
            </w:pPr>
            <w:r>
              <w:rPr>
                <w:rFonts w:ascii="Times New Roman" w:cs="Times New Roman" w:eastAsia="Times New Roman" w:hAnsi="Times New Roman"/>
                <w:sz w:val="18"/>
                <w:szCs w:val="18"/>
                <w:color w:val="auto"/>
              </w:rPr>
              <w:t>10,513,974</w:t>
            </w:r>
          </w:p>
        </w:tc>
        <w:tc>
          <w:tcPr>
            <w:tcW w:w="108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1.24 to 3.89</w:t>
            </w:r>
          </w:p>
        </w:tc>
        <w:tc>
          <w:tcPr>
            <w:tcW w:w="2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Between October 29, 2022</w:t>
            </w:r>
          </w:p>
        </w:tc>
        <w:tc>
          <w:tcPr>
            <w:tcW w:w="208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Between October 28, 2032</w:t>
            </w:r>
          </w:p>
        </w:tc>
        <w:tc>
          <w:tcPr>
            <w:tcW w:w="0" w:type="dxa"/>
            <w:vAlign w:val="bottom"/>
          </w:tcPr>
          <w:p>
            <w:pPr>
              <w:spacing w:after="0"/>
              <w:rPr>
                <w:sz w:val="1"/>
                <w:szCs w:val="1"/>
                <w:color w:val="auto"/>
              </w:rPr>
            </w:pPr>
          </w:p>
        </w:tc>
      </w:tr>
      <w:tr>
        <w:trPr>
          <w:trHeight w:val="241"/>
        </w:trPr>
        <w:tc>
          <w:tcPr>
            <w:tcW w:w="3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to July 26, 2024</w:t>
            </w:r>
          </w:p>
        </w:tc>
        <w:tc>
          <w:tcPr>
            <w:tcW w:w="2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 July 25, 2034</w:t>
            </w:r>
          </w:p>
        </w:tc>
        <w:tc>
          <w:tcPr>
            <w:tcW w:w="0" w:type="dxa"/>
            <w:vAlign w:val="bottom"/>
          </w:tcPr>
          <w:p>
            <w:pPr>
              <w:spacing w:after="0"/>
              <w:rPr>
                <w:sz w:val="1"/>
                <w:szCs w:val="1"/>
                <w:color w:val="auto"/>
              </w:rPr>
            </w:pPr>
          </w:p>
        </w:tc>
      </w:tr>
      <w:tr>
        <w:trPr>
          <w:trHeight w:val="204"/>
        </w:trPr>
        <w:tc>
          <w:tcPr>
            <w:tcW w:w="416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Hua Zhong</w:t>
            </w:r>
          </w:p>
        </w:tc>
        <w:tc>
          <w:tcPr>
            <w:tcW w:w="1560" w:type="dxa"/>
            <w:vAlign w:val="bottom"/>
            <w:gridSpan w:val="2"/>
            <w:shd w:val="clear" w:color="auto" w:fill="CCEEFF"/>
          </w:tcPr>
          <w:p>
            <w:pPr>
              <w:jc w:val="right"/>
              <w:ind w:right="320"/>
              <w:spacing w:after="0" w:line="205" w:lineRule="exact"/>
              <w:rPr>
                <w:sz w:val="20"/>
                <w:szCs w:val="20"/>
                <w:color w:val="auto"/>
              </w:rPr>
            </w:pPr>
            <w:r>
              <w:rPr>
                <w:rFonts w:ascii="Times New Roman" w:cs="Times New Roman" w:eastAsia="Times New Roman" w:hAnsi="Times New Roman"/>
                <w:sz w:val="18"/>
                <w:szCs w:val="18"/>
                <w:color w:val="auto"/>
              </w:rPr>
              <w:t>4,763,687</w:t>
            </w:r>
          </w:p>
        </w:tc>
        <w:tc>
          <w:tcPr>
            <w:tcW w:w="1080" w:type="dxa"/>
            <w:vAlign w:val="bottom"/>
            <w:gridSpan w:val="2"/>
            <w:shd w:val="clear" w:color="auto" w:fill="CCEEFF"/>
          </w:tcPr>
          <w:p>
            <w:pPr>
              <w:ind w:left="60"/>
              <w:spacing w:after="0" w:line="205" w:lineRule="exact"/>
              <w:rPr>
                <w:sz w:val="20"/>
                <w:szCs w:val="20"/>
                <w:color w:val="auto"/>
              </w:rPr>
            </w:pPr>
            <w:r>
              <w:rPr>
                <w:rFonts w:ascii="Times New Roman" w:cs="Times New Roman" w:eastAsia="Times New Roman" w:hAnsi="Times New Roman"/>
                <w:sz w:val="18"/>
                <w:szCs w:val="18"/>
                <w:color w:val="auto"/>
              </w:rPr>
              <w:t>1.24 to 3.89</w:t>
            </w:r>
          </w:p>
        </w:tc>
        <w:tc>
          <w:tcPr>
            <w:tcW w:w="214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Between October 29, 2022</w:t>
            </w:r>
          </w:p>
        </w:tc>
        <w:tc>
          <w:tcPr>
            <w:tcW w:w="2080" w:type="dxa"/>
            <w:vAlign w:val="bottom"/>
            <w:gridSpan w:val="2"/>
            <w:shd w:val="clear" w:color="auto" w:fill="CCEEFF"/>
          </w:tcPr>
          <w:p>
            <w:pPr>
              <w:ind w:left="120"/>
              <w:spacing w:after="0" w:line="205" w:lineRule="exact"/>
              <w:rPr>
                <w:sz w:val="20"/>
                <w:szCs w:val="20"/>
                <w:color w:val="auto"/>
              </w:rPr>
            </w:pPr>
            <w:r>
              <w:rPr>
                <w:rFonts w:ascii="Times New Roman" w:cs="Times New Roman" w:eastAsia="Times New Roman" w:hAnsi="Times New Roman"/>
                <w:sz w:val="18"/>
                <w:szCs w:val="18"/>
                <w:color w:val="auto"/>
              </w:rPr>
              <w:t>Between October 28, 2032</w:t>
            </w:r>
          </w:p>
        </w:tc>
        <w:tc>
          <w:tcPr>
            <w:tcW w:w="0" w:type="dxa"/>
            <w:vAlign w:val="bottom"/>
          </w:tcPr>
          <w:p>
            <w:pPr>
              <w:spacing w:after="0"/>
              <w:rPr>
                <w:sz w:val="1"/>
                <w:szCs w:val="1"/>
                <w:color w:val="auto"/>
              </w:rPr>
            </w:pPr>
          </w:p>
        </w:tc>
      </w:tr>
      <w:tr>
        <w:trPr>
          <w:trHeight w:val="248"/>
        </w:trPr>
        <w:tc>
          <w:tcPr>
            <w:tcW w:w="360" w:type="dxa"/>
            <w:vAlign w:val="bottom"/>
            <w:shd w:val="clear" w:color="auto" w:fill="CCEEFF"/>
          </w:tcPr>
          <w:p>
            <w:pPr>
              <w:spacing w:after="0"/>
              <w:rPr>
                <w:sz w:val="21"/>
                <w:szCs w:val="21"/>
                <w:color w:val="auto"/>
              </w:rPr>
            </w:pPr>
          </w:p>
        </w:tc>
        <w:tc>
          <w:tcPr>
            <w:tcW w:w="38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 July 26, 2024</w:t>
            </w:r>
          </w:p>
        </w:tc>
        <w:tc>
          <w:tcPr>
            <w:tcW w:w="2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 July 25, 2034</w:t>
            </w:r>
          </w:p>
        </w:tc>
        <w:tc>
          <w:tcPr>
            <w:tcW w:w="0" w:type="dxa"/>
            <w:vAlign w:val="bottom"/>
          </w:tcPr>
          <w:p>
            <w:pPr>
              <w:spacing w:after="0"/>
              <w:rPr>
                <w:sz w:val="1"/>
                <w:szCs w:val="1"/>
                <w:color w:val="auto"/>
              </w:rPr>
            </w:pPr>
          </w:p>
        </w:tc>
      </w:tr>
      <w:tr>
        <w:trPr>
          <w:trHeight w:val="198"/>
        </w:trPr>
        <w:tc>
          <w:tcPr>
            <w:tcW w:w="4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Jennifer Xuan Li</w:t>
            </w:r>
          </w:p>
        </w:tc>
        <w:tc>
          <w:tcPr>
            <w:tcW w:w="1560" w:type="dxa"/>
            <w:vAlign w:val="bottom"/>
            <w:gridSpan w:val="2"/>
          </w:tcPr>
          <w:p>
            <w:pPr>
              <w:jc w:val="right"/>
              <w:ind w:right="320"/>
              <w:spacing w:after="0" w:line="198" w:lineRule="exact"/>
              <w:rPr>
                <w:sz w:val="20"/>
                <w:szCs w:val="20"/>
                <w:color w:val="auto"/>
              </w:rPr>
            </w:pPr>
            <w:r>
              <w:rPr>
                <w:rFonts w:ascii="Times New Roman" w:cs="Times New Roman" w:eastAsia="Times New Roman" w:hAnsi="Times New Roman"/>
                <w:sz w:val="18"/>
                <w:szCs w:val="18"/>
                <w:color w:val="auto"/>
              </w:rPr>
              <w:t>12,149,857</w:t>
            </w:r>
          </w:p>
        </w:tc>
        <w:tc>
          <w:tcPr>
            <w:tcW w:w="108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0.46 to 1.24</w:t>
            </w:r>
          </w:p>
        </w:tc>
        <w:tc>
          <w:tcPr>
            <w:tcW w:w="2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Between November 23, 2020</w:t>
            </w:r>
          </w:p>
        </w:tc>
        <w:tc>
          <w:tcPr>
            <w:tcW w:w="208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Between February 4, 2031</w:t>
            </w:r>
          </w:p>
        </w:tc>
        <w:tc>
          <w:tcPr>
            <w:tcW w:w="0" w:type="dxa"/>
            <w:vAlign w:val="bottom"/>
          </w:tcPr>
          <w:p>
            <w:pPr>
              <w:spacing w:after="0"/>
              <w:rPr>
                <w:sz w:val="1"/>
                <w:szCs w:val="1"/>
                <w:color w:val="auto"/>
              </w:rPr>
            </w:pPr>
          </w:p>
        </w:tc>
      </w:tr>
      <w:tr>
        <w:trPr>
          <w:trHeight w:val="241"/>
        </w:trPr>
        <w:tc>
          <w:tcPr>
            <w:tcW w:w="3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and July 26, 2024</w:t>
            </w:r>
          </w:p>
        </w:tc>
        <w:tc>
          <w:tcPr>
            <w:tcW w:w="2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and July 25, 2034</w:t>
            </w:r>
          </w:p>
        </w:tc>
        <w:tc>
          <w:tcPr>
            <w:tcW w:w="0" w:type="dxa"/>
            <w:vAlign w:val="bottom"/>
          </w:tcPr>
          <w:p>
            <w:pPr>
              <w:spacing w:after="0"/>
              <w:rPr>
                <w:sz w:val="1"/>
                <w:szCs w:val="1"/>
                <w:color w:val="auto"/>
              </w:rPr>
            </w:pPr>
          </w:p>
        </w:tc>
      </w:tr>
      <w:tr>
        <w:trPr>
          <w:trHeight w:val="223"/>
        </w:trPr>
        <w:tc>
          <w:tcPr>
            <w:tcW w:w="360" w:type="dxa"/>
            <w:vAlign w:val="bottom"/>
            <w:shd w:val="clear" w:color="auto" w:fill="CCEEFF"/>
          </w:tcPr>
          <w:p>
            <w:pPr>
              <w:spacing w:after="0"/>
              <w:rPr>
                <w:sz w:val="19"/>
                <w:szCs w:val="19"/>
                <w:color w:val="auto"/>
              </w:rPr>
            </w:pPr>
          </w:p>
        </w:tc>
        <w:tc>
          <w:tcPr>
            <w:tcW w:w="38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line="222" w:lineRule="exact"/>
              <w:rPr>
                <w:sz w:val="20"/>
                <w:szCs w:val="20"/>
                <w:color w:val="auto"/>
              </w:rPr>
            </w:pPr>
            <w:r>
              <w:rPr>
                <w:rFonts w:ascii="Times New Roman" w:cs="Times New Roman" w:eastAsia="Times New Roman" w:hAnsi="Times New Roman"/>
                <w:sz w:val="17"/>
                <w:szCs w:val="17"/>
                <w:color w:val="auto"/>
              </w:rPr>
              <w:t>13,500,000</w:t>
            </w:r>
            <w:r>
              <w:rPr>
                <w:rFonts w:ascii="Times New Roman" w:cs="Times New Roman" w:eastAsia="Times New Roman" w:hAnsi="Times New Roman"/>
                <w:sz w:val="25"/>
                <w:szCs w:val="25"/>
                <w:color w:val="auto"/>
                <w:vertAlign w:val="superscript"/>
              </w:rPr>
              <w:t>(1)</w:t>
            </w:r>
          </w:p>
        </w:tc>
        <w:tc>
          <w:tcPr>
            <w:tcW w:w="1080" w:type="dxa"/>
            <w:vAlign w:val="bottom"/>
            <w:gridSpan w:val="2"/>
            <w:shd w:val="clear" w:color="auto" w:fill="CCEEFF"/>
          </w:tcPr>
          <w:p>
            <w:pPr>
              <w:jc w:val="center"/>
              <w:ind w:left="356"/>
              <w:spacing w:after="0"/>
              <w:rPr>
                <w:sz w:val="20"/>
                <w:szCs w:val="20"/>
                <w:color w:val="auto"/>
              </w:rPr>
            </w:pPr>
            <w:r>
              <w:rPr>
                <w:rFonts w:ascii="Times New Roman" w:cs="Times New Roman" w:eastAsia="Times New Roman" w:hAnsi="Times New Roman"/>
                <w:sz w:val="18"/>
                <w:szCs w:val="18"/>
                <w:color w:val="auto"/>
                <w:w w:val="88"/>
              </w:rPr>
              <w:t>— </w:t>
            </w: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26, 2024</w:t>
            </w:r>
          </w:p>
        </w:tc>
        <w:tc>
          <w:tcPr>
            <w:tcW w:w="2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July 25, 2034</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Qingxiong Yang</w:t>
            </w: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0.55</w:t>
            </w: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April 15, 2021</w:t>
            </w:r>
          </w:p>
        </w:tc>
        <w:tc>
          <w:tcPr>
            <w:tcW w:w="2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October 24, 2031</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70,323,038</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w:t>
      </w:r>
    </w:p>
    <w:p>
      <w:pPr>
        <w:spacing w:after="0" w:line="131" w:lineRule="exact"/>
        <w:rPr>
          <w:sz w:val="20"/>
          <w:szCs w:val="20"/>
          <w:color w:val="auto"/>
        </w:rPr>
      </w:pPr>
    </w:p>
    <w:p>
      <w:pPr>
        <w:ind w:left="540" w:hanging="424"/>
        <w:spacing w:after="0"/>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of our total ordinary shares on an as-converted basis outstanding as of the date of this annual report.</w:t>
      </w:r>
    </w:p>
    <w:p>
      <w:pPr>
        <w:spacing w:after="0" w:line="27" w:lineRule="exact"/>
        <w:rPr>
          <w:sz w:val="20"/>
          <w:szCs w:val="20"/>
          <w:color w:val="auto"/>
        </w:rPr>
      </w:pPr>
    </w:p>
    <w:p>
      <w:pPr>
        <w:ind w:left="540" w:hanging="424"/>
        <w:spacing w:after="0"/>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restricted share units.</w:t>
      </w:r>
    </w:p>
    <w:p>
      <w:pPr>
        <w:spacing w:after="0" w:line="20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other employees and consultants as a group hold options to purchase a total of 63,092,500 ordinary shares of our company and 50,757,435 restricted share units.</w:t>
      </w:r>
    </w:p>
    <w:p>
      <w:pPr>
        <w:spacing w:after="0" w:line="306" w:lineRule="exact"/>
        <w:rPr>
          <w:sz w:val="20"/>
          <w:szCs w:val="20"/>
          <w:color w:val="auto"/>
        </w:rPr>
      </w:pPr>
    </w:p>
    <w:p>
      <w:pPr>
        <w:ind w:left="120" w:right="8860" w:hanging="4"/>
        <w:spacing w:after="0" w:line="400" w:lineRule="auto"/>
        <w:tabs>
          <w:tab w:leader="none" w:pos="552" w:val="left"/>
        </w:tabs>
        <w:numPr>
          <w:ilvl w:val="0"/>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BOARD PRACTICES Board of Directors</w:t>
      </w: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board of directors currently consists of six directors. A director is not required to hold any shares in our company by way of qualification. A director who is in any way, whether directly or indirectly, interested in a contract or transaction or proposed contract or transaction with our company is required to declare the nature of his or her interest at a meeting of our directors. A director may vote with respect to any contract or transaction, or proposed contract or transaction, notwithstanding that he or she may be interested therein, and if he or she does so his or her vote shall be counted and he or she may be counted in the quorum at any meeting of our directors at which any such contract or transaction or proposed contract or transaction is considered. Our directors may exercise all the powers of our company to raise or borrow money, and to mortgage or charge its undertaking, property and assets (present and future) and uncalled capital or any part thereof, and to issue debentures debenture stock, bonds or other securities, whether outright or as collateral security for any debt, liability or obligation of our company or of any third-party. None of our non-executive directors has a service contract with us that provides for benefits upon termination of service.</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40"/>
          </w:cols>
          <w:pgMar w:left="320" w:top="482" w:right="4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have established three committees under the board of directors: an audit committee, a compensation committee and a nominating and corporate governance committee. We have adopted a charter for each of the three committees. Each committee’s members and functions are described below.</w:t>
      </w:r>
    </w:p>
    <w:p>
      <w:pPr>
        <w:spacing w:after="0" w:line="174"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color w:val="auto"/>
        </w:rPr>
        <w:t>. Our audit committee consists of Huiping Yan and David Tong Zhang. Huiping Yan is the chairperson of our audit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have determined that Huiping Yan and David Tong Zhang satisfy the “independence” requirements of Rule 5605(a)(2) of the Listing Rules of the Nasdaq Stock Market and Rule 10A-3 under the Exchange Act. We have determined that Huiping Yan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91" w:lineRule="exact"/>
        <w:rPr>
          <w:sz w:val="20"/>
          <w:szCs w:val="20"/>
          <w:color w:val="auto"/>
        </w:rPr>
      </w:pPr>
    </w:p>
    <w:p>
      <w:pPr>
        <w:ind w:left="1080" w:right="78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the independent auditors and pre-approving all auditing and non-auditing services permitted to be performed by the independent auditors;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any audit problems or difficulties and management’s response;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auditors;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accounting and internal control policies and procedures and any steps taken to monitor and control major financial risk exposures;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the independent auditors; and</w:t>
      </w:r>
    </w:p>
    <w:p>
      <w:pPr>
        <w:spacing w:after="0" w:line="130"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w:t>
      </w:r>
    </w:p>
    <w:p>
      <w:pPr>
        <w:spacing w:after="0" w:line="16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Compensation Committee. </w:t>
      </w:r>
      <w:r>
        <w:rPr>
          <w:rFonts w:ascii="Times New Roman" w:cs="Times New Roman" w:eastAsia="Times New Roman" w:hAnsi="Times New Roman"/>
          <w:sz w:val="18"/>
          <w:szCs w:val="18"/>
          <w:color w:val="auto"/>
        </w:rPr>
        <w:t>Our compensation committee consists of Tony Xu Han, Huiping Yan and David Tong Zhang. Tony Xu Han is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chairperson of our compensation committee. We have determined that Huiping Yan and David Tong Zhang satisfy the “independence” requirements of Rule 5605(a)(2) of the Listing Rules of the Nasdaq Stock Market.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p>
      <w:pPr>
        <w:spacing w:after="0" w:line="91" w:lineRule="exact"/>
        <w:rPr>
          <w:sz w:val="20"/>
          <w:szCs w:val="20"/>
          <w:color w:val="auto"/>
        </w:rPr>
      </w:pPr>
    </w:p>
    <w:p>
      <w:pPr>
        <w:ind w:left="1080" w:right="42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for its approval, the compensation for our chief executive officer and other executive officers;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for determination with respect to the compensation of our non-employee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approving any incentive compensation or equity plans, programs or similar arrangements;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compensation consultant, legal counsel or other adviser only after taking into consideration all factors relevant to that person’s independence from management.</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000"/>
          </w:cols>
          <w:pgMar w:left="320" w:top="482" w:right="57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i w:val="1"/>
          <w:iCs w:val="1"/>
          <w:color w:val="auto"/>
        </w:rPr>
        <w:t>Nominating and Corporate Governance Committee</w:t>
      </w:r>
      <w:r>
        <w:rPr>
          <w:rFonts w:ascii="Times New Roman" w:cs="Times New Roman" w:eastAsia="Times New Roman" w:hAnsi="Times New Roman"/>
          <w:sz w:val="17"/>
          <w:szCs w:val="17"/>
          <w:color w:val="auto"/>
        </w:rPr>
        <w:t>. Our nominating and corporate governance committee consists of Tony Xu Han, Huiping Yan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David Tong Zhang. Tony Xu Han is the chairperson of our nominating and corporate governance committee. We have determined that Huiping Yan and David Tong Zhang satisfy the “independence” requirements of Rule 5605(a)(2) of the Listing Rules of the Nasdaq Stock Market. The nominating and corporate governance committee assists the board of directors in selecting individuals qualified to become our directors and in determining the composition of the board and its committees. The nominating and corporate governance committee is responsible for, among other things:</w:t>
      </w:r>
    </w:p>
    <w:p>
      <w:pPr>
        <w:spacing w:after="0" w:line="75" w:lineRule="exact"/>
        <w:rPr>
          <w:sz w:val="20"/>
          <w:szCs w:val="20"/>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to the board nominees for election by the shareholders or appointment by the board;</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the board the current composition of the board with regards to characteristics such as independence, knowledge, skills, experience and diversity;</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on the frequency and structure of board meetings and monitoring the functioning of the committees of the board;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We have the right to seek damages if a duty owed by our directors is breached. In certain limited exceptional circumstances, a shareholder may have the right to seek damages in our name if a duty owed by the directors is breached.</w:t>
      </w:r>
    </w:p>
    <w:p>
      <w:pPr>
        <w:spacing w:after="0" w:line="192"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has all the powers necessary for managing, and for directing and supervising, our business affairs. The functions and powers of our board of directors include, among others:</w:t>
      </w:r>
    </w:p>
    <w:p>
      <w:pPr>
        <w:spacing w:after="0" w:line="67" w:lineRule="exact"/>
        <w:rPr>
          <w:sz w:val="20"/>
          <w:szCs w:val="20"/>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convening shareholders’ annual and extraordinary general meetings;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dividends and distributions;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 term of office of the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borrowing powers of our company and mortgaging the property of our company;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transfer of shares in our company, including the registration of such shares in our register of members.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Pursuant to our currently effective memorandum and articles of association, for so long as Tonyhan Limited and Yanli Holdings Limited, which we refer to as the Founder Entities, or their affiliates remain as shareholders of our company, such shareholders shall together be entitled to appoint, remove and replace at least two directors, or each, a Founder Entity Appointed Director, by delivering a written notice to us.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20"/>
          </w:cols>
          <w:pgMar w:left="320" w:top="482" w:right="4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Pursuant to a nominating and support agreement dated July 26, 2024 with Alliance Ventures, B.V., Dr. Tony Xu Han and Dr. Yan Li, which became effective upon the completion of our initial public offering, Alliance Ventures, B.V. is entitled to appoint, remove, and replace two directors by delivering a written notice to us. In the event Alliance Ventures, B.V. sells our shares equal to between 1% and 2% of our then current fully diluted shares, it shall lose the right to nominate one director, and in the event Alliance Ventures, B.V. sells our shares equal to 2% or more of our then current fully diluted shares, it shall lose all the right to nominate directors. See “Item 7. Major Shareholders and Related Party Transactions—B. Related Party Transactions—Nominating and Support Agreement.”</w:t>
      </w:r>
    </w:p>
    <w:p>
      <w:pPr>
        <w:spacing w:after="0" w:line="187"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Our directors may be appointed by an ordinary resolution of our shareholders. Alternatively, our board of directors may, by the affirmative vote of a simple majority of the directors present and voting at a board meeting appoint any person as a director to fill a casual vacancy on our board (other than a Founder Entity Appointed Director or independent directors) or as an addition to the existing board.</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directors (other than a Founder Entity Appointed Director or independent directors) are not automatically subject to a term of office and hold office until such time as their office is vacated or where they are removed from office by an ordinary resolution of our shareholders (except with regard to the removal of the chairman of our board, who may only be removed from office by a special resolution of our shareholders). The service of our independent directors is subject to a fixed term of one year and may be terminated by the director or by us with a 30-day advance written notice or such other shorter period of notice as mutually agreed. In addition, a director will cease to be a director if, among other things, the director (i) becomes prohibited by applicable law from being a director; (ii) becomes bankrupt or makes any arrangement or composition with his or her creditors; (iii) dies or is found to be or becomes of unsound mind; (iv) resigns his or her office by notice in writing to our company, or (v) without special leave of absence from our board, is absent from three consecutive board meetings and our board (excluding the absent director) resolves that his or her office be vacated; or (vi) is removed from office pursuant to any other provision of our articles of association.</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officers are appointed by and serve at the discretion of the board of directors, and may be removed by our board of directors.</w:t>
      </w:r>
    </w:p>
    <w:p>
      <w:pPr>
        <w:spacing w:after="0" w:line="370" w:lineRule="exact"/>
        <w:rPr>
          <w:sz w:val="20"/>
          <w:szCs w:val="20"/>
          <w:color w:val="auto"/>
        </w:rPr>
      </w:pPr>
    </w:p>
    <w:p>
      <w:pPr>
        <w:ind w:left="540" w:hanging="424"/>
        <w:spacing w:after="0"/>
        <w:tabs>
          <w:tab w:leader="none" w:pos="54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had 639, 718 and 3,093 employees globally as of December 31, 2022, 2023 and 2024, respectively. The significant increase of our number of employees was primarily a result of the significant increase in the number of R&amp;D data processing staff. We hired these R&amp;D data processing staff in order to provide processing services to our customers to better cater to our customers’ business needs, as well as to facilitate our own research and development.</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080"/>
          </w:cols>
          <w:pgMar w:left="320" w:top="482" w:right="4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2024, we had 2,964 employees based in mainland China and 129 employees outside mainland China. As of December 31, 2024, our 3,093 employees include 180 temporary employees (interns).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number of our employees by function as of December 31, 2024</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Function</w:t>
            </w:r>
          </w:p>
        </w:tc>
        <w:tc>
          <w:tcPr>
            <w:tcW w:w="4520" w:type="dxa"/>
            <w:vAlign w:val="bottom"/>
          </w:tcPr>
          <w:p>
            <w:pPr>
              <w:spacing w:after="0"/>
              <w:rPr>
                <w:sz w:val="16"/>
                <w:szCs w:val="16"/>
                <w:color w:val="auto"/>
              </w:rPr>
            </w:pPr>
          </w:p>
        </w:tc>
        <w:tc>
          <w:tcPr>
            <w:tcW w:w="2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Employees</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Percentage (%)</w:t>
            </w:r>
          </w:p>
        </w:tc>
      </w:tr>
      <w:tr>
        <w:trPr>
          <w:trHeight w:val="203"/>
        </w:trPr>
        <w:tc>
          <w:tcPr>
            <w:tcW w:w="50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Research and development engineers</w:t>
            </w:r>
          </w:p>
        </w:tc>
        <w:tc>
          <w:tcPr>
            <w:tcW w:w="13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677</w:t>
            </w:r>
          </w:p>
        </w:tc>
        <w:tc>
          <w:tcPr>
            <w:tcW w:w="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21.9</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R&amp;D data processing staff</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2,228</w:t>
            </w:r>
          </w:p>
        </w:tc>
        <w:tc>
          <w:tcPr>
            <w:tcW w:w="8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72.0</w:t>
            </w: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8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Operations</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8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management and administration</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8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3,093</w:t>
            </w:r>
          </w:p>
        </w:tc>
        <w:tc>
          <w:tcPr>
            <w:tcW w:w="20" w:type="dxa"/>
            <w:vAlign w:val="bottom"/>
            <w:tcBorders>
              <w:bottom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40" w:type="dxa"/>
            <w:vAlign w:val="bottom"/>
          </w:tcPr>
          <w:p>
            <w:pPr>
              <w:spacing w:after="0"/>
              <w:rPr>
                <w:sz w:val="19"/>
                <w:szCs w:val="19"/>
                <w:color w:val="auto"/>
              </w:rPr>
            </w:pPr>
          </w:p>
        </w:tc>
      </w:tr>
      <w:tr>
        <w:trPr>
          <w:trHeight w:val="20"/>
        </w:trPr>
        <w:tc>
          <w:tcPr>
            <w:tcW w:w="5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Our employees have set up a labor union in China according to the applicable PRC laws and regulations. To date, we have not experienced any labor strike, and we consider our relationship with our employees to be good.</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required by regulations in mainland China, we participate in various employee social security plans that are organized by municipal and provincial governments for our PRC-based employees, including pension insurance, unemployment insurance, maternity insurance, work-related injury insurance, medical insurance, and housing provident fund. We are required under PRC law to make contributions to employee benefit plans occasionally for our PRC-based employees at specified percentages of their salaries, bonuses and certain allowances of such employees, up to a maximum amount specified by local governments in mainland China.</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enter into standard employment agreements with our employees. We also enter into standard confidentiality and non-compete agreements with our employees in accordance with common market practice.</w:t>
      </w:r>
    </w:p>
    <w:p>
      <w:pPr>
        <w:spacing w:after="0" w:line="306" w:lineRule="exact"/>
        <w:rPr>
          <w:sz w:val="20"/>
          <w:szCs w:val="20"/>
          <w:color w:val="auto"/>
        </w:rPr>
      </w:pPr>
    </w:p>
    <w:p>
      <w:pPr>
        <w:ind w:left="540" w:hanging="424"/>
        <w:spacing w:after="0"/>
        <w:tabs>
          <w:tab w:leader="none" w:pos="54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OWNERSHIP</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Except as specifically noted, the following table sets forth information with respect to the beneficial ownership of our ordinary shares as of the date of the annual report by:</w:t>
      </w:r>
    </w:p>
    <w:p>
      <w:pPr>
        <w:spacing w:after="0" w:line="67" w:lineRule="exact"/>
        <w:rPr>
          <w:sz w:val="20"/>
          <w:szCs w:val="20"/>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own beneficially 5% or more of our total outstanding ordinary shares.</w:t>
      </w:r>
    </w:p>
    <w:p>
      <w:pPr>
        <w:spacing w:after="0" w:line="225"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The calculations in the table below are based on 798,772,293 Class A ordinary shares and 54,814,423 Class B ordinary shares issued and outstanding as of the date of the annual report.</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00"/>
          </w:cols>
          <w:pgMar w:left="320" w:top="482" w:right="47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Ordinary Shares Beneficially Owned</w:t>
            </w:r>
          </w:p>
        </w:tc>
        <w:tc>
          <w:tcPr>
            <w:tcW w:w="6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 of Total</w:t>
            </w:r>
          </w:p>
        </w:tc>
        <w:tc>
          <w:tcPr>
            <w:tcW w:w="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340" w:type="dxa"/>
            <w:vAlign w:val="bottom"/>
          </w:tcPr>
          <w:p>
            <w:pPr>
              <w:spacing w:after="0"/>
              <w:rPr>
                <w:sz w:val="12"/>
                <w:szCs w:val="12"/>
                <w:color w:val="auto"/>
              </w:rPr>
            </w:pPr>
          </w:p>
        </w:tc>
        <w:tc>
          <w:tcPr>
            <w:tcW w:w="11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20" w:type="dxa"/>
            <w:vAlign w:val="bottom"/>
          </w:tcPr>
          <w:p>
            <w:pPr>
              <w:spacing w:after="0"/>
              <w:rPr>
                <w:sz w:val="12"/>
                <w:szCs w:val="12"/>
                <w:color w:val="auto"/>
              </w:rPr>
            </w:pPr>
          </w:p>
        </w:tc>
        <w:tc>
          <w:tcPr>
            <w:tcW w:w="13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60" w:type="dxa"/>
            <w:vAlign w:val="bottom"/>
            <w:gridSpan w:val="2"/>
            <w:vMerge w:val="continue"/>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63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173"/>
        </w:trPr>
        <w:tc>
          <w:tcPr>
            <w:tcW w:w="634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320" w:type="dxa"/>
            <w:vAlign w:val="bottom"/>
          </w:tcPr>
          <w:p>
            <w:pPr>
              <w:spacing w:after="0"/>
              <w:rPr>
                <w:sz w:val="15"/>
                <w:szCs w:val="15"/>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0" w:type="dxa"/>
            <w:vAlign w:val="bottom"/>
          </w:tcPr>
          <w:p>
            <w:pPr>
              <w:spacing w:after="0"/>
              <w:rPr>
                <w:sz w:val="1"/>
                <w:szCs w:val="1"/>
                <w:color w:val="auto"/>
              </w:rPr>
            </w:pPr>
          </w:p>
        </w:tc>
      </w:tr>
      <w:tr>
        <w:trPr>
          <w:trHeight w:val="196"/>
        </w:trPr>
        <w:tc>
          <w:tcPr>
            <w:tcW w:w="63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Tony Xu Han</w:t>
            </w:r>
            <w:r>
              <w:rPr>
                <w:rFonts w:ascii="Times New Roman" w:cs="Times New Roman" w:eastAsia="Times New Roman" w:hAnsi="Times New Roman"/>
                <w:sz w:val="25"/>
                <w:szCs w:val="25"/>
                <w:color w:val="auto"/>
                <w:vertAlign w:val="superscript"/>
              </w:rPr>
              <w:t>(1)</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60,346,665</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6.9</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Yan Li</w:t>
            </w:r>
            <w:r>
              <w:rPr>
                <w:rFonts w:ascii="Times New Roman" w:cs="Times New Roman" w:eastAsia="Times New Roman" w:hAnsi="Times New Roman"/>
                <w:sz w:val="25"/>
                <w:szCs w:val="25"/>
                <w:color w:val="auto"/>
                <w:vertAlign w:val="superscript"/>
              </w:rPr>
              <w:t>(2)</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27,129,666</w:t>
            </w:r>
          </w:p>
        </w:tc>
        <w:tc>
          <w:tcPr>
            <w:tcW w:w="17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21,245,992</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5.6</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6"/>
        </w:trPr>
        <w:tc>
          <w:tcPr>
            <w:tcW w:w="63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Hua Zhong</w:t>
            </w:r>
            <w:r>
              <w:rPr>
                <w:rFonts w:ascii="Times New Roman" w:cs="Times New Roman" w:eastAsia="Times New Roman" w:hAnsi="Times New Roman"/>
                <w:sz w:val="25"/>
                <w:szCs w:val="25"/>
                <w:color w:val="auto"/>
                <w:vertAlign w:val="superscript"/>
              </w:rPr>
              <w:t>(3)</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19,920,721</w:t>
            </w:r>
          </w:p>
        </w:tc>
        <w:tc>
          <w:tcPr>
            <w:tcW w:w="320" w:type="dxa"/>
            <w:vAlign w:val="bottom"/>
          </w:tcPr>
          <w:p>
            <w:pPr>
              <w:spacing w:after="0"/>
              <w:rPr>
                <w:sz w:val="18"/>
                <w:szCs w:val="18"/>
                <w:color w:val="auto"/>
              </w:rPr>
            </w:pPr>
          </w:p>
        </w:tc>
        <w:tc>
          <w:tcPr>
            <w:tcW w:w="13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2.3</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Jennifer Xuan Li</w:t>
            </w:r>
            <w:r>
              <w:rPr>
                <w:rFonts w:ascii="Times New Roman" w:cs="Times New Roman" w:eastAsia="Times New Roman" w:hAnsi="Times New Roman"/>
                <w:sz w:val="25"/>
                <w:szCs w:val="25"/>
                <w:color w:val="auto"/>
                <w:vertAlign w:val="superscript"/>
              </w:rPr>
              <w:t>(4)</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23,727,199</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2.7</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63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Qingxiong Yang</w:t>
            </w:r>
            <w:r>
              <w:rPr>
                <w:rFonts w:ascii="Times New Roman" w:cs="Times New Roman" w:eastAsia="Times New Roman" w:hAnsi="Times New Roman"/>
                <w:sz w:val="25"/>
                <w:szCs w:val="25"/>
                <w:color w:val="auto"/>
                <w:vertAlign w:val="superscript"/>
              </w:rPr>
              <w:t>(5)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13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83"/>
              </w:rPr>
              <w:t>   *</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Takao Asami</w:t>
            </w:r>
            <w:r>
              <w:rPr>
                <w:rFonts w:ascii="Times New Roman" w:cs="Times New Roman" w:eastAsia="Times New Roman" w:hAnsi="Times New Roman"/>
                <w:sz w:val="25"/>
                <w:szCs w:val="25"/>
                <w:color w:val="auto"/>
                <w:vertAlign w:val="superscript"/>
              </w:rPr>
              <w:t>(6)</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3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Huiping Yan</w:t>
            </w:r>
            <w:r>
              <w:rPr>
                <w:rFonts w:ascii="Times New Roman" w:cs="Times New Roman" w:eastAsia="Times New Roman" w:hAnsi="Times New Roman"/>
                <w:sz w:val="25"/>
                <w:szCs w:val="25"/>
                <w:color w:val="auto"/>
                <w:vertAlign w:val="superscript"/>
              </w:rPr>
              <w:t>(7)</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13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David Tong Zhang</w:t>
            </w:r>
            <w:r>
              <w:rPr>
                <w:rFonts w:ascii="Times New Roman" w:cs="Times New Roman" w:eastAsia="Times New Roman" w:hAnsi="Times New Roman"/>
                <w:sz w:val="25"/>
                <w:szCs w:val="25"/>
                <w:color w:val="auto"/>
                <w:vertAlign w:val="superscript"/>
              </w:rPr>
              <w:t>(8)</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3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Jean-François Salles</w:t>
            </w:r>
            <w:r>
              <w:rPr>
                <w:rFonts w:ascii="Times New Roman" w:cs="Times New Roman" w:eastAsia="Times New Roman" w:hAnsi="Times New Roman"/>
                <w:sz w:val="25"/>
                <w:szCs w:val="25"/>
                <w:color w:val="auto"/>
                <w:vertAlign w:val="superscript"/>
              </w:rPr>
              <w:t>(9)</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13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72,577,586</w:t>
            </w:r>
          </w:p>
        </w:tc>
        <w:tc>
          <w:tcPr>
            <w:tcW w:w="17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81,592,657</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17.0</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Tony Xu Han</w:t>
            </w:r>
            <w:r>
              <w:rPr>
                <w:rFonts w:ascii="Times New Roman" w:cs="Times New Roman" w:eastAsia="Times New Roman" w:hAnsi="Times New Roman"/>
                <w:sz w:val="25"/>
                <w:szCs w:val="25"/>
                <w:color w:val="auto"/>
                <w:vertAlign w:val="superscript"/>
              </w:rPr>
              <w:t>(1)</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60,346,665</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6.9</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16"/>
        </w:trPr>
        <w:tc>
          <w:tcPr>
            <w:tcW w:w="63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Yan Li</w:t>
            </w:r>
            <w:r>
              <w:rPr>
                <w:rFonts w:ascii="Times New Roman" w:cs="Times New Roman" w:eastAsia="Times New Roman" w:hAnsi="Times New Roman"/>
                <w:sz w:val="25"/>
                <w:szCs w:val="25"/>
                <w:color w:val="auto"/>
                <w:vertAlign w:val="superscript"/>
              </w:rPr>
              <w:t>(2)</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27,129,666</w:t>
            </w:r>
          </w:p>
        </w:tc>
        <w:tc>
          <w:tcPr>
            <w:tcW w:w="17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21,245,992</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5.6</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Yutong entities</w:t>
            </w:r>
            <w:r>
              <w:rPr>
                <w:rFonts w:ascii="Times New Roman" w:cs="Times New Roman" w:eastAsia="Times New Roman" w:hAnsi="Times New Roman"/>
                <w:sz w:val="25"/>
                <w:szCs w:val="25"/>
                <w:color w:val="auto"/>
                <w:vertAlign w:val="superscript"/>
              </w:rPr>
              <w:t>(10)</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132,494,900</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15.5</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63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Qiming entities</w:t>
            </w:r>
            <w:r>
              <w:rPr>
                <w:rFonts w:ascii="Times New Roman" w:cs="Times New Roman" w:eastAsia="Times New Roman" w:hAnsi="Times New Roman"/>
                <w:sz w:val="25"/>
                <w:szCs w:val="25"/>
                <w:color w:val="auto"/>
                <w:vertAlign w:val="superscript"/>
              </w:rPr>
              <w:t>(11)</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62,865,042</w:t>
            </w:r>
          </w:p>
        </w:tc>
        <w:tc>
          <w:tcPr>
            <w:tcW w:w="320" w:type="dxa"/>
            <w:vAlign w:val="bottom"/>
          </w:tcPr>
          <w:p>
            <w:pPr>
              <w:spacing w:after="0"/>
              <w:rPr>
                <w:sz w:val="18"/>
                <w:szCs w:val="18"/>
                <w:color w:val="auto"/>
              </w:rPr>
            </w:pPr>
          </w:p>
        </w:tc>
        <w:tc>
          <w:tcPr>
            <w:tcW w:w="13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7.4</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Alliance Ventures B.V.</w:t>
            </w:r>
            <w:r>
              <w:rPr>
                <w:rFonts w:ascii="Times New Roman" w:cs="Times New Roman" w:eastAsia="Times New Roman" w:hAnsi="Times New Roman"/>
                <w:sz w:val="25"/>
                <w:szCs w:val="25"/>
                <w:color w:val="auto"/>
                <w:vertAlign w:val="superscript"/>
              </w:rPr>
              <w:t>(12)</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63,680,080</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7.5</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w:t>
      </w:r>
    </w:p>
    <w:p>
      <w:pPr>
        <w:spacing w:after="0" w:line="131" w:lineRule="exact"/>
        <w:rPr>
          <w:sz w:val="20"/>
          <w:szCs w:val="20"/>
          <w:color w:val="auto"/>
        </w:rPr>
      </w:pPr>
    </w:p>
    <w:p>
      <w:pPr>
        <w:ind w:left="540" w:hanging="424"/>
        <w:spacing w:after="0"/>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shares account for less than one percent of our total ordinary shares.</w:t>
      </w:r>
    </w:p>
    <w:p>
      <w:pPr>
        <w:spacing w:after="0" w:line="27" w:lineRule="exact"/>
        <w:rPr>
          <w:sz w:val="20"/>
          <w:szCs w:val="20"/>
          <w:color w:val="auto"/>
        </w:rPr>
      </w:pPr>
    </w:p>
    <w:p>
      <w:pPr>
        <w:ind w:left="540" w:right="240" w:hanging="424"/>
        <w:spacing w:after="0" w:line="204" w:lineRule="auto"/>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indicated otherwise below, the business address of our directors and executive officers is 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Floor, Tower A, Guanzhou Life Science Innovation Center, No. 51, Luoxuan Road, Guangzhou International Biotech Island, Guangzhou, People’s Republic of China.</w:t>
      </w:r>
    </w:p>
    <w:p>
      <w:pPr>
        <w:spacing w:after="0" w:line="2" w:lineRule="exact"/>
        <w:rPr>
          <w:sz w:val="20"/>
          <w:szCs w:val="20"/>
          <w:color w:val="auto"/>
        </w:rPr>
      </w:pPr>
    </w:p>
    <w:p>
      <w:pPr>
        <w:ind w:left="540" w:right="100" w:hanging="424"/>
        <w:spacing w:after="0" w:line="265" w:lineRule="auto"/>
        <w:tabs>
          <w:tab w:leader="none" w:pos="5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person or group included in this column, percentage of total voting power represents voting power based on both Class A and Class B ordinary shares held by such person or group with respect to all of our outstanding Class A and Class B ordinary shares as a single class. Each holder of our Class A ordinary shares is entitled to one vote per share. Each holder of our Class B ordinary shares is entitled to 40 votes per share.</w:t>
      </w:r>
    </w:p>
    <w:p>
      <w:pPr>
        <w:ind w:left="540"/>
        <w:spacing w:after="0"/>
        <w:rPr>
          <w:sz w:val="20"/>
          <w:szCs w:val="20"/>
          <w:color w:val="auto"/>
        </w:rPr>
      </w:pPr>
      <w:r>
        <w:rPr>
          <w:rFonts w:ascii="Times New Roman" w:cs="Times New Roman" w:eastAsia="Times New Roman" w:hAnsi="Times New Roman"/>
          <w:sz w:val="18"/>
          <w:szCs w:val="18"/>
          <w:color w:val="auto"/>
        </w:rPr>
        <w:t>Our Class B ordinary shares are convertible at any time by the holder into Class A ordinary shares on a one-for-one basis.</w:t>
      </w:r>
    </w:p>
    <w:p>
      <w:pPr>
        <w:spacing w:after="0" w:line="9" w:lineRule="exact"/>
        <w:rPr>
          <w:sz w:val="20"/>
          <w:szCs w:val="20"/>
          <w:color w:val="auto"/>
        </w:rPr>
      </w:pPr>
    </w:p>
    <w:p>
      <w:pPr>
        <w:ind w:left="540" w:right="60" w:hanging="424"/>
        <w:spacing w:after="0" w:line="250"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16,399,590 Class B ordinary shares held by Tonyhan Limited, (ii) 24,850,000 Class B ordinary shares held by Xu Han Limited, and (iii) 19,097,075 Class B ordinary shares Dr. Tony Xu Han has the right to acquire upon exercise of options within 60 days after the date of the annual report. Dr. Tony Xu Han holds 51% equity interests in Tonyhan Limited through Xu Han Limited, which is in turn 100% owned by</w:t>
      </w:r>
    </w:p>
    <w:p>
      <w:pPr>
        <w:spacing w:after="0" w:line="1" w:lineRule="exact"/>
        <w:rPr>
          <w:rFonts w:ascii="Times New Roman" w:cs="Times New Roman" w:eastAsia="Times New Roman" w:hAnsi="Times New Roman"/>
          <w:sz w:val="18"/>
          <w:szCs w:val="18"/>
          <w:color w:val="auto"/>
        </w:rPr>
      </w:pPr>
    </w:p>
    <w:p>
      <w:pPr>
        <w:ind w:left="540" w:right="1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Tony Xu Han. Dr. Tony Xu Han is also the sole director of Tonyhan Limited. The registered address of each of Tonyhan Limited and Xu Han Limited is Harkom Corporate Services Limited of Jayla Place, P.O. Box 216, Road Town, Tortola, VG1110, British Virgin Islands.</w:t>
      </w:r>
    </w:p>
    <w:p>
      <w:pPr>
        <w:ind w:left="540" w:right="60" w:hanging="424"/>
        <w:spacing w:after="0" w:line="250"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13,564,823 Class B ordinary shares and 11,129,666 Class A ordinary shares held by Humber Partners Limited, (ii) 10 Class B ordinary shares and 16,000,000 Class A ordinary shares held by Yanli Holdings Limited, and (iii) 7,681,159 Class B ordinary shares Dr. Yan Li has the right to acquire upon exercise of options within 60 days after the date of the annual report. Dr. Yan Li holds 51% equity interests in Yanli Holdings Limited through Humber Partners Limited, which is in turn 100% owned by Dr. Yan Li. Dr. Li is also the sole director of Yanli Holdings Limited. The registered address of each of Yanli Holdings Limited and Humber Partners Limited is Harkom Corporate Services Limited of Jayla Place, P.O. Box 216, Road Town, Tortola, VG1110, British Virgin Islands.</w:t>
      </w:r>
    </w:p>
    <w:p>
      <w:pPr>
        <w:spacing w:after="0" w:line="2" w:lineRule="exact"/>
        <w:rPr>
          <w:rFonts w:ascii="Times New Roman" w:cs="Times New Roman" w:eastAsia="Times New Roman" w:hAnsi="Times New Roman"/>
          <w:sz w:val="18"/>
          <w:szCs w:val="18"/>
          <w:color w:val="auto"/>
        </w:rPr>
      </w:pPr>
    </w:p>
    <w:p>
      <w:pPr>
        <w:ind w:left="540" w:right="320" w:hanging="424"/>
        <w:spacing w:after="0" w:line="250"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16,573,442 Class A ordinary shares and 3,347,279 Class A ordinary shares Dr. Hua Zhong has the right to acquire upon exercise of options within 60 days after the date of the annual report.</w:t>
      </w:r>
    </w:p>
    <w:p>
      <w:pPr>
        <w:ind w:left="540" w:right="480" w:hanging="424"/>
        <w:spacing w:after="0" w:line="250"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Class A ordinary shares Ms. Jennifer Xuan Li has the right to acquire upon exercise of options or vesting of restricted share units within 60 days after the date of the annual report.</w:t>
      </w:r>
    </w:p>
    <w:p>
      <w:pPr>
        <w:ind w:left="540" w:right="500" w:hanging="424"/>
        <w:spacing w:after="0" w:line="250"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Class A ordinary shares Dr. Qingxiong Yang has the right to acquire upon exercise of options within 60 days after the date of the annual report.</w:t>
      </w:r>
    </w:p>
    <w:p>
      <w:pPr>
        <w:ind w:left="540" w:hanging="424"/>
        <w:spacing w:after="0"/>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Takao Asami is 560-2 Okatsukoku, Atsugi-shi, Kanagawa-ken, 243-0192, Japan.</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Ms. Huiping Yan is Building One, No. 1685 Huazhi Road, Qingpu District, Shanghai, People’s Republic of China.</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Mr. David Tong Zhang is Apt 1293, Tower 17, Hong Kong Parkview, 88 Tai Tam Reservoir Road, Hong Kong.</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40"/>
          </w:cols>
          <w:pgMar w:left="320" w:top="482" w:right="4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Mr. Jean-François Salles is 6, allée de l’Etang - 91190 Gif-sur-Yvette, France.</w:t>
      </w:r>
    </w:p>
    <w:p>
      <w:pPr>
        <w:spacing w:after="0" w:line="27"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66,247,450 Class A ordinary shares held by Zhengzhou Xufeng Jiayuan Intelligent Connected Enterprise Management Center (Limited Partnership), or Zhengzhou Xufeng; and (ii) 66,247,450 Class A ordinary shares held by Beijing Xufeng Zhiyuan Intelligent Technology Limited Partnership, or Beijing Xufeng, as reported on the Schedule 13G filed by these entities on February 14, 2025. We refer to Zhengzhou Xufeng and Beijing Xufeng collectively as Yutong entities in this annual report. The general partner of both Zhengzhou Xufeng and Beijing Xufeng is Zhengzhou Xuxin Industrial Co., Ltd., which is wholly owned by Zhengzhou Yutong Group Co., Ltd., which, in turn, is controlled by seven individuals, namely Yuxiang Tang, Jianwei Cao, Baofeng Zhang, Yiguo Zhang, Bo Yang, Xinlei Lu and Lei Wang. Each of these individuals disclaims beneficial ownership of the shares of the issuer owned by the Yutong entities. The registered address of Zhengzhou Yutong Group Co., Ltd. is No. 8, Changchun Road, High-Tech Industrial Development Zone, Zhengzhou City, China. The registered address of each of Zhengzhou Xuxin Industrial Co., Ltd. and Zhengzhou Xufeng is 5021, Floor 5, North of Financial Plaza, intersection of Huaxia Avenue and Yungang Road, Hangkonggang District, Zhengzhou City, Henan Province, China. The registered address of Beijing Xufeng is Room 2099,</w:t>
      </w:r>
    </w:p>
    <w:p>
      <w:pPr>
        <w:spacing w:after="0" w:line="3"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101, Building 1, Compound 36, South Hongjunying Road, Chaoyang District, Beijing, China.</w:t>
      </w:r>
    </w:p>
    <w:p>
      <w:pPr>
        <w:spacing w:after="0" w:line="9" w:lineRule="exact"/>
        <w:rPr>
          <w:rFonts w:ascii="Times New Roman" w:cs="Times New Roman" w:eastAsia="Times New Roman" w:hAnsi="Times New Roman"/>
          <w:sz w:val="18"/>
          <w:szCs w:val="18"/>
          <w:color w:val="auto"/>
        </w:rPr>
      </w:pPr>
    </w:p>
    <w:p>
      <w:pPr>
        <w:ind w:left="540" w:right="160" w:hanging="424"/>
        <w:spacing w:after="0" w:line="250" w:lineRule="auto"/>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47,787,195 Class A ordinary shares held by Qiming Venture Partners V, L.P.; (ii) 1,482,675 Class A ordinary shares by Qiming Managing Directors Fund V, L.P.; (iii) 13,471,028 Class A ordinary shares held by Qiming Venture Partners VII, L.P.; and (iv) 124,144 Class A ordinary shares held by Qiming VII Strategic Investors Fund, L.P., as reported on the Schedule 13G filed by these entities on February 10, 2025. We refer to Qiming Venture Partners V, L.P., Qiming Managing Directors Fund V, L.P., Qiming Venture Partners VII, L.P. and Qiming VII Strategic Investors Fund, L.P. together as Qiming Entities in this annual report.</w:t>
      </w:r>
    </w:p>
    <w:p>
      <w:pPr>
        <w:spacing w:after="0" w:line="1" w:lineRule="exact"/>
        <w:rPr>
          <w:rFonts w:ascii="Times New Roman" w:cs="Times New Roman" w:eastAsia="Times New Roman" w:hAnsi="Times New Roman"/>
          <w:sz w:val="18"/>
          <w:szCs w:val="18"/>
          <w:color w:val="auto"/>
        </w:rPr>
      </w:pPr>
    </w:p>
    <w:p>
      <w:pPr>
        <w:ind w:left="5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of Qiming Venture Partners V, L.P. is Qiming GP V, L.P., a Cayman Islands exempted limited partnership, whose general partner is Qiming Corporate GP V, Ltd., a Cayman Islands limited company which is also the general partner of Qiming Managing Directors Fund V, L.P. The voting and investment power of the shares held by Qiming Venture Partners V, L.P. and Qiming Managing Directors Fund V, L.P. in the company is exercised by Qiming Corporate GP V, Ltd., which is beneficially owned by Messrs. Duane Kuang, Gary Rieschel, Nisa Leung and Robert Headley. Messrs. Duane Kuang, Gary Rieschel, Nisa Leung and Robert Headley disclaim beneficial ownership of such shares, except to the extent of any pecuniary interest therein. The registered address of Qiming Venture Partners V, L.P. and Qiming Managing Directors Fund V, L.P. is P.O. Box 309, Ugland House, Grand Cayman, KY1-1104, Cayman Islands.</w:t>
      </w:r>
    </w:p>
    <w:p>
      <w:pPr>
        <w:spacing w:after="0" w:line="2" w:lineRule="exact"/>
        <w:rPr>
          <w:rFonts w:ascii="Times New Roman" w:cs="Times New Roman" w:eastAsia="Times New Roman" w:hAnsi="Times New Roman"/>
          <w:sz w:val="18"/>
          <w:szCs w:val="18"/>
          <w:color w:val="auto"/>
        </w:rPr>
      </w:pPr>
    </w:p>
    <w:p>
      <w:pPr>
        <w:ind w:left="5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of Qiming Venture Partners VII, L.P. and Qiming VII Strategic Investors Fund, L.P. is Qiming GP VII, LLC, a Cayman Islands limited liability company. The voting and investment power of the shares held by Qiming Venture Partners VII, L.P. and Qiming VII Strategic Investors Fund, L.P. in our company are exercised by Qiming GP VII, LLC, which is beneficially owned by Messrs. Duane Kuang, Gary Rieschel, Nisa Leung and Robert Headley. Messrs. Duane Kuang, Gary Rieschel, Nisa Leung and Robert Headley disclaim beneficial ownership of such shares, except to the extent of any pecuniary interest therein. The registered address of Qiming Venture Partners VII, L.P. and Qiming VII Strategic Investors Fund, L.P. is PO Box 309, Ugland House, Grand Cayman, KY1-1104, Cayman Islands.</w:t>
      </w:r>
    </w:p>
    <w:p>
      <w:pPr>
        <w:spacing w:after="0" w:line="2" w:lineRule="exact"/>
        <w:rPr>
          <w:rFonts w:ascii="Times New Roman" w:cs="Times New Roman" w:eastAsia="Times New Roman" w:hAnsi="Times New Roman"/>
          <w:sz w:val="18"/>
          <w:szCs w:val="18"/>
          <w:color w:val="auto"/>
        </w:rPr>
      </w:pPr>
    </w:p>
    <w:p>
      <w:pPr>
        <w:ind w:left="540" w:right="20" w:hanging="424"/>
        <w:spacing w:after="0" w:line="251" w:lineRule="auto"/>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34,573,269 Class A ordinary shares directly owned by Alliance Ventures B.V., (ii) 10,616,604 Class A ordinary shares beneficially owned by Renault s.a.s., and Renault S.A., and (iii) 18,490,206 Class A ordinary shares beneficially owned by Nissan Motor Co., Ltd., as reported on the Schedule 13D filed by Alliance Ventures B.V., Renault s.a.s., Renault S.A. and Nissan Motor Co., Ltd. on November 4, 2024. Alliance Ventures B.V. has three shareholders: Renault s.a.s., Nissan Motor Co., Ltd. and Mitsubishi Motors Corp. Renault s.a.s. is wholly owned by Renault S.A., which is in turn owned by French state, Nissan Finance Co., Ltd. and certain minority shareholders. Nissan Motor Co., Ltd. is owned by Renault S.A. and certain minority shareholders. Mitsubishi Motors Corp. is owned by Mitsubishi Corporation, Nissan Motor Co., Ltd. and certain minority shareholders. Renault S.A., Nissan Motor Co., Ltd., Mitsubishi Corporation, and Mitsubishi Motors Corporation are public companies. The registered address of Alliance Ventures B.V. is Boeingavenue 275, 1119PD Schiphol-Rijk, the Netherlands.</w:t>
      </w:r>
    </w:p>
    <w:p>
      <w:pPr>
        <w:spacing w:after="0" w:line="194"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To our knowledge, as of the date of this annual report, 114,164,923 of our Class A ordinary shares were held by 69 record holders in the United States. None of our Class B ordinary shares were held by record holders in the United States. The number of beneficial owners of our ADSs in the United States is likely to be much larger than the number of record holders of our Class A ordinary shares in the United States.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not aware of any arrangement that may, at a subsequent date, result in a change of control of our company.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We are incorporated under the laws of the Cayman Islands as an exempted company with limited liability. We are incorporated in the Cayman Islands to take advantage of certain benefits associated with being a Cayman Islands exempted company, such as:</w:t>
      </w:r>
    </w:p>
    <w:p>
      <w:pPr>
        <w:spacing w:after="0" w:line="67" w:lineRule="exact"/>
        <w:rPr>
          <w:sz w:val="20"/>
          <w:szCs w:val="20"/>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stability;</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00"/>
          </w:cols>
          <w:pgMar w:left="320" w:top="482" w:right="47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effective judicial system;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tax system;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exchange control or currency restrictions;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professional and support services.</w:t>
      </w:r>
    </w:p>
    <w:p>
      <w:pPr>
        <w:spacing w:after="0" w:line="225"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However, certain disadvantages accompany incorporation in the Cayman Islands. These disadvantages include but are not limited to:</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Islands has a less developed body of securities laws as compared to the United States and these securities laws provide significantly less protection to investors as compared to the United States;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 companies may not have standing to sue before the federal courts of the United States.</w:t>
      </w:r>
    </w:p>
    <w:p>
      <w:pPr>
        <w:spacing w:after="0" w:line="225"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Our constitutional documents do not contain provisions requiring that disputes, including those arising under the securities laws of the United States, between us, our officers, directors and shareholders, be arbitrated.</w:t>
      </w:r>
    </w:p>
    <w:p>
      <w:pPr>
        <w:spacing w:after="0" w:line="162"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Most of our operations are conducted in China, and a majority of our assets are located in China. A majority of our directors and executive officers are nationals or residents of jurisdictions other than the United States and a substantial portion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 It may also be difficult for you to enforce judgments obtained in U.S. courts based on the civil liability provisions of the U.S. federal securities laws against us and our officers and directors.</w:t>
      </w:r>
    </w:p>
    <w:p>
      <w:pPr>
        <w:spacing w:after="0" w:line="17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have been informed by Travers Thorp Alberga, our counsel as to Cayman Islands law, that there is uncertainty as to whether the courts of the Cayman Islands would (i) recognize or enforce judgments of U.S. courts obtained against us or our directors or officers that are predicated upon the civil liability provisions of the securities laws of the United States or any state in the United States, or (ii) entertain original actions brought in the Cayman Islands against us or our directors or officers that are predicated upon the securities laws of the United States or any state in the United States. We have also been advised by Travers Thorp Alberga that although there is no statutory enforcement in the Cayman Islands of judgments obtained in a U.S. court (and the Cayman Islands are not a party to any treaties for the reciprocal enforcement or recognition of such judgments), the courts of the Cayman Islands will, at common law, recognize and enforce a foreign monetary judgment of a foreign court of competent jurisdiction without</w:t>
      </w:r>
    </w:p>
    <w:p>
      <w:pPr>
        <w:spacing w:after="0" w:line="3"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any re-examination of the merits of the underlying dispute based on the principle that a judgment of a competent foreign court imposes upon the judgment debtor an obligation to pay a liquidated sum for which such judgment has been given, provided such judgment (i) is given by a foreign court of competent jurisdiction, (ii) imposes on the judgment debtor a liability to pay a liquidated sum for which the judgment has been given, (iii) is final and conclusive, (iv) is not in respect of taxes, a fine or a penalty, and (v) was not obtained in a manner and is not of a kind the enforcement of which is contrary to natural justice or the public policy of the Cayman Islands.</w:t>
      </w:r>
    </w:p>
    <w:p>
      <w:pPr>
        <w:spacing w:after="0" w:line="187"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However, the Cayman Islands courts are unlikely to enforce a judgment obtained from the United States courts under civil liability provisions of the securities laws if such judgment is determined by the courts of the Cayman Islands to give rise to obligations to make payments that are penal or punitive in nature. Because the courts of the Cayman Islands have yet to rule on whether such judgments are penal or punitive in nature, it is uncertain whether such civil liability judgments from U.S. courts would be enforceable in the Cayman Islands. A Cayman Islands court may stay enforcement proceedings if concurrent proceedings are being brought elsewhere.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40"/>
          </w:cols>
          <w:pgMar w:left="320" w:top="482" w:right="4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Commerce &amp; Finance Law Offices, our PRC legal counsel, has advised us that there is uncertainty as to whether the courts of mainland China would:</w:t>
      </w:r>
    </w:p>
    <w:p>
      <w:pPr>
        <w:spacing w:after="0" w:line="67" w:lineRule="exact"/>
        <w:rPr>
          <w:sz w:val="20"/>
          <w:szCs w:val="20"/>
          <w:color w:val="auto"/>
        </w:rPr>
      </w:pPr>
    </w:p>
    <w:p>
      <w:pPr>
        <w:ind w:left="1080" w:right="28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16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Commerce &amp; Finance Law Offices has further advised us that the recognition and enforcement of foreign judgments are provided for under the PRC Civil Procedures Law. PRC courts may recognize and enforce foreign judgments in accordance with the requirements of the PRC Civil Procedures Law and other applicable laws and regulations based either on treaties between China and the country where the judgment is made or on principles of reciprocity between jurisdictions. There exists no treaty and few other forms of reciprocity between China and the United States or the Cayman Islands governing the recognition and enforcement of foreign judgments as of the date of this report. In addition, according to the PRC Civil Procedures Law, courts in China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and PRC Law on the Application of Laws to Foreign-related Civil Relations, foreign shareholders may originate actions based on PRC law before a PRC court against a company for disputes relating to contracts or other property interests, and the PRC court may accept a cause of action based on the laws or the parties’ express mutual agreement in contracts choosing PRC courts for dispute resolution if such foreign shareholders can establish sufficient nexus to the PRC for a PRC court to have jurisdiction and meet other procedural requirements, including, among others, that the plaintiff must have a direct interest in the case and that there must be a concrete claim, a factual basis and a cause for the case. The PRC court will determine whether to accept the complaint in accordance with the PRC Civil Procedures Law and PRC Law on the Application of Laws to Foreign-related Civil Relations. The shareholder may participate in the action by itself or entrust any other person or PRC legal counsel to participate on behalf of such shareholder. Foreign citizens and companies will have the same rights as PRC citizens and companies in an action unless the home jurisdiction of such foreign citizens or companies restricts the rights of PRC citizens and companies.</w:t>
      </w:r>
    </w:p>
    <w:p>
      <w:pPr>
        <w:spacing w:after="0" w:line="19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addition, it will be difficult for U.S. shareholders to originate actions against us in China in accordance with PRC laws because we are incorporated under the laws of the Cayman Islands and it will be difficult for U.S. shareholders, by virtue only of holding the ADSs or Class A ordinary shares, to establish a connection to mainland China for a PRC court to have jurisdiction as required under the PRC Civil Procedures Law.</w:t>
      </w:r>
    </w:p>
    <w:p>
      <w:pPr>
        <w:spacing w:after="0" w:line="320" w:lineRule="exact"/>
        <w:rPr>
          <w:sz w:val="20"/>
          <w:szCs w:val="20"/>
          <w:color w:val="auto"/>
        </w:rPr>
      </w:pPr>
    </w:p>
    <w:p>
      <w:pPr>
        <w:ind w:left="560" w:right="1640" w:hanging="444"/>
        <w:spacing w:after="0" w:line="412" w:lineRule="auto"/>
        <w:tabs>
          <w:tab w:leader="none" w:pos="552"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DISCLOSURE OF A REGISTRANT’S ACTION TO RECOVER ERRONEOUSLY AWARDED COMPENSATION </w:t>
      </w: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MAJOR SHAREHOLDERS AND RELATED PARTY TRANSACTIONS</w:t>
      </w:r>
    </w:p>
    <w:p>
      <w:pPr>
        <w:spacing w:after="0" w:line="131" w:lineRule="exact"/>
        <w:rPr>
          <w:sz w:val="20"/>
          <w:szCs w:val="20"/>
          <w:color w:val="auto"/>
        </w:rPr>
      </w:pPr>
    </w:p>
    <w:p>
      <w:pPr>
        <w:ind w:left="540" w:hanging="424"/>
        <w:spacing w:after="0"/>
        <w:tabs>
          <w:tab w:leader="none" w:pos="54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MAJOR SHAREHOLDERS</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 “Item 6. Directors, Senior Management and Employees—E. Share Ownership.”</w:t>
      </w:r>
    </w:p>
    <w:p>
      <w:pPr>
        <w:spacing w:after="0" w:line="369"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Shareholders Agreement</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Other than provisions with respect to registration rights, the description of which is set forth below, all provisions and rights under our sixth amended and restated shareholders agreement terminated upon consummation of our initial public offering.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20"/>
          </w:cols>
          <w:pgMar w:left="320" w:top="482" w:right="4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Demand Registration Rights. </w:t>
      </w:r>
      <w:r>
        <w:rPr>
          <w:rFonts w:ascii="Times New Roman" w:cs="Times New Roman" w:eastAsia="Times New Roman" w:hAnsi="Times New Roman"/>
          <w:sz w:val="18"/>
          <w:szCs w:val="18"/>
          <w:color w:val="auto"/>
        </w:rPr>
        <w:t>At any time or from time to time following six months after the closing of our initial public offering, holders of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least 30% of the voting power of the then outstanding registrable securities may request in writing that we effect the registration of the registrable securities under the Securities Act where the anticipated aggregate offering price is in excess of US$15.0 million. Upon such a request, we shall</w:t>
      </w:r>
    </w:p>
    <w:p>
      <w:pPr>
        <w:spacing w:after="0" w:line="1" w:lineRule="exact"/>
        <w:rPr>
          <w:sz w:val="20"/>
          <w:szCs w:val="20"/>
          <w:color w:val="auto"/>
        </w:rPr>
      </w:pPr>
    </w:p>
    <w:p>
      <w:pPr>
        <w:jc w:val="both"/>
        <w:ind w:left="120" w:right="40" w:hanging="4"/>
        <w:spacing w:after="0" w:line="253" w:lineRule="auto"/>
        <w:tabs>
          <w:tab w:leader="none" w:pos="33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give written notice of the proposed registration to all other holders of registrable securities and (ii) as soon as practicable, use commercially reasonable efforts to cause the registrable securities specified in the request, together with any registrable securities of any holder who request in writing to join such registration within 15 days after our delivery of written notice, to be registered and/or qualified for sale and distribution in such jurisdiction as the holder may request. We are not obligated to effect more than a total of two demand registrations.</w:t>
      </w:r>
    </w:p>
    <w:p>
      <w:pPr>
        <w:spacing w:after="0" w:line="187"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Piggyback Registration Rights. </w:t>
      </w:r>
      <w:r>
        <w:rPr>
          <w:rFonts w:ascii="Times New Roman" w:cs="Times New Roman" w:eastAsia="Times New Roman" w:hAnsi="Times New Roman"/>
          <w:sz w:val="18"/>
          <w:szCs w:val="18"/>
          <w:color w:val="auto"/>
        </w:rPr>
        <w:t>If we propose to register for our own account any of our securities, or for the account of any holder of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of such holder’s securities, in connection with the public offering of such securities, we shall give each holder of the registrable securities a written notice of such registration, and, upon the written request of any holder given within 15 days after the delivery of such notice, we shall use commercially reasonable efforts to include in such registration any registrable securities thereby requested to be registered by such holder.</w:t>
      </w:r>
    </w:p>
    <w:p>
      <w:pPr>
        <w:spacing w:after="0" w:line="180"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Form F-3 Registration Rights. </w:t>
      </w:r>
      <w:r>
        <w:rPr>
          <w:rFonts w:ascii="Times New Roman" w:cs="Times New Roman" w:eastAsia="Times New Roman" w:hAnsi="Times New Roman"/>
          <w:sz w:val="18"/>
          <w:szCs w:val="18"/>
          <w:color w:val="auto"/>
        </w:rPr>
        <w:t>If we are eligible to use a Form F-3 registration statement, holders of at least 30% of our voting power of the then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registrable securities may request us to file a registration on Form F-3. Upon such a request, we shall (i) promptly give written notice of the proposed registration to all other holders of registrable securities and (ii) as soon as practicable, use commercially reasonable efforts to cause the registrable securities specified in the request, together with any registrable securities of any holder who request in writing to join such registration within 15 days after our delivery of written notice, to be registered and/or qualified for sale and distribution in such jurisdiction as the holder may request. We are not obligated to effect more than two registrations within any 12-month period.</w:t>
      </w:r>
    </w:p>
    <w:p>
      <w:pPr>
        <w:spacing w:after="0" w:line="182" w:lineRule="exact"/>
        <w:rPr>
          <w:sz w:val="20"/>
          <w:szCs w:val="20"/>
          <w:color w:val="auto"/>
        </w:rPr>
      </w:pPr>
    </w:p>
    <w:p>
      <w:pPr>
        <w:ind w:left="120" w:right="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Expenses of Registration. </w:t>
      </w:r>
      <w:r>
        <w:rPr>
          <w:rFonts w:ascii="Times New Roman" w:cs="Times New Roman" w:eastAsia="Times New Roman" w:hAnsi="Times New Roman"/>
          <w:sz w:val="18"/>
          <w:szCs w:val="18"/>
          <w:color w:val="auto"/>
        </w:rPr>
        <w:t>We will bear all registration expenses, other than underwriting discounts and selling commissions, applicable to the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registrable securities specified in the sixth amended and restated shareholders agreement.</w:t>
      </w:r>
    </w:p>
    <w:p>
      <w:pPr>
        <w:spacing w:after="0" w:line="158"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Termination of Obligations. </w:t>
      </w:r>
      <w:r>
        <w:rPr>
          <w:rFonts w:ascii="Times New Roman" w:cs="Times New Roman" w:eastAsia="Times New Roman" w:hAnsi="Times New Roman"/>
          <w:sz w:val="18"/>
          <w:szCs w:val="18"/>
          <w:color w:val="auto"/>
        </w:rPr>
        <w:t>The registration rights set forth above shall terminate on the earlier of (i) five years from the date of the closing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initial public offering, (ii) with respect to any holder of the registrable securities, the date when the holder of such registrable securities may sell all of such holder’s registrable securities under Rule 144 of the Securities Act within a 90-day period and (iii) the closing of a deemed liquidation event as defined in the sixth amended and restated shareholders agreement.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Private Placements Concurrent with Initial Public Offering</w:t>
      </w:r>
    </w:p>
    <w:p>
      <w:pPr>
        <w:spacing w:after="0" w:line="121" w:lineRule="exact"/>
        <w:rPr>
          <w:sz w:val="20"/>
          <w:szCs w:val="20"/>
          <w:color w:val="auto"/>
        </w:rPr>
      </w:pPr>
    </w:p>
    <w:p>
      <w:pPr>
        <w:ind w:left="120" w:right="40" w:firstLine="440"/>
        <w:spacing w:after="0" w:line="276" w:lineRule="auto"/>
        <w:rPr>
          <w:sz w:val="20"/>
          <w:szCs w:val="20"/>
          <w:color w:val="auto"/>
        </w:rPr>
      </w:pPr>
      <w:r>
        <w:rPr>
          <w:rFonts w:ascii="Times New Roman" w:cs="Times New Roman" w:eastAsia="Times New Roman" w:hAnsi="Times New Roman"/>
          <w:sz w:val="17"/>
          <w:szCs w:val="17"/>
          <w:color w:val="auto"/>
        </w:rPr>
        <w:t>Concurrently with the completion of our initial public offering, certain existing shareholders (and their affiliates) purchased Class A ordinary shares from us through a private placement pursuant to an exemption from registration with the SEC under Regulation S of the Securities Act. Including</w:t>
      </w:r>
    </w:p>
    <w:p>
      <w:pPr>
        <w:spacing w:after="0" w:line="1" w:lineRule="exact"/>
        <w:rPr>
          <w:sz w:val="20"/>
          <w:szCs w:val="20"/>
          <w:color w:val="auto"/>
        </w:rPr>
      </w:pPr>
    </w:p>
    <w:p>
      <w:pPr>
        <w:ind w:left="120" w:right="40" w:hanging="4"/>
        <w:spacing w:after="0" w:line="252" w:lineRule="auto"/>
        <w:tabs>
          <w:tab w:leader="none" w:pos="33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US$97 million by Alliance Ventures, the venture capital fund of the Renault Nissan Mitsubishi Alliance, and (ii) US$20 million by Guangqizhixing Holdings Limited and Gac Capital International Ltd. The concurrent private placements were each at a price per share equal to the initial public offering price adjusted to reflect the ADS-to-Class A ordinary share ratio. Pre-IPO shareholders holding at least 95% of our total outstanding share capital have agreed with the underwriters in our initial public offering not to, directly or indirectly, sell, transfer or dispose of any ADSs, ordinary shares or similar securities for a period of 180 days (or 12 months for Guangqizhixing Holdings Limited for the ordinary shares subscribed in the concurrent private placement) after October 24, 2024, the date of the prospectus used in the initial public offering, without the prior written consent of the representatives of the underwriters of the initial public offering, subject to certain exceptions.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“Item 6. Directors, Senior Management and Employees—B. Compensation—Employment Agreements and Indemnification Agreements.”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20"/>
          </w:cols>
          <w:pgMar w:left="320" w:top="482" w:right="4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Nominating and Support Agreement</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entered into a nominating and support agreement with Alliance Ventures, B.V., a shareholder of our Series C-1 Preferred Shares, Dr. Tony Xu Han, our chairman and chief executive officer, and Dr. Yan Li, our director and chief technology officer, on July 26, 2024, which became effective upon the completion of our initial public offering. The nominating and support agreement provides for the special right for Alliance Ventures, B.V. to appoint, remove, and replace two directors. In the event Alliance Ventures, B.V. sells our shares equal to between 1% and 2% of our then current fully diluted shares, it shall lose the right to nominate one director, and in the event Alliance Ventures, B.V. sells our shares equal to 2% or more of our then current fully diluted shares, it shall lose all the right to nominate directors. Dr. Tony Xu Han and Dr. Yan Li have agreed to cause the Founder Entities to exercise their rights to appoint the Founder Entity Appointed Directors under our eighth amended and restated memorandum and articles of association to elect Alliance Ventures, B.V.’s directors to our board.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 Incentive Plan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“Item 6. Directors, Senior Management and Employees—B. Compensation—Share Incentive Plan.”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Yutong</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Transactions with Yutong Bus Co., Ltd. </w:t>
      </w:r>
      <w:r>
        <w:rPr>
          <w:rFonts w:ascii="Times New Roman" w:cs="Times New Roman" w:eastAsia="Times New Roman" w:hAnsi="Times New Roman"/>
          <w:sz w:val="18"/>
          <w:szCs w:val="18"/>
          <w:color w:val="auto"/>
        </w:rPr>
        <w:t>In 2022, 2023 and 2024, we sold goods to Yutong Bus Co., Ltd., an affiliate of our shareholder, the Yutong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with an aggregate amount of RMB43.7 million, RMB5.7 million and nil, respectively. In 2022, 2023 and 2024, we also provided services to Yutong Bus Co., Ltd. with an aggregate consideration of RMB833 thousand, RMB23.4 million and RMB2.5 million (US$0.3 million), respectively. In 2022, 2023 and 2024, we purchased goods from Yutong Bus Co., Ltd. with an aggregate amount of RMB93.4 million, RMB18.4 million and RMB67.2 million (US$9.2 million), respectively.</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Transactions with Zhengzhou Yutong Heavy Industries Co., Ltd. </w:t>
      </w:r>
      <w:r>
        <w:rPr>
          <w:rFonts w:ascii="Times New Roman" w:cs="Times New Roman" w:eastAsia="Times New Roman" w:hAnsi="Times New Roman"/>
          <w:sz w:val="18"/>
          <w:szCs w:val="18"/>
          <w:color w:val="auto"/>
        </w:rPr>
        <w:t>In 2022, 2023 and 2024, we purchased goods from Zhengzhou Yutong Heavy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Industries Co., Ltd., an affiliate of the Yutong entities, with an aggregate amount of RMB75.4 million, nil and RMB3.0 million (US$0.4 million), respectively. In 2024, we provided services to Zhengzhou Yutong Heavy Industries Co., Ltd. with an aggregate amount of RMB189 thousand (US$25.9 thousand).</w:t>
      </w:r>
    </w:p>
    <w:p>
      <w:pPr>
        <w:spacing w:after="0" w:line="180" w:lineRule="exact"/>
        <w:rPr>
          <w:sz w:val="20"/>
          <w:szCs w:val="20"/>
          <w:color w:val="auto"/>
        </w:rPr>
      </w:pPr>
    </w:p>
    <w:p>
      <w:pPr>
        <w:jc w:val="both"/>
        <w:ind w:left="120" w:right="1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Transactions with Zhengzhou Yutong Mining Equipment Co., Ltd. </w:t>
      </w:r>
      <w:r>
        <w:rPr>
          <w:rFonts w:ascii="Times New Roman" w:cs="Times New Roman" w:eastAsia="Times New Roman" w:hAnsi="Times New Roman"/>
          <w:sz w:val="18"/>
          <w:szCs w:val="18"/>
          <w:color w:val="auto"/>
        </w:rPr>
        <w:t>In 2022, we sold goods to Zhengzhou Yutong Mining Equipment Co., Ltd.,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 of the Yutong entities, with an aggregate amount of RMB331 thousand.</w:t>
      </w:r>
    </w:p>
    <w:p>
      <w:pPr>
        <w:spacing w:after="0" w:line="158" w:lineRule="exact"/>
        <w:rPr>
          <w:sz w:val="20"/>
          <w:szCs w:val="20"/>
          <w:color w:val="auto"/>
        </w:rPr>
      </w:pPr>
    </w:p>
    <w:p>
      <w:pPr>
        <w:jc w:val="both"/>
        <w:ind w:left="120" w:righ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Transactions with Ourland Environmental Technical Ltd. </w:t>
      </w:r>
      <w:r>
        <w:rPr>
          <w:rFonts w:ascii="Times New Roman" w:cs="Times New Roman" w:eastAsia="Times New Roman" w:hAnsi="Times New Roman"/>
          <w:sz w:val="18"/>
          <w:szCs w:val="18"/>
          <w:color w:val="auto"/>
        </w:rPr>
        <w:t>In 2023 and 2024, we provided services to Ourland Environmental Technical Ltd.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aggregate amount of nil and RMB11.1 million (US$1.5 million). Additionally, in 2023 and 2024, we purchased goods from Ourland Environmental Technical Ltd. in an aggregate amount of nil and RMB0.8 million (US$0.1 million), respectively.</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Alliance</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2022, 2023 and 2024, we provided services to Alliance Automotive R&amp;D (Shanghai) Co., Ltd., an affiliate of our shareholder, Alliance Ventures B.V., with an aggregate amount of RMB7.6 million, RMB9.2 million and RMB7.9 million (US$1.1 million), respectively. In 2022, 2023 and 2024, we sold goods to Alliance Automotive R&amp;D (Shanghai) Co., Ltd. with an aggregate amount of RMB1.3 million, RMB4.5 million and RMB2.8 million (US$0.4 million), respectively.</w:t>
      </w:r>
    </w:p>
    <w:p>
      <w:pPr>
        <w:spacing w:after="0" w:line="180"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In 2022, 2023, and 2024, we provided services to Nissan Mobility Service Co., Ltd with an aggregate amount of nil, RMB5.7 million and RMB7.1 million (US$1.0 million), respectively.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00"/>
          </w:cols>
          <w:pgMar w:left="320" w:top="482" w:right="47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Guangzhou Yuji</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Guangzhou Yuji Technology Co., Ltd. is an enterprise in which a substantial interest in the voting power is owned by Mr. Ming Han, a sibling of Dr. Tony Xu Han, our chairman and chief executive officer. Neither Dr. Tony Xu Han nor our company holds any economic or voting interest in Guangzhou Yuji Technology Co., Ltd. Guangzhou Yuji Technology Co., Ltd. is not a shareholder of ours. None of the directors or officers of Guangzhou Yuji Technology Co., Ltd. is a director or officer of ours, and none of our directors or officers is a director or officer of Guangzhou Yuji Technology Co., Ltd. In 2022, 2023 and 2024, Guangzhou Yuji Technology Co., Ltd. provided surveying and mapping services to our company in the amount of RMB30.3 million, RMB111.5 million and RMB90.1 million (US$12.3 million), respectively. In 2022, 2023 and 2024, we provided services to Guangzhou Yuji Technology Co., Ltd. in the amount of RMB603 thousand, nil and RMB528 thousand (US$72.3 thousand), respectively. In 2022, 2023 and 2024, we had payments made on behalf of customers to Guangzhou Yuji Technology Co., Ltd. in the amount of nil, RMB34.8 million and RMB65.2 million (US$8.9 million), respectively.</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With a Key Management Personnel</w:t>
      </w:r>
    </w:p>
    <w:p>
      <w:pPr>
        <w:spacing w:after="0" w:line="121" w:lineRule="exact"/>
        <w:rPr>
          <w:sz w:val="20"/>
          <w:szCs w:val="20"/>
          <w:color w:val="auto"/>
        </w:rPr>
      </w:pPr>
    </w:p>
    <w:p>
      <w:pPr>
        <w:jc w:val="both"/>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As of June 30, 2024, we recorded other receivables from a key management personnel of RMB1.4 million (US$0.2 million), and there were no such transactions for the years ended December 31, 2022 and 2023. We fully collected the receivables in the latter half of 2024.</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RSU Settlement with Management Personnel</w:t>
      </w:r>
    </w:p>
    <w:p>
      <w:pPr>
        <w:spacing w:after="0" w:line="121"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July 2024, we settled 125,994,150 vested restricted share units held by certain management personnel. In connection with the settlement, we withheld 45,449,991 shares that otherwise would be issued to the relevant management personnel under these vested restricted share units to fund the withholding tax payable by our company arising from the settlement of these restricted share units.</w:t>
      </w:r>
    </w:p>
    <w:p>
      <w:pPr>
        <w:spacing w:after="0" w:line="320" w:lineRule="exact"/>
        <w:rPr>
          <w:sz w:val="20"/>
          <w:szCs w:val="20"/>
          <w:color w:val="auto"/>
        </w:rPr>
      </w:pPr>
    </w:p>
    <w:p>
      <w:pPr>
        <w:ind w:left="560" w:right="7060" w:hanging="444"/>
        <w:spacing w:after="0" w:line="412" w:lineRule="auto"/>
        <w:tabs>
          <w:tab w:leader="none" w:pos="552"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INTERESTS OF EXPERTS AND COUNSEL </w:t>
      </w: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FINANCIAL INFORMATION</w:t>
      </w:r>
    </w:p>
    <w:p>
      <w:pPr>
        <w:spacing w:after="0" w:line="131" w:lineRule="exact"/>
        <w:rPr>
          <w:sz w:val="20"/>
          <w:szCs w:val="20"/>
          <w:color w:val="auto"/>
        </w:rPr>
      </w:pPr>
    </w:p>
    <w:p>
      <w:pPr>
        <w:jc w:val="both"/>
        <w:ind w:left="560" w:right="4340" w:hanging="444"/>
        <w:spacing w:after="0" w:line="450" w:lineRule="auto"/>
        <w:tabs>
          <w:tab w:leader="none" w:pos="552" w:val="left"/>
        </w:tabs>
        <w:numPr>
          <w:ilvl w:val="0"/>
          <w:numId w:val="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CONSOLIDATED STATEMENTS AND OTHER FINANCIAL INFORMATION </w:t>
      </w:r>
      <w:r>
        <w:rPr>
          <w:rFonts w:ascii="Times New Roman" w:cs="Times New Roman" w:eastAsia="Times New Roman" w:hAnsi="Times New Roman"/>
          <w:sz w:val="17"/>
          <w:szCs w:val="17"/>
          <w:color w:val="auto"/>
        </w:rPr>
        <w:t>We have appended consolidated financial statements filed as part of this annual report.</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are currently not a party to any material legal or administrative proceedings. We are from time to time involved in actions, claims, suits and other proceedings incidental to our business, including those arising out of contractual disputes, competition, intellectual property matters, and employment-related matters. Regardless of the outcome, litigation or any other legal or administrative proceeding, can have an adverse impact on us and can result in substantial cost and diversion of our resources, including our management’s time and attention.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Our board of directors has discretion on whether to distribute dividends, subject to certain requirements of Cayman Islands law. In addition, our shareholders may by ordinary resolution declare a dividend, but no dividend may exceed the amount recommended by our board of directors. In either case, all dividends are subject to certain restrictions under Cayman Islands law, namely that our company may only pay dividends out of profits or share premium account, and provided always that in no circumstances may a dividend be paid if this would result in our company being unable to pay its debts as they fall due in the ordinary course of business. Even if our board of directors decide to pay or recommend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8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have not previously declared or paid cash dividends, and we have no plan to declare or pay any dividends in the near future on our shares or ADSs. We currently intend to retain most, if not all, of our available funds and any future earnings to operate and expand our business.</w:t>
      </w:r>
    </w:p>
    <w:p>
      <w:pPr>
        <w:spacing w:after="0" w:line="162" w:lineRule="exact"/>
        <w:rPr>
          <w:sz w:val="20"/>
          <w:szCs w:val="20"/>
          <w:color w:val="auto"/>
        </w:rPr>
      </w:pPr>
    </w:p>
    <w:p>
      <w:pPr>
        <w:ind w:left="120" w:right="300" w:firstLine="440"/>
        <w:spacing w:after="0" w:line="289" w:lineRule="auto"/>
        <w:rPr>
          <w:sz w:val="20"/>
          <w:szCs w:val="20"/>
          <w:color w:val="auto"/>
        </w:rPr>
      </w:pPr>
      <w:r>
        <w:rPr>
          <w:rFonts w:ascii="Times New Roman" w:cs="Times New Roman" w:eastAsia="Times New Roman" w:hAnsi="Times New Roman"/>
          <w:sz w:val="17"/>
          <w:szCs w:val="17"/>
          <w:color w:val="auto"/>
        </w:rPr>
        <w:t>We are a holding company incorporated in the Cayman Islands. We may rely on dividends from our subsidiaries in China for our cash requirements, including any payment of dividends to our shareholders. PRC regulations may restrict the ability of our mainland China subsidiaries to pay dividends to us. See “Item 4. Information on the Company—B. Business Overview—Regulation—Regulations Relating to Foreign Exchange.”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40"/>
          </w:cols>
          <w:pgMar w:left="320" w:top="482" w:right="4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we pay any dividends on our ordinary shares, we will pay those dividends which are payable in respect of the underlying Class A ordinary shares represented by the ADSs to the depositary, as the registered holder of such Class A ordinary shares, and the depositary then will pay such amounts to the ADS holders in proportion to the underlying Class A ordinary shares represented by the ADSs held by such ADS holders, subject to the terms of the deposit agreement, including the fees and expenses payable thereunder. See “Item 12. Description of Securities Other than Equity Securities —D. American Depositary Shares.” Cash dividends on our ordinary shares, if any, will be paid in U.S. dollars.</w:t>
      </w:r>
    </w:p>
    <w:p>
      <w:pPr>
        <w:spacing w:after="0" w:line="328" w:lineRule="exact"/>
        <w:rPr>
          <w:sz w:val="20"/>
          <w:szCs w:val="20"/>
          <w:color w:val="auto"/>
        </w:rPr>
      </w:pPr>
    </w:p>
    <w:p>
      <w:pPr>
        <w:ind w:left="540" w:hanging="424"/>
        <w:spacing w:after="0"/>
        <w:tabs>
          <w:tab w:leader="none" w:pos="54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CHANGES</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not experienced any significant changes since the date of our audited consolidated financial statements included in this annual report.</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THE OFFER AND LISTING</w:t>
      </w:r>
    </w:p>
    <w:p>
      <w:pPr>
        <w:spacing w:after="0" w:line="131" w:lineRule="exact"/>
        <w:rPr>
          <w:sz w:val="20"/>
          <w:szCs w:val="20"/>
          <w:color w:val="auto"/>
        </w:rPr>
      </w:pPr>
    </w:p>
    <w:p>
      <w:pPr>
        <w:ind w:left="560" w:right="7520" w:hanging="444"/>
        <w:spacing w:after="0" w:line="412" w:lineRule="auto"/>
        <w:tabs>
          <w:tab w:leader="none" w:pos="552"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OFFERING AND LISTING DETAILS. </w:t>
      </w:r>
      <w:r>
        <w:rPr>
          <w:rFonts w:ascii="Times New Roman" w:cs="Times New Roman" w:eastAsia="Times New Roman" w:hAnsi="Times New Roman"/>
          <w:sz w:val="18"/>
          <w:szCs w:val="18"/>
          <w:color w:val="auto"/>
        </w:rPr>
        <w:t>See “—C. Markets.”</w:t>
      </w:r>
    </w:p>
    <w:p>
      <w:pPr>
        <w:spacing w:after="0" w:line="193" w:lineRule="exact"/>
        <w:rPr>
          <w:rFonts w:ascii="Times New Roman" w:cs="Times New Roman" w:eastAsia="Times New Roman" w:hAnsi="Times New Roman"/>
          <w:sz w:val="18"/>
          <w:szCs w:val="18"/>
          <w:b w:val="1"/>
          <w:bCs w:val="1"/>
          <w:color w:val="auto"/>
        </w:rPr>
      </w:pPr>
    </w:p>
    <w:p>
      <w:pPr>
        <w:ind w:left="560" w:right="8420" w:hanging="444"/>
        <w:spacing w:after="0" w:line="450" w:lineRule="auto"/>
        <w:tabs>
          <w:tab w:leader="none" w:pos="552" w:val="left"/>
        </w:tabs>
        <w:numPr>
          <w:ilvl w:val="0"/>
          <w:numId w:val="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PLAN OF DISTRIBUTION </w:t>
      </w:r>
      <w:r>
        <w:rPr>
          <w:rFonts w:ascii="Times New Roman" w:cs="Times New Roman" w:eastAsia="Times New Roman" w:hAnsi="Times New Roman"/>
          <w:sz w:val="17"/>
          <w:szCs w:val="17"/>
          <w:color w:val="auto"/>
        </w:rPr>
        <w:t>Not applicable.</w:t>
      </w:r>
    </w:p>
    <w:p>
      <w:pPr>
        <w:spacing w:after="0" w:line="171" w:lineRule="exact"/>
        <w:rPr>
          <w:rFonts w:ascii="Times New Roman" w:cs="Times New Roman" w:eastAsia="Times New Roman" w:hAnsi="Times New Roman"/>
          <w:sz w:val="17"/>
          <w:szCs w:val="17"/>
          <w:b w:val="1"/>
          <w:bCs w:val="1"/>
          <w:color w:val="auto"/>
        </w:rPr>
      </w:pPr>
    </w:p>
    <w:p>
      <w:pPr>
        <w:ind w:left="540" w:hanging="424"/>
        <w:spacing w:after="0"/>
        <w:tabs>
          <w:tab w:leader="none" w:pos="54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ADSs, each representing three of our Class A ordinary shares, have been listed on the Nasdaq Global Select Market under the symbol “WRD” since October 25, 2024.</w:t>
      </w:r>
    </w:p>
    <w:p>
      <w:pPr>
        <w:spacing w:after="0" w:line="306" w:lineRule="exact"/>
        <w:rPr>
          <w:sz w:val="20"/>
          <w:szCs w:val="20"/>
          <w:color w:val="auto"/>
        </w:rPr>
      </w:pPr>
    </w:p>
    <w:p>
      <w:pPr>
        <w:ind w:left="560" w:right="8220" w:hanging="444"/>
        <w:spacing w:after="0" w:line="412" w:lineRule="auto"/>
        <w:tabs>
          <w:tab w:leader="none" w:pos="552"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SELLING SHAREHOLDERS </w:t>
      </w:r>
      <w:r>
        <w:rPr>
          <w:rFonts w:ascii="Times New Roman" w:cs="Times New Roman" w:eastAsia="Times New Roman" w:hAnsi="Times New Roman"/>
          <w:sz w:val="18"/>
          <w:szCs w:val="18"/>
          <w:color w:val="auto"/>
        </w:rPr>
        <w:t>Not applicable.</w:t>
      </w:r>
    </w:p>
    <w:p>
      <w:pPr>
        <w:spacing w:after="0" w:line="193" w:lineRule="exact"/>
        <w:rPr>
          <w:rFonts w:ascii="Times New Roman" w:cs="Times New Roman" w:eastAsia="Times New Roman" w:hAnsi="Times New Roman"/>
          <w:sz w:val="18"/>
          <w:szCs w:val="18"/>
          <w:b w:val="1"/>
          <w:bCs w:val="1"/>
          <w:color w:val="auto"/>
        </w:rPr>
      </w:pPr>
    </w:p>
    <w:p>
      <w:pPr>
        <w:ind w:left="560" w:right="9460" w:hanging="444"/>
        <w:spacing w:after="0" w:line="450" w:lineRule="auto"/>
        <w:tabs>
          <w:tab w:leader="none" w:pos="552" w:val="left"/>
        </w:tabs>
        <w:numPr>
          <w:ilvl w:val="0"/>
          <w:numId w:val="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DILUTION </w:t>
      </w:r>
      <w:r>
        <w:rPr>
          <w:rFonts w:ascii="Times New Roman" w:cs="Times New Roman" w:eastAsia="Times New Roman" w:hAnsi="Times New Roman"/>
          <w:sz w:val="17"/>
          <w:szCs w:val="17"/>
          <w:color w:val="auto"/>
        </w:rPr>
        <w:t>Not applicable.</w:t>
      </w:r>
    </w:p>
    <w:p>
      <w:pPr>
        <w:spacing w:after="0" w:line="171" w:lineRule="exact"/>
        <w:rPr>
          <w:rFonts w:ascii="Times New Roman" w:cs="Times New Roman" w:eastAsia="Times New Roman" w:hAnsi="Times New Roman"/>
          <w:sz w:val="17"/>
          <w:szCs w:val="17"/>
          <w:b w:val="1"/>
          <w:bCs w:val="1"/>
          <w:color w:val="auto"/>
        </w:rPr>
      </w:pPr>
    </w:p>
    <w:p>
      <w:pPr>
        <w:ind w:left="560" w:right="8360" w:hanging="444"/>
        <w:spacing w:after="0" w:line="412" w:lineRule="auto"/>
        <w:tabs>
          <w:tab w:leader="none" w:pos="552"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OF THE ISSUE </w:t>
      </w: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ADDITIONAL INFORMATION</w:t>
      </w:r>
    </w:p>
    <w:p>
      <w:pPr>
        <w:spacing w:after="0" w:line="131" w:lineRule="exact"/>
        <w:rPr>
          <w:sz w:val="20"/>
          <w:szCs w:val="20"/>
          <w:color w:val="auto"/>
        </w:rPr>
      </w:pPr>
    </w:p>
    <w:p>
      <w:pPr>
        <w:ind w:left="560" w:right="9120" w:hanging="444"/>
        <w:spacing w:after="0" w:line="450" w:lineRule="auto"/>
        <w:tabs>
          <w:tab w:leader="none" w:pos="552" w:val="left"/>
        </w:tabs>
        <w:numPr>
          <w:ilvl w:val="0"/>
          <w:numId w:val="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 CAPITAL </w:t>
      </w:r>
      <w:r>
        <w:rPr>
          <w:rFonts w:ascii="Times New Roman" w:cs="Times New Roman" w:eastAsia="Times New Roman" w:hAnsi="Times New Roman"/>
          <w:sz w:val="17"/>
          <w:szCs w:val="17"/>
          <w:color w:val="auto"/>
        </w:rPr>
        <w:t>Not applicable.</w:t>
      </w:r>
    </w:p>
    <w:p>
      <w:pPr>
        <w:spacing w:after="0" w:line="171" w:lineRule="exact"/>
        <w:rPr>
          <w:rFonts w:ascii="Times New Roman" w:cs="Times New Roman" w:eastAsia="Times New Roman" w:hAnsi="Times New Roman"/>
          <w:sz w:val="17"/>
          <w:szCs w:val="17"/>
          <w:b w:val="1"/>
          <w:bCs w:val="1"/>
          <w:color w:val="auto"/>
        </w:rPr>
      </w:pPr>
    </w:p>
    <w:p>
      <w:pPr>
        <w:ind w:left="540" w:hanging="424"/>
        <w:spacing w:after="0"/>
        <w:tabs>
          <w:tab w:leader="none" w:pos="54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MEMORANDUM AND ARTICLES OF ASSOCIATION</w:t>
      </w:r>
    </w:p>
    <w:p>
      <w:pPr>
        <w:spacing w:after="0" w:line="121"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The following are summaries of material provisions of our currently effective eighth amended and restated memorandum and articles of association, as well as the Companies Act (as revised) insofar as they relate to the material terms of our ordinary shares.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320" w:top="482" w:right="4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right="3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Objects of Our Company</w:t>
      </w:r>
      <w:r>
        <w:rPr>
          <w:rFonts w:ascii="Times New Roman" w:cs="Times New Roman" w:eastAsia="Times New Roman" w:hAnsi="Times New Roman"/>
          <w:sz w:val="18"/>
          <w:szCs w:val="18"/>
          <w:color w:val="auto"/>
        </w:rPr>
        <w:t>. Under our memorandum and articles of association, the objects of our company are unrestricted and we have the full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power and authority to carry out any object not prohibited by the Cayman Islands law.</w:t>
      </w:r>
    </w:p>
    <w:p>
      <w:pPr>
        <w:spacing w:after="0" w:line="15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Ordinary Shares</w:t>
      </w:r>
      <w:r>
        <w:rPr>
          <w:rFonts w:ascii="Times New Roman" w:cs="Times New Roman" w:eastAsia="Times New Roman" w:hAnsi="Times New Roman"/>
          <w:sz w:val="18"/>
          <w:szCs w:val="18"/>
          <w:color w:val="auto"/>
        </w:rPr>
        <w:t>. Our ordinary shares are divided into Class A ordinary shares and Class B ordinary shares. Holders of our Class A ordinary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Class B ordinary shares will have the same rights except for voting and conversion rights. Our ordinary shares are issued in registered form and are issued when registered in our register of members (shareholders). We may not issue shares to bearer. Our shareholders who are nonresidents of the Cayman Islands may freely hold and vote their shares.</w:t>
      </w:r>
    </w:p>
    <w:p>
      <w:pPr>
        <w:spacing w:after="0" w:line="180"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Conversion. </w:t>
      </w:r>
      <w:r>
        <w:rPr>
          <w:rFonts w:ascii="Times New Roman" w:cs="Times New Roman" w:eastAsia="Times New Roman" w:hAnsi="Times New Roman"/>
          <w:sz w:val="18"/>
          <w:szCs w:val="18"/>
          <w:color w:val="auto"/>
        </w:rPr>
        <w:t>Class B ordinary shares may be converted into the same number of Class A ordinary shares by the holders thereof at any time, while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 ordinary shares cannot be converted into Class B ordinary shares under any circumstances.</w:t>
      </w:r>
    </w:p>
    <w:p>
      <w:pPr>
        <w:spacing w:after="0" w:line="158"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The holders of our ordinary shares are entitled to such dividends as may be declared by our board of directors or declared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by ordinary resolution (provided that no dividend may be declared by our shareholders which exceeds the amount recommended by our directors). Our memorandum and articles of association provide that dividends may be declared and paid out of the funds of our company lawfully available therefor.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spacing w:after="0" w:line="18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Holders of Class A ordinary shares and Class B ordinary shares shall, at all times, vote together as one class on all matters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submitted to a vote by the members at any general meeting of the Company. Each Class A ordinary share shall be entitled to one vote on all matters subject to the vote at general meetings of our company, and each Class B ordinary share shall be entitled to 40 votes on all matters subject to the vote at general meetings of our company. Voting at any meeting of shareholders is by poll.</w:t>
      </w:r>
    </w:p>
    <w:p>
      <w:pPr>
        <w:spacing w:after="0" w:line="18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attaching to the outstanding ordinary shares cast at a meeting. Both ordinary resolutions and special resolutions may also be passed by a unanimous written resolution signed by all members entitled to vote. A special resolution will be required for important matters such as a change of name or making changes to our memorandum and articles of association. Our shareholders may, among other things, sub-divide or consolidate all or any of our company’s share capital by ordinary resolution.</w:t>
      </w:r>
    </w:p>
    <w:p>
      <w:pPr>
        <w:spacing w:after="0" w:line="18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General Meetings of Shareholders</w:t>
      </w:r>
      <w:r>
        <w:rPr>
          <w:rFonts w:ascii="Times New Roman" w:cs="Times New Roman" w:eastAsia="Times New Roman" w:hAnsi="Times New Roman"/>
          <w:sz w:val="18"/>
          <w:szCs w:val="18"/>
          <w:color w:val="auto"/>
        </w:rPr>
        <w:t>. As a Cayman Islands exempted company, we are not obliged by the Companies Act to call shareholders’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general meetings. Our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8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Shareholders’ general meetings may be convened by a majority of our board of directors or by the chairman of the board of directors. Advance notice of at least seven days is required for the convening of our annual general shareholders’ meeting (if any) and any other general meeting of our shareholders. A quorum required for any general meeting of shareholders consists of at least one shareholder present in person or by proxy, representing not less than one-third of all votes attaching to the issued and outstanding shares in our company entitled to vote at general meeting.</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Companies Act does not provide shareholders with the right to requisition a general meeting, and does not provide shareholders with any right to put any proposal before a general meeting. However, these rights may be provided in a company’s articles of association. Our memorandum and articles of association provide that upon the requisition of any one or more of our shareholders who together hold shares which carry in aggregate a majority of all votes attaching to the issued and outstanding shares of our company entitled to vote at general meetings, our board will convene an extraordinary general meeting and put the resolutions so requisitioned to a vote at such meeting. However, our memorandum and articles of association do not provide our shareholders with any right to put any proposals before annual general meetings or extraordinary general meetings not called by such shareholders.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40"/>
          </w:cols>
          <w:pgMar w:left="320" w:top="482" w:right="4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right="1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Transfer of Ordinary Shares</w:t>
      </w:r>
      <w:r>
        <w:rPr>
          <w:rFonts w:ascii="Times New Roman" w:cs="Times New Roman" w:eastAsia="Times New Roman" w:hAnsi="Times New Roman"/>
          <w:sz w:val="18"/>
          <w:szCs w:val="18"/>
          <w:color w:val="auto"/>
        </w:rPr>
        <w:t>. Subject to the restrictions set out in our memorandum and articles of association as set out below, any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may transfer all or any of his or her ordinary shares by an instrument of transfer in the usual or common form or any other form approved by our board of directors.</w:t>
      </w:r>
    </w:p>
    <w:p>
      <w:pPr>
        <w:spacing w:after="0" w:line="17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67" w:lineRule="exact"/>
        <w:rPr>
          <w:sz w:val="20"/>
          <w:szCs w:val="20"/>
          <w:color w:val="auto"/>
        </w:rPr>
      </w:pPr>
    </w:p>
    <w:p>
      <w:pPr>
        <w:ind w:left="1080" w:right="58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ordinary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Nasdaq Stock Market may determine to be payable or such lesser sum as our directors may from time to time require is paid to us in respect thereof.</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registration of transfers may, after compliance with any notice required of the Nasdaq Stock Market,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spacing w:after="0" w:line="174"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On the winding up of our company, if the assets available for distribution amongst our shareholders shall be more than sufficient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repay the whole of our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our share capital, the assets will be distributed so that the losses are borne by our shareholders in proportion to the par value of the shares held by them.</w:t>
      </w:r>
    </w:p>
    <w:p>
      <w:pPr>
        <w:spacing w:after="0" w:line="183" w:lineRule="exact"/>
        <w:rPr>
          <w:sz w:val="20"/>
          <w:szCs w:val="20"/>
          <w:color w:val="auto"/>
        </w:rPr>
      </w:pPr>
    </w:p>
    <w:p>
      <w:pPr>
        <w:ind w:left="120" w:right="1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Calls on Shares and Forfeiture of Shares</w:t>
      </w:r>
      <w:r>
        <w:rPr>
          <w:rFonts w:ascii="Times New Roman" w:cs="Times New Roman" w:eastAsia="Times New Roman" w:hAnsi="Times New Roman"/>
          <w:sz w:val="18"/>
          <w:szCs w:val="18"/>
          <w:color w:val="auto"/>
        </w:rPr>
        <w:t>. Our board of directors may from time to time make calls upon shareholders for any amounts unpaid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shares in a notice served to such shareholders at least 14 days prior to the specified time and place of payment. The shares that have been called upon and remain unpaid are subject to forfeiture.</w:t>
      </w:r>
    </w:p>
    <w:p>
      <w:pPr>
        <w:spacing w:after="0" w:line="17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Redemption, Repurchase and Surrender of Shares</w:t>
      </w:r>
      <w:r>
        <w:rPr>
          <w:rFonts w:ascii="Times New Roman" w:cs="Times New Roman" w:eastAsia="Times New Roman" w:hAnsi="Times New Roman"/>
          <w:sz w:val="18"/>
          <w:szCs w:val="18"/>
          <w:color w:val="auto"/>
        </w:rPr>
        <w:t>. We may issue shares on terms that such shares are subject to redemption, at our option or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of the holders of these shares, on such terms and in such manner as may be determined by our board of directors. Our company may also repurchase any of our shares on such terms and in such manner as have been approved by our board of directors or by an ordinary resolution of our shareholders.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40"/>
          </w:cols>
          <w:pgMar w:left="320" w:top="482" w:right="4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right="180" w:firstLine="440"/>
        <w:spacing w:after="0" w:line="262" w:lineRule="auto"/>
        <w:rPr>
          <w:sz w:val="20"/>
          <w:szCs w:val="20"/>
          <w:color w:val="auto"/>
        </w:rPr>
      </w:pPr>
      <w:r>
        <w:rPr>
          <w:rFonts w:ascii="Times New Roman" w:cs="Times New Roman" w:eastAsia="Times New Roman" w:hAnsi="Times New Roman"/>
          <w:sz w:val="18"/>
          <w:szCs w:val="18"/>
          <w:i w:val="1"/>
          <w:iCs w:val="1"/>
          <w:color w:val="auto"/>
        </w:rPr>
        <w:t>Variations of Rights of Shares</w:t>
      </w:r>
      <w:r>
        <w:rPr>
          <w:rFonts w:ascii="Times New Roman" w:cs="Times New Roman" w:eastAsia="Times New Roman" w:hAnsi="Times New Roman"/>
          <w:sz w:val="18"/>
          <w:szCs w:val="18"/>
          <w:color w:val="auto"/>
        </w:rPr>
        <w:t>. If at any time, our share capital is divided into different classes or series of shares, the rights attached to any class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series of shares (unless otherwise provided by the terms of issue of the shares of that class or series), whether or not our company is</w:t>
      </w:r>
    </w:p>
    <w:p>
      <w:pPr>
        <w:ind w:left="120" w:right="120"/>
        <w:spacing w:after="0" w:line="252" w:lineRule="auto"/>
        <w:rPr>
          <w:sz w:val="20"/>
          <w:szCs w:val="20"/>
          <w:color w:val="auto"/>
        </w:rPr>
      </w:pPr>
      <w:r>
        <w:rPr>
          <w:rFonts w:ascii="Times New Roman" w:cs="Times New Roman" w:eastAsia="Times New Roman" w:hAnsi="Times New Roman"/>
          <w:sz w:val="18"/>
          <w:szCs w:val="18"/>
          <w:color w:val="auto"/>
        </w:rPr>
        <w:t>being wound-up, may be varied with the consent in writing of all the holders of the issued shares of that class or series or with the sanction of a resolution passed by a majority of the votes cast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pari passu with or subsequent to such existing class of shares, or the redemption or purchase of any shares of any class by our company. The rights of the holders of shares shall not be deemed to be varied by the creation or issue of shares with preferred or other rights including, without limitation, the creation of shares with enhanced or weighted voting rights.</w:t>
      </w:r>
    </w:p>
    <w:p>
      <w:pPr>
        <w:spacing w:after="0" w:line="188" w:lineRule="exact"/>
        <w:rPr>
          <w:sz w:val="20"/>
          <w:szCs w:val="20"/>
          <w:color w:val="auto"/>
        </w:rPr>
      </w:pPr>
    </w:p>
    <w:p>
      <w:pPr>
        <w:ind w:left="120" w:right="2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Issuance of Additional Shares</w:t>
      </w:r>
      <w:r>
        <w:rPr>
          <w:rFonts w:ascii="Times New Roman" w:cs="Times New Roman" w:eastAsia="Times New Roman" w:hAnsi="Times New Roman"/>
          <w:sz w:val="18"/>
          <w:szCs w:val="18"/>
          <w:color w:val="auto"/>
        </w:rPr>
        <w:t>. Our memorandum and articles of association authorize our board of directors to issue additional ordinary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time to time as our board of directors shall determine, to the extent of available authorized but unissued shares.</w:t>
      </w:r>
    </w:p>
    <w:p>
      <w:pPr>
        <w:spacing w:after="0" w:line="16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Our memorandum and articles of association also authorize our board of directors to establish from time to time one or more series of preference shares and to determine, with respect to any series of preference shares, the terms and rights of that series, including:</w:t>
      </w:r>
    </w:p>
    <w:p>
      <w:pPr>
        <w:spacing w:after="0" w:line="67" w:lineRule="exact"/>
        <w:rPr>
          <w:sz w:val="20"/>
          <w:szCs w:val="20"/>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225"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may issue preference shares without action by our shareholders to the extent authorized but unissued. Issuance of these shares may dilute the voting power of holders of ordinary shares.</w:t>
      </w:r>
    </w:p>
    <w:p>
      <w:pPr>
        <w:spacing w:after="0" w:line="160" w:lineRule="exact"/>
        <w:rPr>
          <w:sz w:val="20"/>
          <w:szCs w:val="20"/>
          <w:color w:val="auto"/>
        </w:rPr>
      </w:pPr>
    </w:p>
    <w:p>
      <w:pPr>
        <w:ind w:left="120" w:righ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Inspection of Books and Records</w:t>
      </w:r>
      <w:r>
        <w:rPr>
          <w:rFonts w:ascii="Times New Roman" w:cs="Times New Roman" w:eastAsia="Times New Roman" w:hAnsi="Times New Roman"/>
          <w:sz w:val="18"/>
          <w:szCs w:val="18"/>
          <w:color w:val="auto"/>
        </w:rPr>
        <w:t>. Holders of our ordinary shares will have no general right under Cayman Islands law to inspect or obtain copies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list of shareholders or our corporate records (other than our memorandum and articles of association, special resolutions, and our register of mortgages and charges). However, we will provide our shareholders with annual audited financial statements.</w:t>
      </w:r>
    </w:p>
    <w:p>
      <w:pPr>
        <w:spacing w:after="0" w:line="173"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Anti-Takeover Provisions</w:t>
      </w:r>
      <w:r>
        <w:rPr>
          <w:rFonts w:ascii="Times New Roman" w:cs="Times New Roman" w:eastAsia="Times New Roman" w:hAnsi="Times New Roman"/>
          <w:sz w:val="18"/>
          <w:szCs w:val="18"/>
          <w:color w:val="auto"/>
        </w:rPr>
        <w:t>. Some provisions of our memorandum and articles of association may discourage, delay or prevent a change of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company or management that shareholders may consider favorable, including provisions that:</w:t>
      </w:r>
    </w:p>
    <w:p>
      <w:pPr>
        <w:spacing w:after="0" w:line="66" w:lineRule="exact"/>
        <w:rPr>
          <w:sz w:val="20"/>
          <w:szCs w:val="20"/>
          <w:color w:val="auto"/>
        </w:rPr>
      </w:pPr>
    </w:p>
    <w:p>
      <w:pPr>
        <w:ind w:left="1080" w:right="200" w:hanging="424"/>
        <w:spacing w:after="0" w:line="28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spacing w:after="0" w:line="16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Exempted Company</w:t>
      </w:r>
      <w:r>
        <w:rPr>
          <w:rFonts w:ascii="Times New Roman" w:cs="Times New Roman" w:eastAsia="Times New Roman" w:hAnsi="Times New Roman"/>
          <w:sz w:val="18"/>
          <w:szCs w:val="18"/>
          <w:color w:val="auto"/>
        </w:rPr>
        <w:t>. We are an exempted company incorporated with limited liability under the Companies Act. The Companies Act distinguishes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87" w:lineRule="exact"/>
        <w:rPr>
          <w:sz w:val="20"/>
          <w:szCs w:val="20"/>
          <w:color w:val="auto"/>
        </w:rPr>
      </w:pPr>
    </w:p>
    <w:p>
      <w:pPr>
        <w:ind w:left="5480" w:right="3560" w:hanging="4824"/>
        <w:spacing w:after="0" w:line="454" w:lineRule="auto"/>
        <w:tabs>
          <w:tab w:leader="none" w:pos="107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 139</w:t>
      </w:r>
    </w:p>
    <w:p>
      <w:pPr>
        <w:sectPr>
          <w:pgSz w:w="11900" w:h="16838" w:orient="portrait"/>
          <w:cols w:equalWidth="0" w:num="1">
            <w:col w:w="11120"/>
          </w:cols>
          <w:pgMar w:left="320" w:top="482" w:right="4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issue negotiable or bearer shares or shares with no par value;</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20 years in the first instance);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ay register as a limited duration company;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225"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7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Exclusive Forum. </w:t>
      </w:r>
      <w:r>
        <w:rPr>
          <w:rFonts w:ascii="Times New Roman" w:cs="Times New Roman" w:eastAsia="Times New Roman" w:hAnsi="Times New Roman"/>
          <w:sz w:val="18"/>
          <w:szCs w:val="18"/>
          <w:color w:val="auto"/>
        </w:rPr>
        <w:t>Unless we consent in writing to the selection of an alternative forum, the United States District Court for the Southern District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New York (or, if the United States District Court for the Southern District of New York lacks subject matter jurisdiction over a particular dispute, the state courts in New York County, New York) shall be the exclusive forum within the United States for the resolution of any complaint asserting a cause of action arising out of or relating in any way to the federal securities laws of the United States, including those arising from the Securities Act and the Exchange Act, regardless of whether such legal suit, action, or proceeding also involves parties other than our company. Any person or entity purchasing or otherwise acquiring any share or other securities in our company, or purchasing or otherwise acquiring American depositary shares issued pursuant to deposit agreements, shall be deemed to have notice of and consented to the provisions of this article. Without prejudice to the foregoing, if the provision in this article is held to be illegal, invalid or unenforceable under applicable law, the legality, validity or enforceability of the rest of articles of association shall not be affected and this article shall be interpreted and construed to the maximum extent possible to apply in the relevant jurisdiction with whatever modification or deletion may be necessary so as best to give effect to our intention.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21" w:lineRule="exact"/>
        <w:rPr>
          <w:sz w:val="20"/>
          <w:szCs w:val="20"/>
          <w:color w:val="auto"/>
        </w:rPr>
      </w:pPr>
    </w:p>
    <w:p>
      <w:pPr>
        <w:ind w:left="120" w:right="360" w:firstLine="440"/>
        <w:spacing w:after="0" w:line="258" w:lineRule="auto"/>
        <w:rPr>
          <w:sz w:val="20"/>
          <w:szCs w:val="20"/>
          <w:color w:val="auto"/>
        </w:rPr>
      </w:pPr>
      <w:r>
        <w:rPr>
          <w:rFonts w:ascii="Times New Roman" w:cs="Times New Roman" w:eastAsia="Times New Roman" w:hAnsi="Times New Roman"/>
          <w:sz w:val="18"/>
          <w:szCs w:val="18"/>
          <w:color w:val="auto"/>
        </w:rPr>
        <w:t>The Companies Act of the Cayman Islands is derived, to a large extent, from the older Companies Acts of England but does not follow recent English statutory enactments and, accordingly, there are significant differences between the Companies Act of the Cayman Islands and the current Companies Act of England. In addition, the Companies Act of the Cayman Islands differs from laws applicable to U.S. corporations and their shareholders. Set forth below is a summary of certain significant differences between the provisions of the Companies Act of the Cayman Islands applicable to us and the laws applicable to companies incorporated in the United States and their shareholders.</w:t>
      </w:r>
    </w:p>
    <w:p>
      <w:pPr>
        <w:spacing w:after="0" w:line="181"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Mergers and Similar Arrangements. </w:t>
      </w:r>
      <w:r>
        <w:rPr>
          <w:rFonts w:ascii="Times New Roman" w:cs="Times New Roman" w:eastAsia="Times New Roman" w:hAnsi="Times New Roman"/>
          <w:sz w:val="17"/>
          <w:szCs w:val="17"/>
          <w:color w:val="auto"/>
        </w:rPr>
        <w:t>The Companies Act permits mergers and consolidations between Cayman Islands companies and between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Cayman 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w:t>
      </w:r>
    </w:p>
    <w:p>
      <w:pPr>
        <w:spacing w:after="0" w:line="2" w:lineRule="exact"/>
        <w:rPr>
          <w:sz w:val="20"/>
          <w:szCs w:val="20"/>
          <w:color w:val="auto"/>
        </w:rPr>
      </w:pPr>
    </w:p>
    <w:p>
      <w:pPr>
        <w:ind w:left="120" w:right="340" w:hanging="4"/>
        <w:spacing w:after="0" w:line="252" w:lineRule="auto"/>
        <w:tabs>
          <w:tab w:leader="none" w:pos="37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authorization, if any, as may be specified in such constituent company’s articles of association. The written plan of merger or consolidation must be filed with the Registrar of Companies of the Cayman Islands together with a declaration as to the solvency of the surviving or consolidated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20"/>
          </w:cols>
          <w:pgMar w:left="320" w:top="482" w:right="4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 of the votes at a general meeting of the subsidiary.</w:t>
      </w:r>
    </w:p>
    <w:p>
      <w:pPr>
        <w:spacing w:after="0" w:line="180"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that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83"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75% in value of the shareholders or class of shareholders, or (b) a majority in number representing 75% in value of the creditors or class of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93" w:lineRule="exact"/>
        <w:rPr>
          <w:sz w:val="20"/>
          <w:szCs w:val="20"/>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225"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which may facilitate the “squeeze out” of dissentient minority shareholder(s)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20"/>
          </w:cols>
          <w:pgMar w:left="320" w:top="482"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7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Shareholders’ Suits</w:t>
      </w:r>
      <w:r>
        <w:rPr>
          <w:rFonts w:ascii="Times New Roman" w:cs="Times New Roman" w:eastAsia="Times New Roman" w:hAnsi="Times New Roman"/>
          <w:sz w:val="18"/>
          <w:szCs w:val="18"/>
          <w:color w:val="auto"/>
        </w:rPr>
        <w:t>. In principle, we will normally be the proper plaintiff to sue for a wrong done to us as a company, and as a general rule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p>
      <w:pPr>
        <w:spacing w:after="0" w:line="91" w:lineRule="exact"/>
        <w:rPr>
          <w:sz w:val="20"/>
          <w:szCs w:val="20"/>
          <w:color w:val="auto"/>
        </w:rPr>
      </w:pPr>
    </w:p>
    <w:p>
      <w:pPr>
        <w:ind w:left="1080" w:hanging="424"/>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 (and is therefore incapable of ratification by the shareholder);</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23"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Indemnification of Directors and Executive Officers and Limitation of Liability</w:t>
      </w:r>
      <w:r>
        <w:rPr>
          <w:rFonts w:ascii="Times New Roman" w:cs="Times New Roman" w:eastAsia="Times New Roman" w:hAnsi="Times New Roman"/>
          <w:sz w:val="18"/>
          <w:szCs w:val="18"/>
          <w:color w:val="auto"/>
        </w:rPr>
        <w:t>. Cayman Islands law does not limit the extent to which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provide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8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memorandum and articles of association.</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4"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Directors’ Fiduciary Duties. </w:t>
      </w:r>
      <w:r>
        <w:rPr>
          <w:rFonts w:ascii="Times New Roman" w:cs="Times New Roman" w:eastAsia="Times New Roman" w:hAnsi="Times New Roman"/>
          <w:sz w:val="18"/>
          <w:szCs w:val="18"/>
          <w:color w:val="auto"/>
        </w:rPr>
        <w:t>Under Delaware corporate law, a director of a Delaware corporation has a fiduciary duty to the corporation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00"/>
          </w:cols>
          <w:pgMar w:left="320" w:top="482" w:right="47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third-party, and a duty to exercise powers for the purpose for which such powers were intended. A director of a Cayman Islands company owes to the company a duty to exercise the skill they actually possess and such care and diligence that a reasonably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86" w:lineRule="exact"/>
        <w:rPr>
          <w:sz w:val="20"/>
          <w:szCs w:val="20"/>
          <w:color w:val="auto"/>
        </w:rPr>
      </w:pPr>
    </w:p>
    <w:p>
      <w:pPr>
        <w:jc w:val="both"/>
        <w:ind w:left="120" w:right="2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Shareholder Action by Written Consent. </w:t>
      </w:r>
      <w:r>
        <w:rPr>
          <w:rFonts w:ascii="Times New Roman" w:cs="Times New Roman" w:eastAsia="Times New Roman" w:hAnsi="Times New Roman"/>
          <w:sz w:val="18"/>
          <w:szCs w:val="18"/>
          <w:color w:val="auto"/>
        </w:rPr>
        <w:t>Under the Delaware General Corporation Law, a corporation may eliminate the right of shareholders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by written consent by amendment to its certificate of incorporation. Cayman Islands law and our memorandum and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180" w:lineRule="exact"/>
        <w:rPr>
          <w:sz w:val="20"/>
          <w:szCs w:val="20"/>
          <w:color w:val="auto"/>
        </w:rPr>
      </w:pPr>
    </w:p>
    <w:p>
      <w:pPr>
        <w:ind w:left="120" w:right="16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Shareholder Proposals. </w:t>
      </w:r>
      <w:r>
        <w:rPr>
          <w:rFonts w:ascii="Times New Roman" w:cs="Times New Roman" w:eastAsia="Times New Roman" w:hAnsi="Times New Roman"/>
          <w:sz w:val="17"/>
          <w:szCs w:val="17"/>
          <w:color w:val="auto"/>
        </w:rPr>
        <w:t>Under the Delaware General Corporation Law, a shareholder has the right to put any proposal before the annual meeting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shareholders; provided that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5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Companies Act does not provide shareholders with the right to requisition a general meeting, and does not provide shareholders with any right to put any proposal before a general meeting. However, these rights may be provided in a company’s articles of association. Our memorandum and articles of association allow any one or more of our shareholders who together hold shares which carry in aggregate not less than a majority of all votes attaching to all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memorandum and articles of association do not provide our shareholders with any other right to put proposals before annual general meetings or extraordinary general meetings. As a Cayman Islands exempted company, we are not obliged by law to call shareholders’ annual general meetings.</w:t>
      </w:r>
    </w:p>
    <w:p>
      <w:pPr>
        <w:spacing w:after="0" w:line="190"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Cumulative Voting</w:t>
      </w:r>
      <w:r>
        <w:rPr>
          <w:rFonts w:ascii="Times New Roman" w:cs="Times New Roman" w:eastAsia="Times New Roman" w:hAnsi="Times New Roman"/>
          <w:sz w:val="18"/>
          <w:szCs w:val="18"/>
          <w:color w:val="auto"/>
        </w:rPr>
        <w:t>. Under the Delaware General Corporation Law, cumulative voting for elections of directors is not permitted unless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memorandum and articles of association do not provide for cumulative voting. As a result, our shareholders are not afforded any less protections or rights on this issue than shareholders of a Delaware corporation.</w:t>
      </w:r>
    </w:p>
    <w:p>
      <w:pPr>
        <w:spacing w:after="0" w:line="182" w:lineRule="exact"/>
        <w:rPr>
          <w:sz w:val="20"/>
          <w:szCs w:val="20"/>
          <w:color w:val="auto"/>
        </w:rPr>
      </w:pPr>
    </w:p>
    <w:p>
      <w:pPr>
        <w:ind w:left="120" w:right="80" w:firstLine="440"/>
        <w:spacing w:after="0" w:line="270" w:lineRule="auto"/>
        <w:rPr>
          <w:sz w:val="20"/>
          <w:szCs w:val="20"/>
          <w:color w:val="auto"/>
        </w:rPr>
      </w:pPr>
      <w:r>
        <w:rPr>
          <w:rFonts w:ascii="Times New Roman" w:cs="Times New Roman" w:eastAsia="Times New Roman" w:hAnsi="Times New Roman"/>
          <w:sz w:val="17"/>
          <w:szCs w:val="17"/>
          <w:i w:val="1"/>
          <w:iCs w:val="1"/>
          <w:color w:val="auto"/>
        </w:rPr>
        <w:t>Removal of Directors</w:t>
      </w:r>
      <w:r>
        <w:rPr>
          <w:rFonts w:ascii="Times New Roman" w:cs="Times New Roman" w:eastAsia="Times New Roman" w:hAnsi="Times New Roman"/>
          <w:sz w:val="17"/>
          <w:szCs w:val="17"/>
          <w:color w:val="auto"/>
        </w:rPr>
        <w:t>. Under the Delaware General Corporation Law, a director of a corporation with a classified board may be removed only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cause with the approval of a majority of the issued and outstanding shares entitled to vote, unless the certificate of incorporation provides otherwise. Under our memorandum and articles of association, directors may be removed with or without cause, by an ordinary resolution of our shareholders (other than a Founder Entity Appointed Director as defined in the memorandum and articles of association). A director will also cease to be a director if he (i) becomes prohibited by applicable law from being a director; (ii) becomes bankrupt or makes any arrangement or composition with his creditors;</w:t>
      </w:r>
    </w:p>
    <w:p>
      <w:pPr>
        <w:spacing w:after="0" w:line="1" w:lineRule="exact"/>
        <w:rPr>
          <w:sz w:val="20"/>
          <w:szCs w:val="20"/>
          <w:color w:val="auto"/>
        </w:rPr>
      </w:pPr>
    </w:p>
    <w:p>
      <w:pPr>
        <w:ind w:left="120" w:right="100" w:hanging="4"/>
        <w:spacing w:after="0" w:line="255" w:lineRule="auto"/>
        <w:tabs>
          <w:tab w:leader="none" w:pos="43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dies or is found to be or becomes of unsound mind; (iv) resigns his office by notice in writing; (v) without special leave of absence from our board, is absent from meetings of our board for three consecutive meetings and our board resolves that his office be vacated; or (vi) is removed from office pursuant to any other provision of our articles of association.</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20"/>
          </w:cols>
          <w:pgMar w:left="320" w:top="482" w:right="4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Transactions with Interested Shareholders</w:t>
      </w:r>
      <w:r>
        <w:rPr>
          <w:rFonts w:ascii="Times New Roman" w:cs="Times New Roman" w:eastAsia="Times New Roman" w:hAnsi="Times New Roman"/>
          <w:sz w:val="18"/>
          <w:szCs w:val="18"/>
          <w:color w:val="auto"/>
        </w:rPr>
        <w:t>. The Delaware General Corporation Law contains a business combination statute applicable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9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178"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Dissolution; Winding up. </w:t>
      </w:r>
      <w:r>
        <w:rPr>
          <w:rFonts w:ascii="Times New Roman" w:cs="Times New Roman" w:eastAsia="Times New Roman" w:hAnsi="Times New Roman"/>
          <w:sz w:val="18"/>
          <w:szCs w:val="18"/>
          <w:color w:val="auto"/>
        </w:rPr>
        <w:t>Under the Delaware General Corporation Law, unless the board of directors approves the proposal to dissolve,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either an order of the courts of the Cayman Islands or by the board of directors.</w:t>
      </w:r>
    </w:p>
    <w:p>
      <w:pPr>
        <w:spacing w:after="0" w:line="18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174" w:lineRule="exact"/>
        <w:rPr>
          <w:sz w:val="20"/>
          <w:szCs w:val="20"/>
          <w:color w:val="auto"/>
        </w:rPr>
      </w:pPr>
    </w:p>
    <w:p>
      <w:pPr>
        <w:ind w:left="120" w:right="2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Restructuring. </w:t>
      </w:r>
      <w:r>
        <w:rPr>
          <w:rFonts w:ascii="Times New Roman" w:cs="Times New Roman" w:eastAsia="Times New Roman" w:hAnsi="Times New Roman"/>
          <w:sz w:val="18"/>
          <w:szCs w:val="18"/>
          <w:color w:val="auto"/>
        </w:rPr>
        <w:t>A company may present a petition to the Grand Court of the Cayman Islands for the appointment of a restructuring officer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grounds that the company:</w:t>
      </w:r>
    </w:p>
    <w:p>
      <w:pPr>
        <w:spacing w:after="0" w:line="66" w:lineRule="exact"/>
        <w:rPr>
          <w:sz w:val="20"/>
          <w:szCs w:val="20"/>
          <w:color w:val="auto"/>
        </w:rPr>
      </w:pPr>
    </w:p>
    <w:p>
      <w:pPr>
        <w:ind w:left="1080" w:hanging="532"/>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is likely to become unable to pay its debts; and</w:t>
      </w:r>
    </w:p>
    <w:p>
      <w:pPr>
        <w:spacing w:after="0" w:line="130" w:lineRule="exact"/>
        <w:rPr>
          <w:rFonts w:ascii="Times New Roman" w:cs="Times New Roman" w:eastAsia="Times New Roman" w:hAnsi="Times New Roman"/>
          <w:sz w:val="18"/>
          <w:szCs w:val="18"/>
          <w:color w:val="auto"/>
        </w:rPr>
      </w:pPr>
    </w:p>
    <w:p>
      <w:pPr>
        <w:ind w:left="1080" w:right="420" w:hanging="532"/>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intends to present a compromise or arrangement to its creditors (or classes thereof) either pursuant to the Companies Act, the law of a foreign country or by way of a consensual restructuring.</w:t>
      </w:r>
    </w:p>
    <w:p>
      <w:pPr>
        <w:spacing w:after="0" w:line="16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spacing w:after="0" w:line="19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Variation of Rights of Shares</w:t>
      </w:r>
      <w:r>
        <w:rPr>
          <w:rFonts w:ascii="Times New Roman" w:cs="Times New Roman" w:eastAsia="Times New Roman" w:hAnsi="Times New Roman"/>
          <w:sz w:val="18"/>
          <w:szCs w:val="18"/>
          <w:color w:val="auto"/>
        </w:rPr>
        <w:t>. Under the Delaware General Corporation Law, a corporation may vary the rights of a class of shares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approval of a majority of the outstanding shares of such class, unless the certificate of incorporation provides otherwise. Under our memorandum and articles of association, if at any time our share capital is divided into different classes or series of shares, the rights attached to any class or series of shares (unless otherwise provided by the terms of issue of the shares of that class or series), whether or not our company is being wound-up, may be varied with the consent in writing of the holders of at least two-thirds of the issued shares of that class or series or with the sanction of a resolution passed by a majority of the votes cast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or subsequent to such existing class of shares, or the redemption or purchase of any shares of any class by our company. The rights of the holders of shares shall not be deemed to be varied by the creation or issue of shares with preferred or other rights including, without limitation, the creation of shares with enhanced or weighted voting rights.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20"/>
          </w:cols>
          <w:pgMar w:left="320" w:top="482" w:right="4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Amendment of Governing Documents</w:t>
      </w:r>
      <w:r>
        <w:rPr>
          <w:rFonts w:ascii="Times New Roman" w:cs="Times New Roman" w:eastAsia="Times New Roman" w:hAnsi="Times New Roman"/>
          <w:sz w:val="18"/>
          <w:szCs w:val="18"/>
          <w:color w:val="auto"/>
        </w:rPr>
        <w:t>. Under the Delaware General Corporation Law, a corporation’s governing documents may be amended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approval of a majority of the outstanding shares entitled to vote, unless the certificate of incorporation provides otherwise. Under the Companies Act and our memorandum and articles of association, our memorandum and articles of association may only be amended by a special resolution of our shareholders.</w:t>
      </w:r>
    </w:p>
    <w:p>
      <w:pPr>
        <w:spacing w:after="0" w:line="180" w:lineRule="exact"/>
        <w:rPr>
          <w:sz w:val="20"/>
          <w:szCs w:val="20"/>
          <w:color w:val="auto"/>
        </w:rPr>
      </w:pPr>
    </w:p>
    <w:p>
      <w:pPr>
        <w:jc w:val="both"/>
        <w:ind w:left="120"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Rights of Non-resident or Foreign Shareholders</w:t>
      </w:r>
      <w:r>
        <w:rPr>
          <w:rFonts w:ascii="Times New Roman" w:cs="Times New Roman" w:eastAsia="Times New Roman" w:hAnsi="Times New Roman"/>
          <w:sz w:val="18"/>
          <w:szCs w:val="18"/>
          <w:color w:val="auto"/>
        </w:rPr>
        <w:t>. There are no limitations imposed by our memorandum and articles of association on the rights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nonresident or foreign shareholders to hold or exercise voting rights on our shares. In addition, there are no provisions in our memorandum and articles of association governing the ownership threshold above which shareholder ownership must be disclosed.</w:t>
      </w:r>
    </w:p>
    <w:p>
      <w:pPr>
        <w:spacing w:after="0" w:line="320" w:lineRule="exact"/>
        <w:rPr>
          <w:sz w:val="20"/>
          <w:szCs w:val="20"/>
          <w:color w:val="auto"/>
        </w:rPr>
      </w:pPr>
    </w:p>
    <w:p>
      <w:pPr>
        <w:ind w:left="540" w:hanging="424"/>
        <w:spacing w:after="0"/>
        <w:tabs>
          <w:tab w:leader="none" w:pos="54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CONTRACTS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Other than in the ordinary course of business and other than those described in “Item 4. Information on the Company,” “Item 7. Major Shareholders and Related Party Transactions—B. Related Party Transactions” or elsewhere in this annual report, we have not entered into any material contract during the two years immediately preceding the date of this annual report on Form 20-F.</w:t>
      </w:r>
    </w:p>
    <w:p>
      <w:pPr>
        <w:spacing w:after="0" w:line="320" w:lineRule="exact"/>
        <w:rPr>
          <w:sz w:val="20"/>
          <w:szCs w:val="20"/>
          <w:color w:val="auto"/>
        </w:rPr>
      </w:pPr>
    </w:p>
    <w:p>
      <w:pPr>
        <w:ind w:left="540" w:hanging="424"/>
        <w:spacing w:after="0"/>
        <w:tabs>
          <w:tab w:leader="none" w:pos="54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 CONTROLS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See “Item 4. Information on the Company—B. Business Overview—Regulations—Regulations on Foreign Exchange” and “Item 4. Information on the Company—B. Business Overview—Regulations—Regulations on Dividend Distribution.”</w:t>
      </w:r>
    </w:p>
    <w:p>
      <w:pPr>
        <w:spacing w:after="0" w:line="306" w:lineRule="exact"/>
        <w:rPr>
          <w:sz w:val="20"/>
          <w:szCs w:val="20"/>
          <w:color w:val="auto"/>
        </w:rPr>
      </w:pPr>
    </w:p>
    <w:p>
      <w:pPr>
        <w:ind w:left="540" w:hanging="424"/>
        <w:spacing w:after="0"/>
        <w:tabs>
          <w:tab w:leader="none" w:pos="54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following summary of Cayman Islands, People’s Republic of China and U.S. federal income tax considerations generally applicable to an investment in our ADSs or Class A ordinary shares is based upon laws and interpretations thereof in effect as of the date of this annual report, all of which are subject to change. This summary does not deal with all possible tax consequences relating to an investment in our ADSs or Class A ordinary shares, such as tax consequences under state, local and other tax laws. To the extent that the discussion relates to matters of Cayman Islands tax law, it represents the opinion of Travers Thorp Alberga, our Cayman Islands counsel. To the extent that the discussion relates to matters of PRC tax law, it represents the opinion of Commerce &amp; Finance Law Offices, our PRC legal counsel.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shareholders or ADS holders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83"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Payments of dividends and capital in respect of the shares will not be subject to taxation in the Cayman Islands and no withholding tax will be required on the payment of dividends or capital to any holder of our ADSs or ordinary shares, nor will gains derived from the disposal of our ADSs or ordinary shares be subject to Cayman Islands income or corporation tax.</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00"/>
          </w:cols>
          <w:pgMar w:left="320" w:top="482" w:right="47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Mainland China Taxation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Enterprise Income Tax Law provides that an enterprise established under the laws of a foreign country or region but whose “de facto management body” is located in mainland China is treated as a mainland China resident enterprise for mainland China tax purposes and consequently subject to mainland China income tax at the rate of 25% on its global income. The implementing rules of the Enterprise Income Tax Law merely define the location of the “de facto management body” as an “organizational body which effectively manages and controls the production and business operation, personnel, accounting, properties and other aspects of operations of an enterprise.” Based on a review of surrounding facts and circumstances, we do not believe that we should be considered a mainland China resident enterprise for mainland China tax purposes. However, there is limited guidance and implementation history of the Enterprise Income Tax Law, and if we are treated as a mainland China resident enterprise for mainland China tax purposes, we will be subject to mainland China tax on our global income at a uniform tax rate of 25%.</w:t>
      </w:r>
    </w:p>
    <w:p>
      <w:pPr>
        <w:spacing w:after="0" w:line="19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Mainland China income tax at the rate of 10% will be withheld from payments of interest or dividends we make to investors that are “non-resident enterprises” of mainland China, if such investors do not have an establishment or place of business in mainland China, or if they have such establishment or place of business in mainland China but the income is not effectively connected with such establishment or place of business, to the extent such interest or dividends are deemed to be sourced within mainland China.</w:t>
      </w:r>
    </w:p>
    <w:p>
      <w:pPr>
        <w:spacing w:after="0" w:line="180"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Furthermore, any gain realized on the transfer of the ADSs or shares by such investors would also be subject to mainland China income tax at 10% if such gain is regarded as income derived from sources within mainland China.</w:t>
      </w:r>
    </w:p>
    <w:p>
      <w:pPr>
        <w:spacing w:after="0" w:line="162" w:lineRule="exact"/>
        <w:rPr>
          <w:sz w:val="20"/>
          <w:szCs w:val="20"/>
          <w:color w:val="auto"/>
        </w:rPr>
      </w:pPr>
    </w:p>
    <w:p>
      <w:pPr>
        <w:jc w:val="both"/>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Furthermore, if we are considered a mainland China resident enterprise and mainland China tax authorities consider the interest or dividends we pay or any gains realized from the transfer of our ADSs or shares to be income derived from sources within mainland China, such interest or dividends and gains earned by non-resident individuals would be subject to the 20% mainland China individual income tax (which may be withheld at source).</w:t>
      </w:r>
    </w:p>
    <w:p>
      <w:pPr>
        <w:spacing w:after="0" w:line="158"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These rates could be reduced by applicable tax treaties or similar arrangements between China and the jurisdiction of the investor. For example, for investors in Hong Kong, the tax rate is reduced to 7% for interest payments and 5% for dividends. However, it is unclear whether non-mainland China shareholders would be able to claim the benefits of any tax treaties between their country of tax residence and mainland China in the event that we are treated as a mainland China resident enterprise.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following discussion is a summary of certain material U.S. federal income tax considerations under present law of the ownership and disposition of the ADSs or Class A ordinary shares. This summary applies only to investors that are U.S. Holders (as defined below) and that hold the ADSs or Class A ordinary shares as capital assets for U.S. federal income tax purposes. This discussion is based on the applicable provisions of the Internal Revenue Code of 1986, as amended, or the Code, the Treasury Regulations promulgated thereunder, pertinent judicial decisions, interpretive rulings of the IRS and such other authorities as we have considered relevant. All of the foregoing authorities are subject to change, which change could apply retroactively and could affect the tax considerations described below.</w:t>
      </w:r>
    </w:p>
    <w:p>
      <w:pPr>
        <w:spacing w:after="0" w:line="187"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The following discussion does not deal with all the tax considerations to any particular investor or to persons that may be subject to special treatment under U.S. federal income tax laws, including:</w:t>
      </w:r>
    </w:p>
    <w:p>
      <w:pPr>
        <w:spacing w:after="0" w:line="67" w:lineRule="exact"/>
        <w:rPr>
          <w:sz w:val="20"/>
          <w:szCs w:val="20"/>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elect to mark their securities to market;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20"/>
          </w:cols>
          <w:pgMar w:left="320" w:top="482" w:right="4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liable for the alternative minimum tax;</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expatriates or former long-term residents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the ADSs or Class A ordinary shares as part of a straddle, hedging, conversion or integrated transaction for U.S. federal income tax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directly, indirectly or constructively own ADSs or ordinary shares representing 10% or more of our voting power or value;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is other than the U.S. dollar;</w:t>
      </w:r>
    </w:p>
    <w:p>
      <w:pPr>
        <w:spacing w:after="0" w:line="130" w:lineRule="exact"/>
        <w:rPr>
          <w:rFonts w:ascii="Times New Roman" w:cs="Times New Roman" w:eastAsia="Times New Roman" w:hAnsi="Times New Roman"/>
          <w:sz w:val="18"/>
          <w:szCs w:val="18"/>
          <w:color w:val="auto"/>
        </w:rPr>
      </w:pPr>
    </w:p>
    <w:p>
      <w:pPr>
        <w:ind w:left="1080" w:right="960" w:hanging="424"/>
        <w:spacing w:after="0" w:line="282"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ADSs or Class A ordinary shares pursuant to the exercise of any employee share option or otherwise as compensation or in connection with services; or</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treated as pass-through entities for U.S. federal income tax purposes or investors in such entities.</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U.S. Holders are urged to consult their tax advisors about the application of the U.S. federal tax rules to their particular circumstances as well as the state, local and foreign tax consequences to them of ownership and disposition of ADSs or Class A ordinary shares.</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discussion below of the U.S. federal income tax considerations will apply if you are a “U.S. Holder.” You are a “U.S. Holder” if you are the beneficial owner of the ADSs or Class A ordinary shares and you are, for U.S. federal income tax purposes:</w:t>
      </w:r>
    </w:p>
    <w:p>
      <w:pPr>
        <w:spacing w:after="0" w:line="67" w:lineRule="exact"/>
        <w:rPr>
          <w:sz w:val="20"/>
          <w:szCs w:val="20"/>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subject to tax as a corporation for U.S. federal income tax purposes) that is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(i) is subject to the supervision of a court within the United States and one or more U.S. persons within the meaning of</w:t>
      </w:r>
    </w:p>
    <w:p>
      <w:pPr>
        <w:spacing w:after="0" w:line="27" w:lineRule="exact"/>
        <w:rPr>
          <w:rFonts w:ascii="Times New Roman" w:cs="Times New Roman" w:eastAsia="Times New Roman" w:hAnsi="Times New Roman"/>
          <w:sz w:val="18"/>
          <w:szCs w:val="18"/>
          <w:color w:val="auto"/>
        </w:rPr>
      </w:pPr>
    </w:p>
    <w:p>
      <w:pPr>
        <w:ind w:left="108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7701(a)(30) of the Code has or have the authority to control all substantial decisions of the trust or (ii) has a valid election in effect under applicable Treasury Regulations to be treated as a U.S. person.</w:t>
      </w:r>
    </w:p>
    <w:p>
      <w:pPr>
        <w:spacing w:after="0" w:line="18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discussion does not consider the tax treatment of partnerships or other pass-through entities that hold the ADSs or Class A ordinary shares, or of persons who hold the ADSs or Class A ordinary shares through such entities. If a partnership (or other entity classified as a partnership for U.S. federal income tax purposes) is the beneficial owner of the ADSs or Class A ordinary shares, the U.S. federal income tax treatment of a partner in the partnership will generally depend on the status of the partner and the activities of the partnership.</w:t>
      </w:r>
    </w:p>
    <w:p>
      <w:pPr>
        <w:spacing w:after="0" w:line="180"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The discussion below assumes that the representations contained in the deposit agreement are true and that the obligations in the deposit agreement and any related agreement will be complied with in accordance with their terms. For U.S. federal income tax purposes, it is generally expected that a U.S. Holder of ADSs will be treated as the beneficial owner of the underlying shares represented by the ADSs. The remainder of this discussion assumes that a U.S. Holder of our ADSs will be treated in this manner. Accordingly, deposits or withdrawals of Class A ordinary shares for ADSs will generally not be subject to U.S. federal income tax. The U.S. Treasury has expressed concerns that intermediaries in the chain of ownership between the holder of an ADS and the issuer of the security underlying the ADS may be taking actions that are inconsistent with the beneficial ownership of the underlying security. Accordingly, the creditability of foreign taxes, if any, as described below, could be affected by actions taken by intermediaries in the chain of ownership between the holders of ADSs representing our shares and our company if, as a result of such actions, the holders of ADSs representing our ordinary shares are not properly treated as beneficial owners of the underlying shares.</w:t>
      </w:r>
    </w:p>
    <w:p>
      <w:pPr>
        <w:spacing w:after="0" w:line="18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discussion is for general informational purposes, is not intended as tax advice, and does not address any aspect of U.S. federal non-income tax laws, such as gift or estate tax laws, or state, local or foreign tax laws or the Medicare tax on certain net investment income. We have not sought, and will not seek, a ruling from the IRS or an opinion as to any U.S. federal income tax consequence described herein. The IRS may disagree with the discussion herein, and its determination may be upheld by a court.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00"/>
          </w:cols>
          <w:pgMar w:left="320" w:top="482" w:right="47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 or Other Distributions on the ADSs or Class A Ordinary Shares</w:t>
      </w:r>
    </w:p>
    <w:p>
      <w:pPr>
        <w:spacing w:after="0" w:line="11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Subject to the discussion under </w:t>
      </w:r>
      <w:r>
        <w:rPr>
          <w:rFonts w:ascii="Times New Roman" w:cs="Times New Roman" w:eastAsia="Times New Roman" w:hAnsi="Times New Roman"/>
          <w:sz w:val="18"/>
          <w:szCs w:val="18"/>
          <w:i w:val="1"/>
          <w:iCs w:val="1"/>
          <w:color w:val="auto"/>
        </w:rPr>
        <w:t>“—Passive Foreign Investment Company Considerations”</w:t>
      </w:r>
      <w:r>
        <w:rPr>
          <w:rFonts w:ascii="Times New Roman" w:cs="Times New Roman" w:eastAsia="Times New Roman" w:hAnsi="Times New Roman"/>
          <w:sz w:val="18"/>
          <w:szCs w:val="18"/>
          <w:color w:val="auto"/>
        </w:rPr>
        <w:t xml:space="preserve"> below, the gross amount of all our distributions to you with respect to the ADSs or Class A ordinary shares will be included in your gross income as dividend income on the day actually or constructively received by the depositary, in the case of ADSs, or by you, in the case of Class A ordinary shares, but only to the extent that the distribution is paid out of our current or accumulated earnings and profits (computed under U.S. federal income tax principles).</w:t>
      </w:r>
    </w:p>
    <w:p>
      <w:pPr>
        <w:spacing w:after="0" w:line="182"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Any distribution we pay will generally be treated as “foreign source dividend income” for U.S. federal income tax purposes. Because we do not intend to calculate our earnings and profits on the basis of U.S. federal income tax principles, you should expect to treat the full amount of the distribution as a dividend for U.S. federal income tax purposes. Dividends we pay will not be eligible for the dividends-received deduction allowed to corporations in respect of dividends received from U.S. corporations.</w:t>
      </w:r>
    </w:p>
    <w:p>
      <w:pPr>
        <w:spacing w:after="0" w:line="180"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With respect to individuals and certain other non-corporate holders, dividends paid on our ADSs may be subject to reduced rates of taxation provided that (1) our ADSs are readily tradeable on an established securities market in the United States, or otherwise, in the event we are deemed to be a mainland China “resident enterprise” under the PRC tax law, we are eligible for the benefit of the income tax treaty between the United States and the PRC, or the Treaty, (2) we are not a PFIC (as discussed below) for either the taxable year in which the dividend is paid or the preceding taxable year and</w:t>
      </w:r>
    </w:p>
    <w:p>
      <w:pPr>
        <w:spacing w:after="0" w:line="3" w:lineRule="exact"/>
        <w:rPr>
          <w:sz w:val="20"/>
          <w:szCs w:val="20"/>
          <w:color w:val="auto"/>
        </w:rPr>
      </w:pPr>
    </w:p>
    <w:p>
      <w:pPr>
        <w:ind w:left="120" w:right="100" w:hanging="4"/>
        <w:spacing w:after="0" w:line="251" w:lineRule="auto"/>
        <w:tabs>
          <w:tab w:leader="none" w:pos="37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holding period and other requirements are met. Because our ADSs (but not our Class A ordinary shares) are listed on the Nasdaq Global Select Market and will accordingly be considered to be readily tradable on an established securities market in the United States, and we believe that we were not a PFIC for U.S. federal income tax purposes for our taxable year ended December 31, 2024 and we do not expect to be a PFIC in the foreseeable future, although there can be no assurance in this regard, we believe that we are a qualified foreign corporation with respect to dividends paid on the ADSs, but not with respect to dividends paid on our ordinary shares. In the event that we are deemed to be a mainland China resident enterprise under PRC tax law, we may be eligible for the benefits of the Treaty. If we are eligible for such benefits, dividends we pay on our ordinary shares, regardless of whether such shares are represented by our ADSs, would be eligible for the reduced rates of taxation applicable to qualified dividend income, as discussed above. You should consult your tax advisor regarding the availability of the lower rate for dividends paid with respect to our ADSs or Class A ordinary shares.</w:t>
      </w:r>
    </w:p>
    <w:p>
      <w:pPr>
        <w:spacing w:after="0" w:line="19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Dividends will generally be treated as income from foreign sources for U.S. foreign tax credit purposes and will generally constitute passive category income. In the event that we are deemed to be a mainland China resident enterprise under the PRC tax law and dividends paid on our ADSs or Class A ordinary shares are subject to mainland China withholding taxes, depending on your particular facts and circumstances, you may be eligible, subject to a number of complex limitations, to claim a foreign tax credit in respect of any foreign withholding taxes imposed (at a rate not exceeding the applicable Treaty rate) on dividends received on the ADSs or Class A ordinary shares. If you do not elect to claim a foreign tax credit for foreign taxes withheld, you may instead, subject to applicable limitations, claim a deduction, for U.S. federal income tax purposes, in respect of such withholdings, but only for a year in which you elect to do so for all creditable foreign income taxes. The rules governing the foreign tax credit are complex and their outcome depends in large part on the U.S. Holder’s individual facts and circumstances. You are advised to consult your tax advisor regarding the availability of the foreign tax credit under your particular circumstances.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the ADSs or Class A Ordinary Shares</w:t>
      </w:r>
    </w:p>
    <w:p>
      <w:pPr>
        <w:spacing w:after="0" w:line="119" w:lineRule="exact"/>
        <w:rPr>
          <w:sz w:val="20"/>
          <w:szCs w:val="20"/>
          <w:color w:val="auto"/>
        </w:rPr>
      </w:pPr>
    </w:p>
    <w:p>
      <w:pPr>
        <w:ind w:left="120" w:right="120" w:firstLine="440"/>
        <w:spacing w:after="0" w:line="277" w:lineRule="auto"/>
        <w:rPr>
          <w:sz w:val="20"/>
          <w:szCs w:val="20"/>
          <w:color w:val="auto"/>
        </w:rPr>
      </w:pPr>
      <w:r>
        <w:rPr>
          <w:rFonts w:ascii="Times New Roman" w:cs="Times New Roman" w:eastAsia="Times New Roman" w:hAnsi="Times New Roman"/>
          <w:sz w:val="17"/>
          <w:szCs w:val="17"/>
          <w:color w:val="auto"/>
        </w:rPr>
        <w:t xml:space="preserve">Subject to the discussion under </w:t>
      </w:r>
      <w:r>
        <w:rPr>
          <w:rFonts w:ascii="Times New Roman" w:cs="Times New Roman" w:eastAsia="Times New Roman" w:hAnsi="Times New Roman"/>
          <w:sz w:val="17"/>
          <w:szCs w:val="17"/>
          <w:i w:val="1"/>
          <w:iCs w:val="1"/>
          <w:color w:val="auto"/>
        </w:rPr>
        <w:t>“—Passive Foreign Investment Company Considerations”</w:t>
      </w:r>
      <w:r>
        <w:rPr>
          <w:rFonts w:ascii="Times New Roman" w:cs="Times New Roman" w:eastAsia="Times New Roman" w:hAnsi="Times New Roman"/>
          <w:sz w:val="17"/>
          <w:szCs w:val="17"/>
          <w:color w:val="auto"/>
        </w:rPr>
        <w:t xml:space="preserve"> below, you will recognize gain or loss on any sale, exchange or other taxable disposition of an ADS or Class A ordinary share equal to the difference between the amount realized for the ADS or Class A ordinary share and your tax basis in the ADS or Class A ordinary share. The gain or loss will generally be capital gain or loss, which will be long-term capital gain or loss if your holding period for the shares exceeds one year at the time of disposition. Long-term capital gains are generally eligible for a preferential rate of taxation for individuals and certain other non-corporate U.S. Holders. The deductibility of capital losses is subject to limitations.</w:t>
      </w:r>
    </w:p>
    <w:p>
      <w:pPr>
        <w:spacing w:after="0" w:line="10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00"/>
          </w:cols>
          <w:pgMar w:left="320" w:top="482" w:right="47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Any such gain or loss that you recognize will generally be treated as U.S.-source income or loss for foreign tax credit limitation purposes, in which event you may not be able to use the foreign tax credit arising from any mainland China tax imposed on the disposition of the ADSs or Class A ordinary shares unless such credit can be applied (subject to applicable limitations) against tax due on other income derived from foreign sources in the same category. However, in the event we are deemed to be a mainland China resident enterprise under PRC tax law, we may be eligible for the benefits of the Treaty. In such event, if PRC tax were to be imposed on any gain from the disposition of the ADSs or Class A ordinary shares, a U.S. Holder that is eligible for the benefits of the Treaty may elect to treat such gain as mainland China-source income for foreign tax credit purposes. Pursuant to the United States Treasury Regulations (the applicability of which has been postponed until further guidance is issued), however, if a U.S. Holder is not eligible for the benefits of the Treaty or does not elect to apply the Treaty, then such holder may not be able to claim a foreign tax credit arising from any PRC tax imposed on the disposition of our ADSs or Class A ordinary shares, unless such credit can be applied (subject to applicable limitations) against U.S. federal income tax due on other income derived from foreign sources in the same income category (generally, the passive category). You should consult your tax advisor regarding the tax consequences in case any mainland China tax is imposed on gain on a disposition of the ADSs or Class A ordinary shares, including the availability of the foreign tax credit and the election to treat any gain as mainland China-source, under your particular circumstances, including their eligibility for benefits under the Treaty, and the potential impact of the United States Treasury Regulations.</w:t>
      </w:r>
    </w:p>
    <w:p>
      <w:pPr>
        <w:spacing w:after="0" w:line="187"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If the consideration received by a U.S. Holder upon a sale or other taxable disposition of ADSs or Class A ordinary shares is not paid in U.S. dollars, the amount realized will be the U.S. dollar value of such payment calculated by reference to the exchange rate in effect on the date of such sale or disposition. A U.S. Holder may have foreign currency gain or loss to the extent of the difference, if any, between (i) the U.S. dollar value of such payment on the date of such sale or disposition and (ii) the U.S. dollar value of such payment calculated by reference to the exchange rate in effect on the date of settlement.</w:t>
      </w:r>
    </w:p>
    <w:p>
      <w:pPr>
        <w:spacing w:after="0" w:line="183"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Each U.S. Holder is advised to consult its tax advisor regarding the tax consequences of a sale or other taxable disposition of ADSs or Class A ordinary shares, including creditability of foreign taxes imposed on such sale or disposition by a taxing jurisdiction other than the United States, under its particular circumstances.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 non-U.S. corporation, such as our company, is considered a PFIC for any taxable year if either (i) at least 75% of its gross income is passive income, or (ii) at least 50% of the value of its assets (based on an average of the quarterly values of the assets during a taxable year) is attributable to assets that produce or are held for the production of passive income. For this purpose, cash and assets readily convertible into cash are categorized as passive assets and the company’s goodwill and other unbooked intangibles are taken into account. We will be treated as owning our proportionate share of the assets and earning our proportionate share of the income of any other corporation in which we own, directly or indirectly, more than 25% (by value) of the shares.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Based on the current and anticipated value of our assets and composition of our income and assets, including goodwill, we believe that we were not a PFIC for our taxable year ended December 31, 2024, and do not presently expect to be a PFIC for the 2025 taxable year or the foreseeable future. However, the determination as to whether we are a PFIC must be made annually after the end of each taxable year based on that year’s composition of income and assets, and consequently, our PFIC status may change. While we do not anticipate becoming a PFIC, changes in the nature of our income or assets or the value of our ADSs may cause us to become a PFIC for the current or any subsequent taxable year. In particular, because the value of certain of our assets for purposes of the asset test is generally determined by reference to the market price of the ADSs, our PFIC status may depend in part on the market price of the ADSs, which may fluctuate considerably. The composition of our income and assets may also be affected by how, and how quickly, we use our liquid assets.</w:t>
      </w:r>
    </w:p>
    <w:p>
      <w:pPr>
        <w:spacing w:after="0" w:line="19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discussion above under “Dividends” and “Sale or Other Disposition” is written on the basis that we are not currently and will not be or become classified as a PFIC for U.S. federal income tax purposes. The U.S. federal income tax rules that apply generally if we are treated as a PFIC are discussed below.</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If we are a PFIC for any taxable year during which you hold the ADSs or the Class A ordinary shares you will be subject to special tax rules with respect to any “excess distribution” that you receive and any gain you realize from a sale or other disposition (including a pledge) of the ADSs or Class A ordinary shares, unless you make a mark-to-market election as discussed below. Distributions you receive in a taxable year that are greater than 125% of the average annual distributions you received during the shorter of the three preceding taxable years or your holding period for the ADSs or Class A ordinary shares will be treated as an excess distribution. Under these special tax rules:</w:t>
      </w:r>
    </w:p>
    <w:p>
      <w:pPr>
        <w:spacing w:after="0" w:line="89" w:lineRule="exact"/>
        <w:rPr>
          <w:sz w:val="20"/>
          <w:szCs w:val="20"/>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would be allocated ratably over your holding period for the ADSs or Class A ordinary shares;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 prior to the first taxable year in which we became a PFIC, would be treated as ordinary income; and</w:t>
      </w:r>
    </w:p>
    <w:p>
      <w:pPr>
        <w:spacing w:after="0" w:line="67" w:lineRule="exact"/>
        <w:rPr>
          <w:rFonts w:ascii="Times New Roman" w:cs="Times New Roman" w:eastAsia="Times New Roman" w:hAnsi="Times New Roman"/>
          <w:sz w:val="18"/>
          <w:szCs w:val="18"/>
          <w:color w:val="auto"/>
        </w:rPr>
      </w:pPr>
    </w:p>
    <w:p>
      <w:pPr>
        <w:jc w:val="both"/>
        <w:ind w:left="1080" w:right="80" w:hanging="424"/>
        <w:spacing w:after="0" w:line="312" w:lineRule="auto"/>
        <w:tabs>
          <w:tab w:leader="none" w:pos="108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allocated to each of the other taxable years would be subject to tax at the highest rate of tax in effect for you for such year and would be increased by an additional tax equal to interest on the resulting tax deemed deferred with respect to each such other taxable year.</w:t>
      </w:r>
    </w:p>
    <w:p>
      <w:pPr>
        <w:sectPr>
          <w:pgSz w:w="11900" w:h="16838" w:orient="portrait"/>
          <w:cols w:equalWidth="0" w:num="1">
            <w:col w:w="11120"/>
          </w:cols>
          <w:pgMar w:left="320" w:top="482" w:right="459" w:bottom="1440" w:gutter="0" w:footer="0" w:header="0"/>
        </w:sectPr>
      </w:pP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20"/>
          </w:cols>
          <w:pgMar w:left="320" w:top="482" w:right="459" w:bottom="144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tax liability for amounts allocated to years prior to the year of disposition or “excess distribution” cannot be offset by any net operating losses for such years, and gains (but not losses) realized on the sale of the ADSs or Class A ordinary shares cannot be treated as capital, even if you hold the ADSs or Class A ordinary shares as capital assets.</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Alternatively, a U.S. Holder of “marketable stock” (as defined below) in a PFIC may make a mark-to-market election for such stock of a PFIC to elect out of the tax treatment discussed in the two preceding paragraphs. The mark-to-market election is available only for “marketable stock,” which is stock that is traded in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quantities on at least 15 days during each calendar quarter, or “regularly traded,” on a qualified exchange or other market, as defined in applicable Treasury Regulations. We expect that the ADSs will continue to be listed on the Nasdaq Global Select Market which is a qualified exchange for these purposes.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Consequently, assuming that the ADSs are regularly traded, if you are a holder of ADSs, it is expected that the mark-to-market election would be available to you were we to become a PFIC. However, a mark-to-market election may not be made with respect to our Class A ordinary shares as they are not marketable stock. If you make a valid mark-to-market election for the ADSs, you will include in income each year an amount equal to the excess, if any, of the fair market value of the ADSs as of the close of your taxable year over your adjusted basis in such ADSs. You are allowed a deduction for the excess, if any, of the adjusted basis of the ADSs over their fair market value as of the close of the taxable year. Such deductions, however, are allowable only to the extent of any net mark-to-market gains on the ADSs included in your income for prior taxable years. Amounts included in your income under a mark-to-market election, as well as gain on the actual sale or other disposition of the ADSs in a year in which we are a PFIC, are treated as ordinary income. Ordinary loss treatment also applies to the deductible portion of any mark-to-market loss on the ADSs, as well as to any loss realized on the actual sale or disposition of the ADSs, to the extent that the amount of such loss does not exceed the net mark-to-market gains previously included for such ADSs. Your basis in the ADSs will be adjusted to reflect any such income or loss amounts. If you make such a mark-to-market election, tax rules that apply to distributions by corporations which are not PFICs would apply to distributions by us (except that the lower applicable capital gains rate would not apply).</w:t>
      </w:r>
    </w:p>
    <w:p>
      <w:pPr>
        <w:spacing w:after="0" w:line="19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Because, as a technical matter, a mark-to-market election cannot be made for any lower-tier PFICs that we may own, a U.S. Holder may continue to be subject to the general PFIC rules described above with respect to such U.S. Holder’s indirect interest in certain investments held by us that are treated as an equity interest in a PFIC for U.S. federal income tax purposes.</w:t>
      </w:r>
    </w:p>
    <w:p>
      <w:pPr>
        <w:spacing w:after="0" w:line="176"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Alternatively, a U.S. Holder may avoid the PFIC tax consequences described above in respect to its ADSs and Class A ordinary shares by making a timely “qualified electing fund,” or QEF, election. To comply with the requirements of a QEF election, a U.S. Holder must receive certain information from us. Because we do not intend to provide such information, however, such election will not be available to you with respect to the ADSs or Class A ordinary shares.</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you hold ADSs or Class A ordinary shares in any year in which we are a PFIC, you will generally be required to file an annual information report containing such information as the U.S. Treasury may require. Failure to do so, if required, will extend the statute of limitations applicable to such U.S. Holder until such required information is furnished to the IRS and could result in penalties.</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we are treated as a PFIC and, at any time, have a non-U.S. subsidiary that is treated as a PFIC, a U.S. Holder generally would be deemed to own a proportionate amount of the shares of such lower-tier PFIC, and generally could incur liability for the deferred tax and interest charge described above if we receive a distribution from, or sell or otherwise dispose of all or part of our interest in, such lower-tier PFIC, or the U.S. Holder otherwise was deemed to have sold or otherwise disposed of an interest in such lower-tier PFIC. U.S. Holders should consult their tax advisors regarding the application of the lower-tier PFIC rules in their particular circumstances.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are urged to consult your tax advisor regarding the application of the PFIC rules to your investment in the ADSs or Class A ordinary shares.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U.S. Holders may be subject to information reporting to the IRS and U.S. backup withholding with respect to dividends on and proceeds from the sale or other disposition of our ADSs or Class A ordinary shares. Backup withholding will not apply, however, to (i) U.S. Holders who are corporations or other exempt recipients or (ii) the U.S. Holders that provide a correct taxpayer identification number and certifies that is not subject to backup withholding.</w:t>
      </w:r>
    </w:p>
    <w:p>
      <w:pPr>
        <w:spacing w:after="0" w:line="180"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a U.S. Holder’s U.S. federal income tax liability and may entitle the U.S. Holder to a refund of any excess amounts withheld provided that the required information is timely furnished to the IRS.</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U.S. Holders should consult their tax advisors regarding the information reporting requirements and the application of backup withholding rules in their particular circumstances.</w:t>
      </w:r>
    </w:p>
    <w:p>
      <w:pPr>
        <w:sectPr>
          <w:pgSz w:w="11900" w:h="16838" w:orient="portrait"/>
          <w:cols w:equalWidth="0" w:num="1">
            <w:col w:w="11120"/>
          </w:cols>
          <w:pgMar w:left="320" w:top="482" w:right="459" w:bottom="1440" w:gutter="0" w:footer="0" w:header="0"/>
        </w:sectPr>
      </w:pP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20"/>
          </w:cols>
          <w:pgMar w:left="320" w:top="482" w:right="459" w:bottom="1440"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THIS DISCUSSION IS FOR GENERAL INFORMATIONAL PURPOSES ONLY AND IS NOT TAX ADVICE. U.S. HOLDERS SHOULD CONSULT THEIR TAX ADVISORS REGARDING THE U.S. FEDERAL, STATE, AND LOCAL AND NON-U.S. INCOME AND NON-INCOME TAX CONSEQUENCES OF THE ACQUISITION, OWNERSHIP, AND DISPOSITION OF OUR ADSs AND CLASS A ORDINARY SHARES, INCLUDING THE IMPACT OF ANY POTENTIAL CHANGE IN LAW, IN THEIR PARTICULAR CIRCUMSTANCES.</w:t>
      </w:r>
    </w:p>
    <w:p>
      <w:pPr>
        <w:spacing w:after="0" w:line="324" w:lineRule="exact"/>
        <w:rPr>
          <w:sz w:val="20"/>
          <w:szCs w:val="20"/>
          <w:color w:val="auto"/>
        </w:rPr>
      </w:pPr>
    </w:p>
    <w:p>
      <w:pPr>
        <w:ind w:left="560" w:right="7620" w:hanging="444"/>
        <w:spacing w:after="0" w:line="412" w:lineRule="auto"/>
        <w:tabs>
          <w:tab w:leader="none" w:pos="552"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PAYING AGENTS </w:t>
      </w:r>
      <w:r>
        <w:rPr>
          <w:rFonts w:ascii="Times New Roman" w:cs="Times New Roman" w:eastAsia="Times New Roman" w:hAnsi="Times New Roman"/>
          <w:sz w:val="18"/>
          <w:szCs w:val="18"/>
          <w:color w:val="auto"/>
        </w:rPr>
        <w:t>Not applicable.</w:t>
      </w:r>
    </w:p>
    <w:p>
      <w:pPr>
        <w:spacing w:after="0" w:line="193" w:lineRule="exact"/>
        <w:rPr>
          <w:rFonts w:ascii="Times New Roman" w:cs="Times New Roman" w:eastAsia="Times New Roman" w:hAnsi="Times New Roman"/>
          <w:sz w:val="18"/>
          <w:szCs w:val="18"/>
          <w:b w:val="1"/>
          <w:bCs w:val="1"/>
          <w:color w:val="auto"/>
        </w:rPr>
      </w:pPr>
    </w:p>
    <w:p>
      <w:pPr>
        <w:ind w:left="560" w:right="8300" w:hanging="444"/>
        <w:spacing w:after="0" w:line="412" w:lineRule="auto"/>
        <w:tabs>
          <w:tab w:leader="none" w:pos="552"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STATEMENT BY EXPERTS </w:t>
      </w:r>
      <w:r>
        <w:rPr>
          <w:rFonts w:ascii="Times New Roman" w:cs="Times New Roman" w:eastAsia="Times New Roman" w:hAnsi="Times New Roman"/>
          <w:sz w:val="18"/>
          <w:szCs w:val="18"/>
          <w:color w:val="auto"/>
        </w:rPr>
        <w:t>Not applicable.</w:t>
      </w:r>
    </w:p>
    <w:p>
      <w:pPr>
        <w:spacing w:after="0" w:line="193"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ON DISPLAY</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are subject to periodic reporting and other informational requirements of the Exchange Act as applicable to foreign private issuers, and are required to file reports and other information with the SEC. Specifically, we are required to file annually an annual report on Form 20-F within four months after the end of each fiscal year, which is December 31. All information filed with the SEC can be obtained over the internet at the SEC’s website at www.sec.gov. 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will furnish Deutsche Bank Trust Company Americas, the depositary of our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spacing w:after="0" w:line="181" w:lineRule="exact"/>
        <w:rPr>
          <w:sz w:val="20"/>
          <w:szCs w:val="20"/>
          <w:color w:val="auto"/>
        </w:rPr>
      </w:pPr>
    </w:p>
    <w:p>
      <w:pPr>
        <w:ind w:left="120" w:right="2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In accordance with Nasdaq Stock Market Rule 5250(d), we will post this annual report on our website </w:t>
      </w:r>
      <w:r>
        <w:rPr>
          <w:rFonts w:ascii="Times New Roman" w:cs="Times New Roman" w:eastAsia="Times New Roman" w:hAnsi="Times New Roman"/>
          <w:sz w:val="18"/>
          <w:szCs w:val="18"/>
          <w:i w:val="1"/>
          <w:iCs w:val="1"/>
          <w:u w:val="single" w:color="auto"/>
          <w:color w:val="auto"/>
        </w:rPr>
        <w:t>ir.weride.ai</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addition, we will provide hardcopies of our annual report to shareholders, including ADS holders, free of charge upon request.</w:t>
      </w:r>
    </w:p>
    <w:p>
      <w:pPr>
        <w:spacing w:after="0" w:line="305" w:lineRule="exact"/>
        <w:rPr>
          <w:sz w:val="20"/>
          <w:szCs w:val="20"/>
          <w:color w:val="auto"/>
        </w:rPr>
      </w:pPr>
    </w:p>
    <w:p>
      <w:pPr>
        <w:ind w:left="560" w:right="8100" w:hanging="444"/>
        <w:spacing w:after="0" w:line="450" w:lineRule="auto"/>
        <w:tabs>
          <w:tab w:leader="none" w:pos="552" w:val="left"/>
        </w:tabs>
        <w:numPr>
          <w:ilvl w:val="0"/>
          <w:numId w:val="1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SUBSIDIARY INFORMATION </w:t>
      </w:r>
      <w:r>
        <w:rPr>
          <w:rFonts w:ascii="Times New Roman" w:cs="Times New Roman" w:eastAsia="Times New Roman" w:hAnsi="Times New Roman"/>
          <w:sz w:val="17"/>
          <w:szCs w:val="17"/>
          <w:color w:val="auto"/>
        </w:rPr>
        <w:t>Not applicable.</w:t>
      </w:r>
    </w:p>
    <w:p>
      <w:pPr>
        <w:spacing w:after="0" w:line="171" w:lineRule="exact"/>
        <w:rPr>
          <w:rFonts w:ascii="Times New Roman" w:cs="Times New Roman" w:eastAsia="Times New Roman" w:hAnsi="Times New Roman"/>
          <w:sz w:val="17"/>
          <w:szCs w:val="17"/>
          <w:b w:val="1"/>
          <w:bCs w:val="1"/>
          <w:color w:val="auto"/>
        </w:rPr>
      </w:pPr>
    </w:p>
    <w:p>
      <w:pPr>
        <w:ind w:left="560" w:right="6820" w:hanging="444"/>
        <w:spacing w:after="0" w:line="412" w:lineRule="auto"/>
        <w:tabs>
          <w:tab w:leader="none" w:pos="552"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ANNUAL REPORT TO SECURITY HOLDERS </w:t>
      </w: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ind w:left="120" w:right="346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ITEM 11. QUANTITATIVE AND QUALITATIVE DISCLOSURES ABOUT MARKET RISK </w:t>
      </w:r>
      <w:r>
        <w:rPr>
          <w:rFonts w:ascii="Times New Roman" w:cs="Times New Roman" w:eastAsia="Times New Roman" w:hAnsi="Times New Roman"/>
          <w:sz w:val="18"/>
          <w:szCs w:val="18"/>
          <w:b w:val="1"/>
          <w:bCs w:val="1"/>
          <w:i w:val="1"/>
          <w:iCs w:val="1"/>
          <w:color w:val="auto"/>
        </w:rPr>
        <w:t>Foreign Exchange Risk</w:t>
      </w: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We are exposed to currency risk primarily due to receivables, payables and cash balances that are denominated in a currency other than the respective functional currencies of our companies. Foreign exchange rate risks exist primarily for the U.S. dollar.</w:t>
      </w:r>
    </w:p>
    <w:p>
      <w:pPr>
        <w:spacing w:after="0" w:line="16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As of December 31, 2024, we had cash and cash equivalents denominated in U.S. dollar amounting to US$266.0 million, trade receivables in U.S. dollar amounting to US$1.3 million and intercompany payables in U.S. dollar amounting to US$204.6 million. A 10% depreciation of Renminbi against the U.S. dollar based on the foreign exchange rate on December 31, 2024 would result in a decrease of RMB45.8 million in our loss for the year and cumulative losses. A 10% appreciation of Renminbi against the U.S. dollar based on the foreign exchange rate on December 31, 2024 would result in an increase of RMB45.8 million in our loss for the year and cumulative losses. We have not used any derivative financial instruments to hedge exposure to foreign exchange risk. We monitor our currency risk exposure by periodically reviewing foreign currency exchange rates and will consider hedging significant foreign currency exposure should the need arise.</w:t>
      </w:r>
    </w:p>
    <w:p>
      <w:pPr>
        <w:spacing w:after="0" w:line="18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In addition, the value of your investment in our ADSs will be affected by the exchange rate between the U.S. dollar and Renminbi because the value of our business is effectively denominated in Renminbi, while our ADSs will be traded in U.S. dollars.</w:t>
      </w:r>
    </w:p>
    <w:p>
      <w:pPr>
        <w:sectPr>
          <w:pgSz w:w="11900" w:h="16838" w:orient="portrait"/>
          <w:cols w:equalWidth="0" w:num="1">
            <w:col w:w="11120"/>
          </w:cols>
          <w:pgMar w:left="320" w:top="482" w:right="459" w:bottom="1440" w:gutter="0" w:footer="0" w:header="0"/>
        </w:sectPr>
      </w:pP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20"/>
          </w:cols>
          <w:pgMar w:left="320" w:top="482" w:right="459" w:bottom="1440" w:gutter="0" w:footer="0" w:header="0"/>
          <w:type w:val="continuous"/>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The conversion of Renminbi into foreign currencies, including U.S. dollars, is based on rates set by the People’s Bank of China. The Renminbi has fluctuated against the U.S. dollar, at times significantly and unpredictably. It is difficult to predict how market forces or PRC or U.S. government policy may impact the exchange rate between Renminbi and the U.S. dollar in the future. To the extent that we need to convert U.S. dollars into Renminbi for our operations, appreciation of the Renminbi against the U.S. dollar would have an adverse effect on the RMB amount we receive from the conversion. Conversely, if we decide to convert Renminbi into U.S. dollars for the purpose of making payments for dividends on our ordinary shares or ADSs or for other business purposes, appreciation of the U.S. dollar against the Renminbi would have a negative effect on the U.S. dollar amounts available to us.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Interest-bearing financial instruments at variable rates and at fixed rates expose us to cash flow interest rate risk and fair value interest risk, respectively. We determine the appropriate weight of the fixed and floating rate interest-bearing instruments based on the current market conditions and performs regular reviews and monitoring to achieve an appropriate mix of fixed and floating rate exposure. We have not been exposed to, nor do we anticipate being exposed to, material risks due to changes in market interest rates. We do not enter into financial derivatives to hedge interest rate risk.</w:t>
      </w:r>
    </w:p>
    <w:p>
      <w:pPr>
        <w:spacing w:after="0" w:line="309"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DESCRIPTION OF SECURITIES OTHER THAN EQUITY SECURITIES</w:t>
      </w:r>
    </w:p>
    <w:p>
      <w:pPr>
        <w:spacing w:after="0" w:line="131" w:lineRule="exact"/>
        <w:rPr>
          <w:sz w:val="20"/>
          <w:szCs w:val="20"/>
          <w:color w:val="auto"/>
        </w:rPr>
      </w:pPr>
    </w:p>
    <w:p>
      <w:pPr>
        <w:ind w:left="560" w:right="8960" w:hanging="444"/>
        <w:spacing w:after="0" w:line="412" w:lineRule="auto"/>
        <w:tabs>
          <w:tab w:leader="none" w:pos="552"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DEBT SECURITIES </w:t>
      </w:r>
      <w:r>
        <w:rPr>
          <w:rFonts w:ascii="Times New Roman" w:cs="Times New Roman" w:eastAsia="Times New Roman" w:hAnsi="Times New Roman"/>
          <w:sz w:val="18"/>
          <w:szCs w:val="18"/>
          <w:color w:val="auto"/>
        </w:rPr>
        <w:t>Not applicable.</w:t>
      </w:r>
    </w:p>
    <w:p>
      <w:pPr>
        <w:spacing w:after="0" w:line="193" w:lineRule="exact"/>
        <w:rPr>
          <w:rFonts w:ascii="Times New Roman" w:cs="Times New Roman" w:eastAsia="Times New Roman" w:hAnsi="Times New Roman"/>
          <w:sz w:val="18"/>
          <w:szCs w:val="18"/>
          <w:b w:val="1"/>
          <w:bCs w:val="1"/>
          <w:color w:val="auto"/>
        </w:rPr>
      </w:pPr>
    </w:p>
    <w:p>
      <w:pPr>
        <w:ind w:left="560" w:right="8380" w:hanging="444"/>
        <w:spacing w:after="0" w:line="412" w:lineRule="auto"/>
        <w:tabs>
          <w:tab w:leader="none" w:pos="552"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WARRANTS AND RIGHTS </w:t>
      </w:r>
      <w:r>
        <w:rPr>
          <w:rFonts w:ascii="Times New Roman" w:cs="Times New Roman" w:eastAsia="Times New Roman" w:hAnsi="Times New Roman"/>
          <w:sz w:val="18"/>
          <w:szCs w:val="18"/>
          <w:color w:val="auto"/>
        </w:rPr>
        <w:t>Not applicable.</w:t>
      </w:r>
    </w:p>
    <w:p>
      <w:pPr>
        <w:spacing w:after="0" w:line="193" w:lineRule="exact"/>
        <w:rPr>
          <w:rFonts w:ascii="Times New Roman" w:cs="Times New Roman" w:eastAsia="Times New Roman" w:hAnsi="Times New Roman"/>
          <w:sz w:val="18"/>
          <w:szCs w:val="18"/>
          <w:b w:val="1"/>
          <w:bCs w:val="1"/>
          <w:color w:val="auto"/>
        </w:rPr>
      </w:pPr>
    </w:p>
    <w:p>
      <w:pPr>
        <w:ind w:left="560" w:right="8800" w:hanging="444"/>
        <w:spacing w:after="0" w:line="412" w:lineRule="auto"/>
        <w:tabs>
          <w:tab w:leader="none" w:pos="552"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SECURITIES </w:t>
      </w:r>
      <w:r>
        <w:rPr>
          <w:rFonts w:ascii="Times New Roman" w:cs="Times New Roman" w:eastAsia="Times New Roman" w:hAnsi="Times New Roman"/>
          <w:sz w:val="18"/>
          <w:szCs w:val="18"/>
          <w:color w:val="auto"/>
        </w:rPr>
        <w:t>Not applicable.</w:t>
      </w:r>
    </w:p>
    <w:p>
      <w:pPr>
        <w:spacing w:after="0" w:line="193"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AMERICAN DEPOSITARY SHARES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and Charges Our ADS holders May Have to Pay</w:t>
      </w:r>
    </w:p>
    <w:p>
      <w:pPr>
        <w:spacing w:after="0" w:line="121" w:lineRule="exact"/>
        <w:rPr>
          <w:sz w:val="20"/>
          <w:szCs w:val="20"/>
          <w:color w:val="auto"/>
        </w:rPr>
      </w:pPr>
    </w:p>
    <w:p>
      <w:pPr>
        <w:ind w:left="120" w:right="160" w:firstLine="440"/>
        <w:spacing w:after="0" w:line="312" w:lineRule="auto"/>
        <w:rPr>
          <w:sz w:val="20"/>
          <w:szCs w:val="20"/>
          <w:color w:val="auto"/>
        </w:rPr>
      </w:pPr>
      <w:r>
        <w:rPr>
          <w:rFonts w:ascii="Times New Roman" w:cs="Times New Roman" w:eastAsia="Times New Roman" w:hAnsi="Times New Roman"/>
          <w:sz w:val="17"/>
          <w:szCs w:val="17"/>
          <w:color w:val="auto"/>
        </w:rPr>
        <w:t>As an ADS holder, you will be required to pay the following service fees to the depositary bank and certain taxes and governmental charges (in addition to any applicable fees, expenses, taxes and other governmental charges payable on the deposited securities represented by any of your ADSs):</w:t>
      </w:r>
    </w:p>
    <w:p>
      <w:pPr>
        <w:spacing w:after="0" w:line="160"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60" w:type="dxa"/>
            <w:vAlign w:val="bottom"/>
            <w:tcBorders>
              <w:bottom w:val="single" w:sz="8" w:color="auto"/>
            </w:tcBorders>
          </w:tcPr>
          <w:p>
            <w:pPr>
              <w:spacing w:after="0"/>
              <w:rPr>
                <w:sz w:val="16"/>
                <w:szCs w:val="16"/>
                <w:color w:val="auto"/>
              </w:rPr>
            </w:pPr>
          </w:p>
        </w:tc>
        <w:tc>
          <w:tcPr>
            <w:tcW w:w="5360" w:type="dxa"/>
            <w:vAlign w:val="bottom"/>
            <w:tcBorders>
              <w:bottom w:val="single" w:sz="8" w:color="auto"/>
            </w:tcBorders>
          </w:tcPr>
          <w:p>
            <w:pPr>
              <w:ind w:left="232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8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4"/>
                <w:szCs w:val="14"/>
                <w:b w:val="1"/>
                <w:bCs w:val="1"/>
                <w:color w:val="auto"/>
              </w:rPr>
              <w:t>Fees</w:t>
            </w:r>
          </w:p>
        </w:tc>
      </w:tr>
      <w:tr>
        <w:trPr>
          <w:trHeight w:val="286"/>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 To any person to which ADSs are issued or to any person to which a</w:t>
            </w:r>
          </w:p>
        </w:tc>
        <w:tc>
          <w:tcPr>
            <w:tcW w:w="5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Up to US$0.05 per ADS issued</w:t>
            </w:r>
          </w:p>
        </w:tc>
      </w:tr>
      <w:tr>
        <w:trPr>
          <w:trHeight w:val="216"/>
        </w:trPr>
        <w:tc>
          <w:tcPr>
            <w:tcW w:w="260" w:type="dxa"/>
            <w:vAlign w:val="bottom"/>
          </w:tcPr>
          <w:p>
            <w:pPr>
              <w:spacing w:after="0"/>
              <w:rPr>
                <w:sz w:val="18"/>
                <w:szCs w:val="18"/>
                <w:color w:val="auto"/>
              </w:rPr>
            </w:pPr>
          </w:p>
        </w:tc>
        <w:tc>
          <w:tcPr>
            <w:tcW w:w="5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distribution is made in respect of ADS distributions pursuant to stock</w:t>
            </w:r>
          </w:p>
        </w:tc>
        <w:tc>
          <w:tcPr>
            <w:tcW w:w="60" w:type="dxa"/>
            <w:vAlign w:val="bottom"/>
          </w:tcPr>
          <w:p>
            <w:pPr>
              <w:spacing w:after="0"/>
              <w:rPr>
                <w:sz w:val="18"/>
                <w:szCs w:val="18"/>
                <w:color w:val="auto"/>
              </w:rPr>
            </w:pPr>
          </w:p>
        </w:tc>
        <w:tc>
          <w:tcPr>
            <w:tcW w:w="528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5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dividends or other free distributions of stock, bonus distributions, stock</w:t>
            </w:r>
          </w:p>
        </w:tc>
        <w:tc>
          <w:tcPr>
            <w:tcW w:w="60" w:type="dxa"/>
            <w:vAlign w:val="bottom"/>
          </w:tcPr>
          <w:p>
            <w:pPr>
              <w:spacing w:after="0"/>
              <w:rPr>
                <w:sz w:val="18"/>
                <w:szCs w:val="18"/>
                <w:color w:val="auto"/>
              </w:rPr>
            </w:pPr>
          </w:p>
        </w:tc>
        <w:tc>
          <w:tcPr>
            <w:tcW w:w="5280" w:type="dxa"/>
            <w:vAlign w:val="bottom"/>
          </w:tcPr>
          <w:p>
            <w:pPr>
              <w:spacing w:after="0"/>
              <w:rPr>
                <w:sz w:val="18"/>
                <w:szCs w:val="18"/>
                <w:color w:val="auto"/>
              </w:rPr>
            </w:pPr>
          </w:p>
        </w:tc>
      </w:tr>
      <w:tr>
        <w:trPr>
          <w:trHeight w:val="234"/>
        </w:trPr>
        <w:tc>
          <w:tcPr>
            <w:tcW w:w="260" w:type="dxa"/>
            <w:vAlign w:val="bottom"/>
          </w:tcPr>
          <w:p>
            <w:pPr>
              <w:spacing w:after="0"/>
              <w:rPr>
                <w:sz w:val="20"/>
                <w:szCs w:val="20"/>
                <w:color w:val="auto"/>
              </w:rPr>
            </w:pPr>
          </w:p>
        </w:tc>
        <w:tc>
          <w:tcPr>
            <w:tcW w:w="5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splits or other distributions (except where converted to cash)</w:t>
            </w:r>
          </w:p>
        </w:tc>
        <w:tc>
          <w:tcPr>
            <w:tcW w:w="6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306"/>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 Cancellation of ADSs, including in the case of termination of the deposit</w:t>
            </w:r>
          </w:p>
        </w:tc>
        <w:tc>
          <w:tcPr>
            <w:tcW w:w="5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Up to US$0.05 per ADS cancelled</w:t>
            </w:r>
          </w:p>
        </w:tc>
      </w:tr>
      <w:tr>
        <w:trPr>
          <w:trHeight w:val="234"/>
        </w:trPr>
        <w:tc>
          <w:tcPr>
            <w:tcW w:w="260" w:type="dxa"/>
            <w:vAlign w:val="bottom"/>
          </w:tcPr>
          <w:p>
            <w:pPr>
              <w:spacing w:after="0"/>
              <w:rPr>
                <w:sz w:val="20"/>
                <w:szCs w:val="20"/>
                <w:color w:val="auto"/>
              </w:rPr>
            </w:pPr>
          </w:p>
        </w:tc>
        <w:tc>
          <w:tcPr>
            <w:tcW w:w="5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agreement</w:t>
            </w:r>
          </w:p>
        </w:tc>
        <w:tc>
          <w:tcPr>
            <w:tcW w:w="6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324"/>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 Distribution of cash dividends</w:t>
            </w:r>
          </w:p>
        </w:tc>
        <w:tc>
          <w:tcPr>
            <w:tcW w:w="5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364"/>
        </w:trPr>
        <w:tc>
          <w:tcPr>
            <w:tcW w:w="260" w:type="dxa"/>
            <w:vAlign w:val="bottom"/>
          </w:tcPr>
          <w:p>
            <w:pPr>
              <w:spacing w:after="0"/>
              <w:rPr>
                <w:sz w:val="24"/>
                <w:szCs w:val="24"/>
                <w:color w:val="auto"/>
              </w:rPr>
            </w:pPr>
          </w:p>
        </w:tc>
        <w:tc>
          <w:tcPr>
            <w:tcW w:w="5420" w:type="dxa"/>
            <w:vAlign w:val="bottom"/>
            <w:gridSpan w:val="2"/>
          </w:tcPr>
          <w:p>
            <w:pPr>
              <w:ind w:left="5100"/>
              <w:spacing w:after="0"/>
              <w:rPr>
                <w:sz w:val="20"/>
                <w:szCs w:val="20"/>
                <w:color w:val="auto"/>
              </w:rPr>
            </w:pPr>
            <w:r>
              <w:rPr>
                <w:rFonts w:ascii="Times New Roman" w:cs="Times New Roman" w:eastAsia="Times New Roman" w:hAnsi="Times New Roman"/>
                <w:sz w:val="18"/>
                <w:szCs w:val="18"/>
                <w:color w:val="auto"/>
              </w:rPr>
              <w:t>152</w:t>
            </w:r>
          </w:p>
        </w:tc>
        <w:tc>
          <w:tcPr>
            <w:tcW w:w="60" w:type="dxa"/>
            <w:vAlign w:val="bottom"/>
          </w:tcPr>
          <w:p>
            <w:pPr>
              <w:spacing w:after="0"/>
              <w:rPr>
                <w:sz w:val="24"/>
                <w:szCs w:val="24"/>
                <w:color w:val="auto"/>
              </w:rPr>
            </w:pPr>
          </w:p>
        </w:tc>
        <w:tc>
          <w:tcPr>
            <w:tcW w:w="528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ectPr>
          <w:pgSz w:w="11900" w:h="16838" w:orient="portrait"/>
          <w:cols w:equalWidth="0" w:num="1">
            <w:col w:w="11140"/>
          </w:cols>
          <w:pgMar w:left="320" w:top="482" w:right="439" w:bottom="1440" w:gutter="0" w:footer="0" w:header="0"/>
        </w:sectPr>
      </w:pPr>
    </w:p>
    <w:p>
      <w:pPr>
        <w:spacing w:after="0" w:line="3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•    Distribution of cash entitlements (other than cash dividends) and/or cash</w:t>
      </w:r>
    </w:p>
    <w:p>
      <w:pPr>
        <w:spacing w:after="0" w:line="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proceeds from the sale of rights, securities and other entitlements</w:t>
      </w:r>
    </w:p>
    <w:p>
      <w:pPr>
        <w:spacing w:after="0" w:line="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 Distribution of ADSs pursuant to exercise of rights</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 Distribution of securities other than ADSs or rights to purchase</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additional ADSs</w:t>
      </w:r>
    </w:p>
    <w:p>
      <w:pPr>
        <w:spacing w:after="0" w:line="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 Depositary services</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US$0.05 per ADS held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US$0.05 per ADS held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US$0.05 per ADS held</w:t>
      </w: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Up to US$0.05 per ADS held on the applicable record date(s) established by the depositary bank</w:t>
      </w:r>
    </w:p>
    <w:p>
      <w:pPr>
        <w:spacing w:after="0" w:line="162" w:lineRule="exact"/>
        <w:rPr>
          <w:sz w:val="20"/>
          <w:szCs w:val="20"/>
          <w:color w:val="auto"/>
        </w:rPr>
      </w:pPr>
    </w:p>
    <w:p>
      <w:pPr>
        <w:sectPr>
          <w:pgSz w:w="11900" w:h="16838" w:orient="portrait"/>
          <w:cols w:equalWidth="0" w:num="2">
            <w:col w:w="5680" w:space="180"/>
            <w:col w:w="5280"/>
          </w:cols>
          <w:pgMar w:left="320" w:top="482" w:right="439" w:bottom="1440" w:gutter="0" w:footer="0" w:header="0"/>
          <w:type w:val="continuous"/>
        </w:sectPr>
      </w:pPr>
    </w:p>
    <w:p>
      <w:pPr>
        <w:ind w:left="120" w:right="620" w:firstLine="440"/>
        <w:spacing w:after="0" w:line="266" w:lineRule="auto"/>
        <w:rPr>
          <w:sz w:val="20"/>
          <w:szCs w:val="20"/>
          <w:color w:val="auto"/>
        </w:rPr>
      </w:pPr>
      <w:r>
        <w:rPr>
          <w:rFonts w:ascii="Times New Roman" w:cs="Times New Roman" w:eastAsia="Times New Roman" w:hAnsi="Times New Roman"/>
          <w:sz w:val="18"/>
          <w:szCs w:val="18"/>
          <w:color w:val="auto"/>
        </w:rPr>
        <w:t>As an ADS holder, you will also be responsible for paying certain fees and expenses incurred by the depositary bank and certain taxes and governmental charges (in addition to any applicable fees, expenses, taxes and other governmental charges payable on the deposited securities represented by any of your ADSs) such as:</w:t>
      </w:r>
    </w:p>
    <w:p>
      <w:pPr>
        <w:spacing w:after="0" w:line="81" w:lineRule="exact"/>
        <w:rPr>
          <w:sz w:val="20"/>
          <w:szCs w:val="20"/>
          <w:color w:val="auto"/>
        </w:rPr>
      </w:pPr>
    </w:p>
    <w:p>
      <w:pPr>
        <w:ind w:left="1080" w:right="140" w:hanging="424"/>
        <w:spacing w:after="0" w:line="282"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for the transfer and registration of Class A ordinary shares charged by the registrar and transfer agent for the Class A ordinary shares in the Cayman Islands (i.e., upon deposit and withdrawal of Class A ordinary shares).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for converting foreign currency into U.S. dollars.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for cable, telex and fax transmissions and for delivery of securities.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and duties upon the transfer of securities, including any applicable stamp duties, any stock transfer charges or withholding taxes (i.e., when Class A ordinary shares are deposited or withdrawn from deposit).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the delivery or servicing of Class A ordinary shares on deposit.</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complying with exchange control regulations and other regulatory requirements applicable to Class A ordinary shares, deposited securities, ADSs and ADRs.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fees and penalties thereon.</w:t>
      </w:r>
    </w:p>
    <w:p>
      <w:pPr>
        <w:spacing w:after="0" w:line="225"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spacing w:after="0" w:line="183"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spacing w:after="0" w:line="18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40"/>
          </w:cols>
          <w:pgMar w:left="320" w:top="482" w:right="439" w:bottom="1440"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depositary may make payments to us or reimburse us for certain costs and expenses, by making available a portion of the ADS fees collected in respect of the ADR program or otherwise, upon such terms and conditions as we and the depositary bank agree from time to time. For the year ended December 31, 2024, we did not receive any reimbursement from the depositary.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of Taxes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You will be responsible for any taxes or other governmental charges payable, or which become payable, on your ADSs or on the deposited securities represented by any of your ADSs. The depositary may refuse to register or transfer your ADSs or allow you to withdraw the deposited securities represented by your ADSs until such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you any net proceeds, or send to you any property, remaining after it has paid the taxes. You agree to indemnify us, the depositary, the custodian and each of our and their respective agents, directors, employees and affiliates for, and hold each of them harmless from, any claims with respect to taxes (including applicable interest and penalties thereon) arising from any refund of taxes, reduced rate of withholding at source or other tax benefit obtained for you. Your obligations under this paragraph shall survive any transfer of ADRs, any surrender of ADRs and withdrawal of deposited securities or the termination of the deposit agreement.</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060"/>
          </w:cols>
          <w:pgMar w:left="320" w:top="482" w:right="51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PART II.</w:t>
      </w:r>
    </w:p>
    <w:p>
      <w:pPr>
        <w:sectPr>
          <w:pgSz w:w="11900" w:h="16838" w:orient="portrait"/>
          <w:cols w:equalWidth="0" w:num="1">
            <w:col w:w="11120"/>
          </w:cols>
          <w:pgMar w:left="320" w:top="482" w:right="459" w:bottom="1440" w:gutter="0" w:footer="0" w:header="0"/>
        </w:sectPr>
      </w:pP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13.</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DEFAULTS, DIVIDEND ARREARAGES AND DELINQUENCIES</w:t>
      </w:r>
    </w:p>
    <w:p>
      <w:pPr>
        <w:spacing w:after="0" w:line="133" w:lineRule="exact"/>
        <w:rPr>
          <w:sz w:val="20"/>
          <w:szCs w:val="20"/>
          <w:color w:val="auto"/>
        </w:rPr>
      </w:pPr>
    </w:p>
    <w:p>
      <w:pPr>
        <w:sectPr>
          <w:pgSz w:w="11900" w:h="16838" w:orient="portrait"/>
          <w:cols w:equalWidth="0" w:num="2">
            <w:col w:w="860" w:space="340"/>
            <w:col w:w="9920"/>
          </w:cols>
          <w:pgMar w:left="320" w:top="482" w:right="45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7"/>
          <w:szCs w:val="17"/>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MATERIAL MODIFICATIONS TO THE RIGHTS OF SECURITY HOLDERS AND USE OF PROCEEDS</w:t>
      </w:r>
    </w:p>
    <w:p>
      <w:pPr>
        <w:sectPr>
          <w:pgSz w:w="11900" w:h="16838" w:orient="portrait"/>
          <w:cols w:equalWidth="0" w:num="1">
            <w:col w:w="11120"/>
          </w:cols>
          <w:pgMar w:left="320" w:top="482" w:right="459" w:bottom="1440" w:gutter="0" w:footer="0" w:header="0"/>
          <w:type w:val="continuous"/>
        </w:sectPr>
      </w:pPr>
    </w:p>
    <w:p>
      <w:pPr>
        <w:spacing w:after="0" w:line="1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Modifications to the Rights of Security 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following “Use of Proceeds” information relates to the registration statement on Form F-1, as amended, for our initial public offering (File No. 333-281054), which was declared effective by the SEC on October 24, 2024. Our initial public offering closed in October 2024. The underwriters exercised their option to purchase additional ADSs from us at initial public offering price in November 2024. Morgan Stanley Asia Limited, J.P. Morgan Securities LLC and China International Capital Corporation Hong Kong Securities Limited were the representatives of the underwriters for our initial public offering. We offered and sold an aggregate of 8,650,590 ADSs at an initial public offering price of US$15.50 per ADS, including the ADSs sold upon the partial exercise of the option to purchase additional 912,190 ADSs by the underwriters for our initial public offering. We raised an aggregate of US$125.5 million in net proceeds from our initial public offering and the underwriters’ partial exercise of their option to purchase additional ADSs after deducting underwriting commissions and the offering expenses payable by us.</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total expenses incurred for our company’s account in connection with our initial public offering was US$16.9 million, which included US$9.4 million in underwriting discounts and commissions for the initial public offering and US$7.5 million in other costs and expenses in connection therewith. None of the transaction expenses included payments to directors or officers of our company or their associates, persons owning more than 10% or more of our equity securities or our affiliates. None of the net proceeds from the initial public offering were paid, directly or indirectly, to any of our directors or officers or their associates, persons owning 10% or more of our equity securities or our affiliates.</w:t>
      </w:r>
    </w:p>
    <w:p>
      <w:pPr>
        <w:spacing w:after="0" w:line="183"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For the period from October 24, 2024, the date that the Form F-1 was declared effective by the SEC, to December 31, 2024, we used US$15.0 million of the net proceeds from our initial public offering. This includes (i) US$10.8 million for research and development of autonomous driving technologies, products and services, (ii) US$0.6 million for commercialization and operation of our autonomous driving fleets, as well as marketing activities to expand into more markets, (iii) US$1.1 million to support our capital expenditures, including purchase of testing vehicles, research and development facilities and administrative expenses, and (iv) US$2.5 million for general corporate purpose. There is no material change in the use of proceeds as described in the F-1 registration statement. We still intend to use the remainder of the proceeds from our initial public offering as disclosed in the Form F-1 registration statement.</w:t>
      </w:r>
    </w:p>
    <w:p>
      <w:pPr>
        <w:spacing w:after="0" w:line="333"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annual report.</w:t>
      </w:r>
    </w:p>
    <w:p>
      <w:pPr>
        <w:spacing w:after="0" w:line="176"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Based upon that evaluation, our management has concluded that, as of December 31, 2024, our disclosure controls and procedures were effective in ensuring that the information required to be disclosed by us in the reports that we file and furnish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to allow timely decisions regarding required disclosure.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20"/>
          </w:cols>
          <w:pgMar w:left="320" w:top="482" w:right="459" w:bottom="144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 report of management’s assessment regarding internal control over financial reporting or an attestation report of the company’s registered public accounting firm due to a transition period established by rules of the Securities and Exchange Commission for newly public companies.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audits of our consolidated financial statements included in this annual report, we and our independent registered public accounting firm identified one material weakness in our internal control over financial reporting as of December 31, 2024. As defined in the standards established by the U.S. Public Company Accounting Oversight Board,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83"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The material weakness identified is that we lack sufficient financial reporting and accounting personnel with appropriate knowledge of IFRS and the SEC reporting requirements to properly address complex IFRS accounting issues and related disclosures in accordance with IFRS and financial reporting requirements set forth by the SEC. The material weakness, if not remediated timely, may lead to material misstatements in our consolidated financial statements in the future. Neither we nor our independent registered public accounting firm undertook a comprehensive assessment of our internal control for purposes of identifying and reporting material weaknesses and other control deficiencies in our internal control over financial reporting. Had we performed a formal assessment of our internal control over financial reporting or had our independent registered public accounting firm performed an audit of our internal control over financial reporting, additional deficiencies may have been identified.</w:t>
      </w:r>
    </w:p>
    <w:p>
      <w:pPr>
        <w:spacing w:after="0" w:line="189" w:lineRule="exact"/>
        <w:rPr>
          <w:sz w:val="20"/>
          <w:szCs w:val="20"/>
          <w:color w:val="auto"/>
        </w:rPr>
      </w:pPr>
    </w:p>
    <w:p>
      <w:pPr>
        <w:ind w:left="120" w:right="40" w:firstLine="440"/>
        <w:spacing w:after="0" w:line="270" w:lineRule="auto"/>
        <w:rPr>
          <w:sz w:val="20"/>
          <w:szCs w:val="20"/>
          <w:color w:val="auto"/>
        </w:rPr>
      </w:pPr>
      <w:r>
        <w:rPr>
          <w:rFonts w:ascii="Times New Roman" w:cs="Times New Roman" w:eastAsia="Times New Roman" w:hAnsi="Times New Roman"/>
          <w:sz w:val="17"/>
          <w:szCs w:val="17"/>
          <w:color w:val="auto"/>
        </w:rPr>
        <w:t>We have implemented and plan to implement a number of measures to address the material weakness that has been identified in connection with the audit of our consolidated financial statements as of and for the years ended December 31, 2022, 2023 and 2024. We have taken measures and plan to continue to take measures to remediate these deficiencies. We plan to (i) provide IFRS and SEC reporting training to enhance our team’s finance and accounting capabilities, (ii) hire more experienced professionals and engage external experts when needed to strengthen the financial reporting function,</w:t>
      </w:r>
    </w:p>
    <w:p>
      <w:pPr>
        <w:spacing w:after="0" w:line="3" w:lineRule="exact"/>
        <w:rPr>
          <w:sz w:val="20"/>
          <w:szCs w:val="20"/>
          <w:color w:val="auto"/>
        </w:rPr>
      </w:pPr>
    </w:p>
    <w:p>
      <w:pPr>
        <w:ind w:left="120" w:right="40" w:hanging="4"/>
        <w:spacing w:after="0" w:line="253" w:lineRule="auto"/>
        <w:tabs>
          <w:tab w:leader="none" w:pos="43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regular internal control assessments, (iv) update financial reporting policies to ensure compliance, and (v) further improve our reporting processes for timely and accurate handling of complex accounting issues. However, we cannot assure you that all these measures will be sufficient to remediate our material weakness in time, or at all. See “Item 3. Key Information—D. Risk Factors—Risks Related to Our Business and Industry—If we fail to develop and maintain an effective system of internal control over financial reporting, we may be unable to accurately report our financial results or prevent fraud.”</w:t>
      </w:r>
    </w:p>
    <w:p>
      <w:pPr>
        <w:spacing w:after="0" w:line="187"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As a company with less than US$1.235 billion in revenue for fiscal year of 2024,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period covered by this annual report on Form 20-F that have materially affected, or are reasonably likely to materially affect, our internal control over financial reporting.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20"/>
          </w:cols>
          <w:pgMar w:left="320" w:top="482" w:right="4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131"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16A.</w:t>
        <w:tab/>
        <w:t>AUDIT COMMITTEE FINANCIAL EXPERT</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Ms. Huiping Yan, an independent director (under the standards set forth in Rule 5605(c)(2) of the Nasdaq Stock Market Rules and Rule 10A-3 under the Securities Exchange Act of 1934) and a member of our audit committee, is an audit committee financial expert.</w:t>
      </w:r>
    </w:p>
    <w:p>
      <w:pPr>
        <w:spacing w:after="0" w:line="293"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16B.</w:t>
        <w:tab/>
        <w:t>CODE OF ETHICS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a code of ethics that applies to all of the directors, officers and employees. We have posted a copy of our code of business conduct and ethics on our website at http://ir.weride.ai.</w:t>
      </w:r>
    </w:p>
    <w:p>
      <w:pPr>
        <w:spacing w:after="0" w:line="279"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16C.</w:t>
        <w:tab/>
        <w:t>PRINCIPAL ACCOUNTANT FEES AND SERVICES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aggregate fees by the categories specified below in connection with certain professional services rendered by KPMG Huazhen LLP, our independent registered public accounting firm, for the periods indicated. We did not pay any other fees to our auditors during the periods indicated below.</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7100" w:type="dxa"/>
            <w:vAlign w:val="bottom"/>
          </w:tcPr>
          <w:p>
            <w:pPr>
              <w:spacing w:after="0"/>
              <w:rPr>
                <w:sz w:val="15"/>
                <w:szCs w:val="15"/>
                <w:color w:val="auto"/>
              </w:rPr>
            </w:pPr>
          </w:p>
        </w:tc>
        <w:tc>
          <w:tcPr>
            <w:tcW w:w="4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5"/>
                <w:szCs w:val="15"/>
                <w:color w:val="auto"/>
              </w:rPr>
            </w:pPr>
          </w:p>
        </w:tc>
        <w:tc>
          <w:tcPr>
            <w:tcW w:w="4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r>
      <w:tr>
        <w:trPr>
          <w:trHeight w:val="142"/>
        </w:trPr>
        <w:tc>
          <w:tcPr>
            <w:tcW w:w="710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r>
      <w:tr>
        <w:trPr>
          <w:trHeight w:val="142"/>
        </w:trPr>
        <w:tc>
          <w:tcPr>
            <w:tcW w:w="7100" w:type="dxa"/>
            <w:vAlign w:val="bottom"/>
          </w:tcPr>
          <w:p>
            <w:pPr>
              <w:spacing w:after="0"/>
              <w:rPr>
                <w:sz w:val="12"/>
                <w:szCs w:val="12"/>
                <w:color w:val="auto"/>
              </w:rPr>
            </w:pPr>
          </w:p>
        </w:tc>
        <w:tc>
          <w:tcPr>
            <w:tcW w:w="1220" w:type="dxa"/>
            <w:vAlign w:val="bottom"/>
            <w:gridSpan w:val="3"/>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0" w:type="dxa"/>
            <w:vAlign w:val="bottom"/>
          </w:tcPr>
          <w:p>
            <w:pPr>
              <w:spacing w:after="0"/>
              <w:rPr>
                <w:sz w:val="12"/>
                <w:szCs w:val="12"/>
                <w:color w:val="auto"/>
              </w:rPr>
            </w:pPr>
          </w:p>
        </w:tc>
      </w:tr>
      <w:tr>
        <w:trPr>
          <w:trHeight w:val="216"/>
        </w:trPr>
        <w:tc>
          <w:tcPr>
            <w:tcW w:w="71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2"/>
                <w:szCs w:val="22"/>
                <w:color w:val="auto"/>
                <w:vertAlign w:val="superscript"/>
              </w:rPr>
              <w:t>(1)</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6,900</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8,630</w:t>
            </w:r>
          </w:p>
        </w:tc>
      </w:tr>
      <w:tr>
        <w:trPr>
          <w:trHeight w:val="29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2"/>
                <w:szCs w:val="22"/>
                <w:color w:val="auto"/>
                <w:vertAlign w:val="superscript"/>
              </w:rPr>
              <w:t>(2)</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214</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34925</wp:posOffset>
            </wp:positionV>
            <wp:extent cx="7715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w:t>
      </w:r>
    </w:p>
    <w:p>
      <w:pPr>
        <w:spacing w:after="0" w:line="131" w:lineRule="exact"/>
        <w:rPr>
          <w:sz w:val="20"/>
          <w:szCs w:val="20"/>
          <w:color w:val="auto"/>
        </w:rPr>
      </w:pPr>
    </w:p>
    <w:p>
      <w:pPr>
        <w:ind w:left="540" w:right="340" w:hanging="424"/>
        <w:spacing w:after="0" w:line="261" w:lineRule="auto"/>
        <w:tabs>
          <w:tab w:leader="none" w:pos="5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means the aggregate fees billed or payable for professional services rendered by our principal auditors for the audit of our annual financial statements and review of documents filed with the SEC.</w:t>
      </w:r>
    </w:p>
    <w:p>
      <w:pPr>
        <w:ind w:left="540" w:hanging="424"/>
        <w:spacing w:after="0" w:line="260" w:lineRule="auto"/>
        <w:tabs>
          <w:tab w:leader="none" w:pos="5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means the aggregate fees billed for services rendered by independent registered public accounting firm for tax compliance and advisory services.</w:t>
      </w:r>
    </w:p>
    <w:p>
      <w:pPr>
        <w:spacing w:after="0" w:line="18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policy of our audit committee is to pre-approve all audit and non-audit services provided by KPMG Huazhen LLP, including audit services and audit-related services as described above, other than those for de minimis services which are approved by the audit committee prior to the completion of the audit.</w:t>
      </w:r>
    </w:p>
    <w:p>
      <w:pPr>
        <w:spacing w:after="0" w:line="293"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16D.</w:t>
        <w:tab/>
        <w:t>EXEMPTIONS FROM THE LISTING STANDARDS FOR AUDIT COMMITTEES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43"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16E.</w:t>
        <w:tab/>
        <w:t>PURCHASES OF EQUITY SECURITIES BY THE ISSUER AND AFFILIATED PURCHASERS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43"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16F.</w:t>
        <w:tab/>
        <w:t>CHANGE IN REGISTRANT’S CERTIFYING ACCOUNTANT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43"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16G.</w:t>
        <w:tab/>
        <w:t>CORPORATE GOVERNANCE</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As a Cayman Islands company listed on the Nasdaq Global Select Market, we are subject to the Nasdaq Stock Market’s corporate governance listing standards. However, the Nasdaq Stock Market permit a foreign private issuer like us to follow the corporate governance practices of its home country. Certain corporate governance practices in the Cayman Islands, which is our home country, may differ significantly from the Nasdaq Stock Market’s corporate governance listing standards. Currently, we do not rely on home country practice with respect to our corporate governance practices, but we may choose to do so in the future. As a result, our shareholders may be afforded less protection than they otherwise would under the Nasdaq Stock Market’s corporate governance listing standards applicable to U.S. domestic issuers. See “Item 3. Key Information—D. Risk Factors—Risks Related to Our ADSs—As an exempted company incorporated in the Cayman Islands, we are permitted to adopt certain home country practices in relation to corporate governance matters that differ significantly from the Nasdaq Stock Market’s corporate governance listing standards; these practices may afford less protection to shareholders than they would enjoy if we complied fully with the Nasdaq Stock Market’s corporate governance listing standard.”</w:t>
      </w:r>
    </w:p>
    <w:p>
      <w:pPr>
        <w:sectPr>
          <w:pgSz w:w="11900" w:h="16838" w:orient="portrait"/>
          <w:cols w:equalWidth="0" w:num="1">
            <w:col w:w="11120"/>
          </w:cols>
          <w:pgMar w:left="320" w:top="482" w:right="459" w:bottom="1440" w:gutter="0" w:footer="0" w:header="0"/>
        </w:sectPr>
      </w:pP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20"/>
          </w:cols>
          <w:pgMar w:left="320" w:top="482" w:right="459" w:bottom="1440" w:gutter="0" w:footer="0" w:header="0"/>
          <w:type w:val="continuous"/>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16H.</w:t>
        <w:tab/>
        <w:t>MINE SAFETY DISCLOSURE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16I.</w:t>
        <w:tab/>
        <w:t>DISCLOSURE REGARDING FOREIGN JURISDICTIONS THAT PREVENT INSPECTIONS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16J.</w:t>
        <w:tab/>
        <w:t>INSIDER TRADING POLICIES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have adopted insider trading policies and procedures governing the purchase, sale and other dispositions of our securities by directors, senior management and employees to promote compliance with applicable insider trading laws, rules and regulations. These insider trading policies and procedures are filed as Exhibit 11.2 to this annual report on Form 20-F.</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16K.</w:t>
        <w:tab/>
        <w:t>CYBERSECURITY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have implemented comprehensive cybersecurity risk assessment procedures to ensure effectiveness in cybersecurity management, strategy and governance and reporting cybersecurity risks. We have also integrated cybersecurity risk management into our overall enterprise risk management system.</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have developed a comprehensive cybersecurity threat defense system to address both internal and external threats. We strive to manage cybersecurity risks and protect sensitive information through various means, such as technical safeguards and procedural requirements. We have integrated cybersecurity incident management team (the “CSI management team”) into our broader risk management framework to promote a company-wide culture of cybersecurity risk management, which works closely with our information security (“IS”) department to continuously evaluate and address cybersecurity risks in alignment with our business objectives and operational needs. We have also set up an emergency response mechanism for information security incidents. All our personnel are required to strictly follow our internal rules, policies and protocols to safeguard the integrity of our data.</w:t>
      </w:r>
    </w:p>
    <w:p>
      <w:pPr>
        <w:spacing w:after="0" w:line="18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we have not experienced any material cybersecurity incidents or identified any material cybersecurity threats that have affected or are reasonably likely to materially affect us, our business strategy, results of operations or financial condition.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Our cybersecurity committee of the board of directors (the “Cybersecurity Committee”) is responsible for overseeing our cybersecurity risk management, including oversight and mitigation of risks from cybersecurity threats. If a cybersecurity incident occurs, the CSI management team shall promptly report it, if necessary or advisable, to the Cybersecurity Committee. The Cybersecurity Committee is also responsible for reviewing and approving any proposed changes to the cybersecurity policy, based on periodic assessments conducted by the CSI management team.</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At management level, the legal department representative on the CSI management team shall promptly notify our CEO or CFO and provide them with access to all information as necessary to assist with their assessment of “materiality” of the cybersecurity incident(s). If a disclosure is required, our CEO or CFO shall coordinate with the legal department to prepare disclosure responsive to SEC requirements.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20"/>
          </w:cols>
          <w:pgMar w:left="320" w:top="482" w:right="4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18.</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consolidated financial statements of WeRide Inc. and its subsidiaries are included at the end of this annual report.</w:t>
      </w:r>
    </w:p>
    <w:p>
      <w:pPr>
        <w:spacing w:after="0" w:line="37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19.</w:t>
            </w:r>
          </w:p>
        </w:tc>
        <w:tc>
          <w:tcPr>
            <w:tcW w:w="10100" w:type="dxa"/>
            <w:vAlign w:val="bottom"/>
            <w:gridSpan w:val="23"/>
          </w:tcPr>
          <w:p>
            <w:pPr>
              <w:ind w:left="1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67"/>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180" w:type="dxa"/>
            <w:vAlign w:val="bottom"/>
            <w:gridSpan w:val="19"/>
            <w:vMerge w:val="restart"/>
          </w:tcPr>
          <w:p>
            <w:pPr>
              <w:ind w:left="18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180" w:type="dxa"/>
            <w:vAlign w:val="bottom"/>
            <w:gridSpan w:val="1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1.1</w:t>
            </w: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80" w:type="dxa"/>
            <w:vAlign w:val="bottom"/>
            <w:gridSpan w:val="22"/>
          </w:tcPr>
          <w:p>
            <w:pPr>
              <w:spacing w:after="0"/>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Eighth Amended and Restated Memorandum and Articles of Association of the Registrant (incorporated herein by reference to</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Exhibit 3.2 to the registration statement on Form F-1, as amended, initially filed with the SEC on July, 26, 2024 (File No. 333-281054)</w:t>
              </w:r>
            </w:hyperlink>
          </w:p>
        </w:tc>
        <w:tc>
          <w:tcPr>
            <w:tcW w:w="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2.1*</w:t>
            </w:r>
          </w:p>
        </w:tc>
        <w:tc>
          <w:tcPr>
            <w:tcW w:w="220" w:type="dxa"/>
            <w:vAlign w:val="bottom"/>
          </w:tcPr>
          <w:p>
            <w:pPr>
              <w:spacing w:after="0"/>
              <w:rPr>
                <w:sz w:val="24"/>
                <w:szCs w:val="24"/>
                <w:color w:val="auto"/>
              </w:rPr>
            </w:pPr>
          </w:p>
        </w:tc>
        <w:tc>
          <w:tcPr>
            <w:tcW w:w="56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Registrant’s Specimen American Depositary Receipt (included in Exhibit 2.3)</w:t>
            </w:r>
          </w:p>
        </w:tc>
        <w:tc>
          <w:tcPr>
            <w:tcW w:w="426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2.2</w:t>
            </w:r>
          </w:p>
        </w:tc>
        <w:tc>
          <w:tcPr>
            <w:tcW w:w="220" w:type="dxa"/>
            <w:vAlign w:val="bottom"/>
          </w:tcPr>
          <w:p>
            <w:pPr>
              <w:spacing w:after="0"/>
              <w:rPr>
                <w:sz w:val="24"/>
                <w:szCs w:val="24"/>
                <w:color w:val="auto"/>
              </w:rPr>
            </w:pPr>
          </w:p>
        </w:tc>
        <w:tc>
          <w:tcPr>
            <w:tcW w:w="92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89">
              <w:r>
                <w:rPr>
                  <w:rFonts w:ascii="Times New Roman" w:cs="Times New Roman" w:eastAsia="Times New Roman" w:hAnsi="Times New Roman"/>
                  <w:sz w:val="18"/>
                  <w:szCs w:val="18"/>
                  <w:color w:val="0000EE"/>
                  <w:w w:val="99"/>
                </w:rPr>
                <w:t>Registrant’s Specimen Certificate for Class A ordinary shares (incorporated herein by reference to Exhibit 4.2 to the registration</w:t>
              </w:r>
            </w:hyperlink>
          </w:p>
        </w:tc>
        <w:tc>
          <w:tcPr>
            <w:tcW w:w="6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2"/>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statement on Form F-1, as amended, initially filed with the SEC on July 26, 2024 (File No. 333-281054))</w:t>
              </w:r>
            </w:hyperlink>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9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2.3*</w:t>
            </w:r>
          </w:p>
        </w:tc>
        <w:tc>
          <w:tcPr>
            <w:tcW w:w="220" w:type="dxa"/>
            <w:vAlign w:val="bottom"/>
          </w:tcPr>
          <w:p>
            <w:pPr>
              <w:spacing w:after="0"/>
              <w:rPr>
                <w:sz w:val="24"/>
                <w:szCs w:val="24"/>
                <w:color w:val="auto"/>
              </w:rPr>
            </w:pPr>
          </w:p>
        </w:tc>
        <w:tc>
          <w:tcPr>
            <w:tcW w:w="98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Deposit Agreement among the Registrant, the depositary and the holders and beneficial owners of American depositary shares</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1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evidenced by American depositary receipts issued thereunder dated October 24, 2024</w:t>
            </w:r>
          </w:p>
        </w:tc>
        <w:tc>
          <w:tcPr>
            <w:tcW w:w="2980" w:type="dxa"/>
            <w:vAlign w:val="bottom"/>
            <w:tcBorders>
              <w:top w:val="single" w:sz="8" w:color="0000EE"/>
            </w:tcBorders>
            <w:gridSpan w:val="5"/>
          </w:tcPr>
          <w:p>
            <w:pPr>
              <w:spacing w:after="0"/>
              <w:rPr>
                <w:sz w:val="17"/>
                <w:szCs w:val="17"/>
                <w:color w:val="auto"/>
              </w:rPr>
            </w:pPr>
          </w:p>
        </w:tc>
        <w:tc>
          <w:tcPr>
            <w:tcW w:w="7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2.4</w:t>
            </w:r>
          </w:p>
        </w:tc>
        <w:tc>
          <w:tcPr>
            <w:tcW w:w="220" w:type="dxa"/>
            <w:vAlign w:val="bottom"/>
          </w:tcPr>
          <w:p>
            <w:pPr>
              <w:spacing w:after="0"/>
              <w:rPr>
                <w:sz w:val="24"/>
                <w:szCs w:val="24"/>
                <w:color w:val="auto"/>
              </w:rPr>
            </w:pPr>
          </w:p>
        </w:tc>
        <w:tc>
          <w:tcPr>
            <w:tcW w:w="90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Sixth Amended and Restated Shareholders Agreement among the Registrant and other parties thereto dated October 29, 2022</w:t>
              </w:r>
            </w:hyperlink>
          </w:p>
        </w:tc>
        <w:tc>
          <w:tcPr>
            <w:tcW w:w="8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2"/>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(incorporated herein by reference to Exhibit 4.4 to the registration statement on Form F-1, as amended, initially filed with the SEC 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2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July 26, 2024 (File No. 333-281054))</w:t>
              </w:r>
            </w:hyperlink>
          </w:p>
        </w:tc>
        <w:tc>
          <w:tcPr>
            <w:tcW w:w="2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2.5*</w:t>
            </w:r>
          </w:p>
        </w:tc>
        <w:tc>
          <w:tcPr>
            <w:tcW w:w="220" w:type="dxa"/>
            <w:vAlign w:val="bottom"/>
          </w:tcPr>
          <w:p>
            <w:pPr>
              <w:spacing w:after="0"/>
              <w:rPr>
                <w:sz w:val="24"/>
                <w:szCs w:val="24"/>
                <w:color w:val="auto"/>
              </w:rPr>
            </w:pPr>
          </w:p>
        </w:tc>
        <w:tc>
          <w:tcPr>
            <w:tcW w:w="18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Description of Securities</w:t>
            </w:r>
          </w:p>
        </w:tc>
        <w:tc>
          <w:tcPr>
            <w:tcW w:w="900" w:type="dxa"/>
            <w:vAlign w:val="bottom"/>
            <w:tcBorders>
              <w:top w:val="single" w:sz="8" w:color="0000EE"/>
            </w:tcBorders>
          </w:tcPr>
          <w:p>
            <w:pPr>
              <w:spacing w:after="0"/>
              <w:rPr>
                <w:sz w:val="24"/>
                <w:szCs w:val="24"/>
                <w:color w:val="auto"/>
              </w:rPr>
            </w:pPr>
          </w:p>
        </w:tc>
        <w:tc>
          <w:tcPr>
            <w:tcW w:w="718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w:t>
            </w:r>
          </w:p>
        </w:tc>
        <w:tc>
          <w:tcPr>
            <w:tcW w:w="220" w:type="dxa"/>
            <w:vAlign w:val="bottom"/>
          </w:tcPr>
          <w:p>
            <w:pPr>
              <w:spacing w:after="0"/>
              <w:rPr>
                <w:sz w:val="24"/>
                <w:szCs w:val="24"/>
                <w:color w:val="auto"/>
              </w:rPr>
            </w:pPr>
          </w:p>
        </w:tc>
        <w:tc>
          <w:tcPr>
            <w:tcW w:w="97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91">
              <w:r>
                <w:rPr>
                  <w:rFonts w:ascii="Times New Roman" w:cs="Times New Roman" w:eastAsia="Times New Roman" w:hAnsi="Times New Roman"/>
                  <w:sz w:val="18"/>
                  <w:szCs w:val="18"/>
                  <w:color w:val="0000EE"/>
                  <w:w w:val="99"/>
                </w:rPr>
                <w:t>Amended and Restated 2018 Share Plan (incorporated herein by reference to Exhibit 10.1 to the registration statement on Form F-1, as</w:t>
              </w:r>
            </w:hyperlink>
          </w:p>
        </w:tc>
        <w:tc>
          <w:tcPr>
            <w:tcW w:w="1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91">
              <w:r>
                <w:rPr>
                  <w:rFonts w:ascii="Times New Roman" w:cs="Times New Roman" w:eastAsia="Times New Roman" w:hAnsi="Times New Roman"/>
                  <w:sz w:val="18"/>
                  <w:szCs w:val="18"/>
                  <w:color w:val="0000EE"/>
                  <w:w w:val="99"/>
                </w:rPr>
                <w:t>amended, initially filed with the SEC on July 26, 2024 (File No. 333-281054))</w:t>
              </w:r>
            </w:hyperlink>
          </w:p>
        </w:tc>
        <w:tc>
          <w:tcPr>
            <w:tcW w:w="42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4.2</w:t>
            </w:r>
          </w:p>
        </w:tc>
        <w:tc>
          <w:tcPr>
            <w:tcW w:w="220" w:type="dxa"/>
            <w:vAlign w:val="bottom"/>
          </w:tcPr>
          <w:p>
            <w:pPr>
              <w:spacing w:after="0"/>
              <w:rPr>
                <w:sz w:val="24"/>
                <w:szCs w:val="24"/>
                <w:color w:val="auto"/>
              </w:rPr>
            </w:pPr>
          </w:p>
        </w:tc>
        <w:tc>
          <w:tcPr>
            <w:tcW w:w="97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Form of Indemnification Agreement between the Registrant and its directors and executive officers (incorporated herein by reference to</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Exhibit 10.2 to the registration statement on Form F-1, as amended, initially filed with the SEC on July 26, 2024 (File No. 333-281054))</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4.3</w:t>
            </w:r>
          </w:p>
        </w:tc>
        <w:tc>
          <w:tcPr>
            <w:tcW w:w="220" w:type="dxa"/>
            <w:vAlign w:val="bottom"/>
          </w:tcPr>
          <w:p>
            <w:pPr>
              <w:spacing w:after="0"/>
              <w:rPr>
                <w:sz w:val="24"/>
                <w:szCs w:val="24"/>
                <w:color w:val="auto"/>
              </w:rPr>
            </w:pPr>
          </w:p>
        </w:tc>
        <w:tc>
          <w:tcPr>
            <w:tcW w:w="97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93">
              <w:r>
                <w:rPr>
                  <w:rFonts w:ascii="Times New Roman" w:cs="Times New Roman" w:eastAsia="Times New Roman" w:hAnsi="Times New Roman"/>
                  <w:sz w:val="18"/>
                  <w:szCs w:val="18"/>
                  <w:color w:val="0000EE"/>
                  <w:w w:val="99"/>
                </w:rPr>
                <w:t>Form of Employment Agreement between the Registrant and its executive officers (incorporated herein by reference to Exhibit 10.3 to</w:t>
              </w:r>
            </w:hyperlink>
          </w:p>
        </w:tc>
        <w:tc>
          <w:tcPr>
            <w:tcW w:w="1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93">
              <w:r>
                <w:rPr>
                  <w:rFonts w:ascii="Times New Roman" w:cs="Times New Roman" w:eastAsia="Times New Roman" w:hAnsi="Times New Roman"/>
                  <w:sz w:val="18"/>
                  <w:szCs w:val="18"/>
                  <w:color w:val="0000EE"/>
                  <w:w w:val="99"/>
                </w:rPr>
                <w:t>the registration statement on Form F-1, as amended, initially filed with the SEC on July 26, 2024 (File No. 333-281054))</w:t>
              </w:r>
            </w:hyperlink>
          </w:p>
        </w:tc>
        <w:tc>
          <w:tcPr>
            <w:tcW w:w="11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4.4</w:t>
            </w:r>
          </w:p>
        </w:tc>
        <w:tc>
          <w:tcPr>
            <w:tcW w:w="220" w:type="dxa"/>
            <w:vAlign w:val="bottom"/>
          </w:tcPr>
          <w:p>
            <w:pPr>
              <w:spacing w:after="0"/>
              <w:rPr>
                <w:sz w:val="24"/>
                <w:szCs w:val="24"/>
                <w:color w:val="auto"/>
              </w:rPr>
            </w:pPr>
          </w:p>
        </w:tc>
        <w:tc>
          <w:tcPr>
            <w:tcW w:w="9880" w:type="dxa"/>
            <w:vAlign w:val="bottom"/>
            <w:gridSpan w:val="22"/>
          </w:tcPr>
          <w:p>
            <w:pPr>
              <w:spacing w:after="0"/>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Purchase Agreement between Yutong Bus Co., Ltd. and WFOE, dated July 21, 2023 (incorporated herein by reference to Exhibit 10.5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2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94">
              <w:r>
                <w:rPr>
                  <w:rFonts w:ascii="Times New Roman" w:cs="Times New Roman" w:eastAsia="Times New Roman" w:hAnsi="Times New Roman"/>
                  <w:sz w:val="18"/>
                  <w:szCs w:val="18"/>
                  <w:color w:val="0000EE"/>
                  <w:w w:val="99"/>
                </w:rPr>
                <w:t>the registration statement on Form F-1, as amended, initially filed with the SEC on July 26, 2024 (File No. 333-281054))</w:t>
              </w:r>
            </w:hyperlink>
          </w:p>
        </w:tc>
        <w:tc>
          <w:tcPr>
            <w:tcW w:w="1100" w:type="dxa"/>
            <w:vAlign w:val="bottom"/>
            <w:tcBorders>
              <w:top w:val="single" w:sz="8" w:color="0000EE"/>
            </w:tcBorders>
            <w:gridSpan w:val="10"/>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4.5</w:t>
            </w:r>
          </w:p>
        </w:tc>
        <w:tc>
          <w:tcPr>
            <w:tcW w:w="220" w:type="dxa"/>
            <w:vAlign w:val="bottom"/>
          </w:tcPr>
          <w:p>
            <w:pPr>
              <w:spacing w:after="0"/>
              <w:rPr>
                <w:sz w:val="24"/>
                <w:szCs w:val="24"/>
                <w:color w:val="auto"/>
              </w:rPr>
            </w:pPr>
          </w:p>
        </w:tc>
        <w:tc>
          <w:tcPr>
            <w:tcW w:w="9880" w:type="dxa"/>
            <w:vAlign w:val="bottom"/>
            <w:gridSpan w:val="22"/>
          </w:tcPr>
          <w:p>
            <w:pPr>
              <w:spacing w:after="0"/>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English translation of Form of Agreement on Vehicle Purchase between Yutong Bus Co., Ltd. and WFOE, and a schedule of all executed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6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Agreements on Vehicle Purchase adopting the same form (incorporated herein by reference to Exhibit 10.6 to the registration statement</w:t>
              </w:r>
            </w:hyperlink>
          </w:p>
        </w:tc>
        <w:tc>
          <w:tcPr>
            <w:tcW w:w="10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2"/>
          </w:tcPr>
          <w:p>
            <w:pPr>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on Form F-1, as amended, initially filed with the SEC on July 26, 2024 (File No. 333-281054))</w:t>
              </w:r>
            </w:hyperlink>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40" w:type="dxa"/>
            <w:vAlign w:val="bottom"/>
            <w:gridSpan w:val="7"/>
            <w:shd w:val="clear" w:color="auto" w:fill="0000EE"/>
          </w:tcPr>
          <w:p>
            <w:pPr>
              <w:spacing w:after="0" w:line="20" w:lineRule="exact"/>
              <w:rPr>
                <w:sz w:val="1"/>
                <w:szCs w:val="1"/>
                <w:color w:val="auto"/>
              </w:rPr>
            </w:pPr>
          </w:p>
        </w:tc>
        <w:tc>
          <w:tcPr>
            <w:tcW w:w="2900" w:type="dxa"/>
            <w:vAlign w:val="bottom"/>
            <w:gridSpan w:val="9"/>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4.6</w:t>
            </w:r>
          </w:p>
        </w:tc>
        <w:tc>
          <w:tcPr>
            <w:tcW w:w="220" w:type="dxa"/>
            <w:vAlign w:val="bottom"/>
          </w:tcPr>
          <w:p>
            <w:pPr>
              <w:spacing w:after="0"/>
              <w:rPr>
                <w:sz w:val="24"/>
                <w:szCs w:val="24"/>
                <w:color w:val="auto"/>
              </w:rPr>
            </w:pPr>
          </w:p>
        </w:tc>
        <w:tc>
          <w:tcPr>
            <w:tcW w:w="9880" w:type="dxa"/>
            <w:vAlign w:val="bottom"/>
            <w:gridSpan w:val="22"/>
          </w:tcPr>
          <w:p>
            <w:pPr>
              <w:spacing w:after="0"/>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Form of Service Agreement between Alliance Automotive Research &amp; Development (Shanghai) Co., Ltd. and WFOE, and a schedule of</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4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96">
              <w:r>
                <w:rPr>
                  <w:rFonts w:ascii="Times New Roman" w:cs="Times New Roman" w:eastAsia="Times New Roman" w:hAnsi="Times New Roman"/>
                  <w:sz w:val="18"/>
                  <w:szCs w:val="18"/>
                  <w:color w:val="0000EE"/>
                  <w:w w:val="99"/>
                </w:rPr>
                <w:t>all executed Service Agreements adopting the same form (incorporated herein by reference to Exhibit 10.7 to the registration statement</w:t>
              </w:r>
            </w:hyperlink>
          </w:p>
        </w:tc>
        <w:tc>
          <w:tcPr>
            <w:tcW w:w="100" w:type="dxa"/>
            <w:vAlign w:val="bottom"/>
            <w:tcBorders>
              <w:top w:val="single" w:sz="8" w:color="0000EE"/>
            </w:tcBorders>
            <w:gridSpan w:val="4"/>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2"/>
          </w:tcPr>
          <w:p>
            <w:pPr>
              <w:spacing w:after="0" w:line="196"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on Form F-1, as amended, initially filed with the SEC on July 26, 2024 (File No. 333-281054))</w:t>
              </w:r>
            </w:hyperlink>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5600" w:type="dxa"/>
            <w:vAlign w:val="bottom"/>
            <w:tcBorders>
              <w:top w:val="single" w:sz="8" w:color="0000EE"/>
            </w:tcBorders>
            <w:gridSpan w:val="3"/>
          </w:tcPr>
          <w:p>
            <w:pPr>
              <w:jc w:val="right"/>
              <w:ind w:right="1048"/>
              <w:spacing w:after="0"/>
              <w:rPr>
                <w:sz w:val="20"/>
                <w:szCs w:val="20"/>
                <w:color w:val="auto"/>
              </w:rPr>
            </w:pPr>
            <w:r>
              <w:rPr>
                <w:rFonts w:ascii="Times New Roman" w:cs="Times New Roman" w:eastAsia="Times New Roman" w:hAnsi="Times New Roman"/>
                <w:sz w:val="18"/>
                <w:szCs w:val="18"/>
                <w:color w:val="auto"/>
              </w:rPr>
              <w:t>159</w:t>
            </w:r>
          </w:p>
        </w:tc>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4.7</w:t>
            </w:r>
          </w:p>
        </w:tc>
        <w:tc>
          <w:tcPr>
            <w:tcW w:w="9900" w:type="dxa"/>
            <w:vAlign w:val="bottom"/>
            <w:gridSpan w:val="21"/>
          </w:tcPr>
          <w:p>
            <w:pPr>
              <w:spacing w:after="0"/>
              <w:rPr>
                <w:rFonts w:ascii="Times New Roman" w:cs="Times New Roman" w:eastAsia="Times New Roman" w:hAnsi="Times New Roman"/>
                <w:sz w:val="18"/>
                <w:szCs w:val="18"/>
                <w:color w:val="0000EE"/>
                <w:w w:val="99"/>
              </w:rPr>
            </w:pPr>
            <w:hyperlink r:id="rId198">
              <w:r>
                <w:rPr>
                  <w:rFonts w:ascii="Times New Roman" w:cs="Times New Roman" w:eastAsia="Times New Roman" w:hAnsi="Times New Roman"/>
                  <w:sz w:val="18"/>
                  <w:szCs w:val="18"/>
                  <w:color w:val="0000EE"/>
                  <w:w w:val="99"/>
                </w:rPr>
                <w:t>Master Service Agreement between Alliance Automotive Research &amp; Development (Shanghai) Co., Ltd. and WFOE, dated November 1,</w:t>
              </w:r>
            </w:hyperlink>
          </w:p>
        </w:tc>
      </w:tr>
      <w:tr>
        <w:trPr>
          <w:trHeight w:val="20"/>
        </w:trPr>
        <w:tc>
          <w:tcPr>
            <w:tcW w:w="110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52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9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98">
              <w:r>
                <w:rPr>
                  <w:rFonts w:ascii="Times New Roman" w:cs="Times New Roman" w:eastAsia="Times New Roman" w:hAnsi="Times New Roman"/>
                  <w:sz w:val="18"/>
                  <w:szCs w:val="18"/>
                  <w:color w:val="0000EE"/>
                  <w:w w:val="99"/>
                </w:rPr>
                <w:t>2023 (incorporated herein by reference to Exhibit 10.8 to the registration statement on Form F-1, as amended, initially filed with the SEC</w:t>
              </w:r>
            </w:hyperlink>
          </w:p>
        </w:tc>
      </w:tr>
      <w:tr>
        <w:trPr>
          <w:trHeight w:val="196"/>
        </w:trPr>
        <w:tc>
          <w:tcPr>
            <w:tcW w:w="1100" w:type="dxa"/>
            <w:vAlign w:val="bottom"/>
          </w:tcPr>
          <w:p>
            <w:pPr>
              <w:spacing w:after="0"/>
              <w:rPr>
                <w:sz w:val="17"/>
                <w:szCs w:val="17"/>
                <w:color w:val="auto"/>
              </w:rPr>
            </w:pPr>
          </w:p>
        </w:tc>
        <w:tc>
          <w:tcPr>
            <w:tcW w:w="29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98">
              <w:r>
                <w:rPr>
                  <w:rFonts w:ascii="Times New Roman" w:cs="Times New Roman" w:eastAsia="Times New Roman" w:hAnsi="Times New Roman"/>
                  <w:sz w:val="18"/>
                  <w:szCs w:val="18"/>
                  <w:color w:val="0000EE"/>
                  <w:w w:val="99"/>
                </w:rPr>
                <w:t>on July 26, 2024 (File No. 333-281054))</w:t>
              </w:r>
            </w:hyperlink>
          </w:p>
        </w:tc>
        <w:tc>
          <w:tcPr>
            <w:tcW w:w="6960" w:type="dxa"/>
            <w:vAlign w:val="bottom"/>
            <w:gridSpan w:val="17"/>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4.8</w:t>
            </w:r>
          </w:p>
        </w:tc>
        <w:tc>
          <w:tcPr>
            <w:tcW w:w="96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99">
              <w:r>
                <w:rPr>
                  <w:rFonts w:ascii="Times New Roman" w:cs="Times New Roman" w:eastAsia="Times New Roman" w:hAnsi="Times New Roman"/>
                  <w:sz w:val="18"/>
                  <w:szCs w:val="18"/>
                  <w:color w:val="0000EE"/>
                  <w:w w:val="99"/>
                </w:rPr>
                <w:t>Goods Purchase Agreement between Alliance Automotive Research &amp; Development (Shanghai) Co., Ltd. and WFOE, dated July 31,</w:t>
              </w:r>
            </w:hyperlink>
          </w:p>
        </w:tc>
        <w:tc>
          <w:tcPr>
            <w:tcW w:w="300" w:type="dxa"/>
            <w:vAlign w:val="bottom"/>
            <w:gridSpan w:val="10"/>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9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99">
              <w:r>
                <w:rPr>
                  <w:rFonts w:ascii="Times New Roman" w:cs="Times New Roman" w:eastAsia="Times New Roman" w:hAnsi="Times New Roman"/>
                  <w:sz w:val="18"/>
                  <w:szCs w:val="18"/>
                  <w:color w:val="0000EE"/>
                  <w:w w:val="99"/>
                </w:rPr>
                <w:t>2023 (incorporated herein by reference to Exhibit 10.9 to the registration statement on Form F-1, as amended, initially filed with the SEC</w:t>
              </w:r>
            </w:hyperlink>
          </w:p>
        </w:tc>
      </w:tr>
      <w:tr>
        <w:trPr>
          <w:trHeight w:val="196"/>
        </w:trPr>
        <w:tc>
          <w:tcPr>
            <w:tcW w:w="1100" w:type="dxa"/>
            <w:vAlign w:val="bottom"/>
          </w:tcPr>
          <w:p>
            <w:pPr>
              <w:spacing w:after="0"/>
              <w:rPr>
                <w:sz w:val="17"/>
                <w:szCs w:val="17"/>
                <w:color w:val="auto"/>
              </w:rPr>
            </w:pPr>
          </w:p>
        </w:tc>
        <w:tc>
          <w:tcPr>
            <w:tcW w:w="29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99">
              <w:r>
                <w:rPr>
                  <w:rFonts w:ascii="Times New Roman" w:cs="Times New Roman" w:eastAsia="Times New Roman" w:hAnsi="Times New Roman"/>
                  <w:sz w:val="18"/>
                  <w:szCs w:val="18"/>
                  <w:color w:val="0000EE"/>
                  <w:w w:val="99"/>
                </w:rPr>
                <w:t>on July 26, 2024 (File No. 333-281054))</w:t>
              </w:r>
            </w:hyperlink>
          </w:p>
        </w:tc>
        <w:tc>
          <w:tcPr>
            <w:tcW w:w="6960" w:type="dxa"/>
            <w:vAlign w:val="bottom"/>
            <w:gridSpan w:val="17"/>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4.9</w:t>
            </w:r>
          </w:p>
        </w:tc>
        <w:tc>
          <w:tcPr>
            <w:tcW w:w="98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200">
              <w:r>
                <w:rPr>
                  <w:rFonts w:ascii="Times New Roman" w:cs="Times New Roman" w:eastAsia="Times New Roman" w:hAnsi="Times New Roman"/>
                  <w:sz w:val="18"/>
                  <w:szCs w:val="18"/>
                  <w:color w:val="0000EE"/>
                  <w:w w:val="99"/>
                </w:rPr>
                <w:t>English translation of Data Service Framework Agreement between Guangzhou Yuji Technology Co., Ltd. and WFOE, dated October 8,</w:t>
              </w:r>
            </w:hyperlink>
          </w:p>
        </w:tc>
        <w:tc>
          <w:tcPr>
            <w:tcW w:w="60" w:type="dxa"/>
            <w:vAlign w:val="bottom"/>
            <w:gridSpan w:val="2"/>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6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200">
              <w:r>
                <w:rPr>
                  <w:rFonts w:ascii="Times New Roman" w:cs="Times New Roman" w:eastAsia="Times New Roman" w:hAnsi="Times New Roman"/>
                  <w:sz w:val="18"/>
                  <w:szCs w:val="18"/>
                  <w:color w:val="0000EE"/>
                  <w:w w:val="99"/>
                </w:rPr>
                <w:t>2022 (incorporated herein by reference to Exhibit 10.10 to the registration statement on Form F-1, as amended, initially filed with the</w:t>
              </w:r>
            </w:hyperlink>
          </w:p>
        </w:tc>
        <w:tc>
          <w:tcPr>
            <w:tcW w:w="280" w:type="dxa"/>
            <w:vAlign w:val="bottom"/>
            <w:gridSpan w:val="9"/>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33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00">
              <w:r>
                <w:rPr>
                  <w:rFonts w:ascii="Times New Roman" w:cs="Times New Roman" w:eastAsia="Times New Roman" w:hAnsi="Times New Roman"/>
                  <w:sz w:val="18"/>
                  <w:szCs w:val="18"/>
                  <w:color w:val="0000EE"/>
                  <w:w w:val="99"/>
                </w:rPr>
                <w:t>SEC on July 26, 2024 (File No. 333-281054))</w:t>
              </w:r>
            </w:hyperlink>
          </w:p>
        </w:tc>
        <w:tc>
          <w:tcPr>
            <w:tcW w:w="6580" w:type="dxa"/>
            <w:vAlign w:val="bottom"/>
            <w:gridSpan w:val="15"/>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4.10</w:t>
            </w:r>
          </w:p>
        </w:tc>
        <w:tc>
          <w:tcPr>
            <w:tcW w:w="97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201">
              <w:r>
                <w:rPr>
                  <w:rFonts w:ascii="Times New Roman" w:cs="Times New Roman" w:eastAsia="Times New Roman" w:hAnsi="Times New Roman"/>
                  <w:sz w:val="18"/>
                  <w:szCs w:val="18"/>
                  <w:color w:val="0000EE"/>
                  <w:w w:val="99"/>
                </w:rPr>
                <w:t>Cooperation Agreement between Bosch Automotive Products (Suzhou) Co., Ltd. and WFOE, dated May 24, 2022 (incorporated herein</w:t>
              </w:r>
            </w:hyperlink>
          </w:p>
        </w:tc>
        <w:tc>
          <w:tcPr>
            <w:tcW w:w="140" w:type="dxa"/>
            <w:vAlign w:val="bottom"/>
            <w:gridSpan w:val="5"/>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7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201">
              <w:r>
                <w:rPr>
                  <w:rFonts w:ascii="Times New Roman" w:cs="Times New Roman" w:eastAsia="Times New Roman" w:hAnsi="Times New Roman"/>
                  <w:sz w:val="18"/>
                  <w:szCs w:val="18"/>
                  <w:color w:val="0000EE"/>
                  <w:w w:val="99"/>
                </w:rPr>
                <w:t>by reference to Exhibit 10.11 to the registration statement on Form F-1, as amended, initially filed with the SEC on July 26, 2024 (File</w:t>
              </w:r>
            </w:hyperlink>
          </w:p>
        </w:tc>
        <w:tc>
          <w:tcPr>
            <w:tcW w:w="200" w:type="dxa"/>
            <w:vAlign w:val="bottom"/>
            <w:gridSpan w:val="7"/>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9900" w:type="dxa"/>
            <w:vAlign w:val="bottom"/>
            <w:gridSpan w:val="21"/>
          </w:tcPr>
          <w:p>
            <w:pPr>
              <w:spacing w:after="0" w:line="196"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No. 333-281054))</w:t>
              </w:r>
            </w:hyperlink>
          </w:p>
        </w:tc>
      </w:tr>
      <w:tr>
        <w:trPr>
          <w:trHeight w:val="20"/>
        </w:trPr>
        <w:tc>
          <w:tcPr>
            <w:tcW w:w="110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4.11</w:t>
            </w:r>
          </w:p>
        </w:tc>
        <w:tc>
          <w:tcPr>
            <w:tcW w:w="9900" w:type="dxa"/>
            <w:vAlign w:val="bottom"/>
            <w:gridSpan w:val="21"/>
          </w:tcPr>
          <w:p>
            <w:pPr>
              <w:spacing w:after="0"/>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Agreement on Subsequent Collaboration by and among Robert Bosch GmbH, Bosch Automotive Products (Suzhou) Co., Ltd., the</w:t>
              </w:r>
            </w:hyperlink>
          </w:p>
        </w:tc>
      </w:tr>
      <w:tr>
        <w:trPr>
          <w:trHeight w:val="20"/>
        </w:trPr>
        <w:tc>
          <w:tcPr>
            <w:tcW w:w="110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540" w:type="dxa"/>
            <w:vAlign w:val="bottom"/>
            <w:gridSpan w:val="2"/>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7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02">
              <w:r>
                <w:rPr>
                  <w:rFonts w:ascii="Times New Roman" w:cs="Times New Roman" w:eastAsia="Times New Roman" w:hAnsi="Times New Roman"/>
                  <w:sz w:val="18"/>
                  <w:szCs w:val="18"/>
                  <w:color w:val="0000EE"/>
                  <w:w w:val="99"/>
                </w:rPr>
                <w:t>Registrant and other parties thereto, dated July 23, 2024 (incorporated herein by reference to Exhibit 10.12 to the registration statement</w:t>
              </w:r>
            </w:hyperlink>
          </w:p>
        </w:tc>
        <w:tc>
          <w:tcPr>
            <w:tcW w:w="160" w:type="dxa"/>
            <w:vAlign w:val="bottom"/>
            <w:gridSpan w:val="6"/>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9900" w:type="dxa"/>
            <w:vAlign w:val="bottom"/>
            <w:gridSpan w:val="21"/>
          </w:tcPr>
          <w:p>
            <w:pPr>
              <w:spacing w:after="0" w:line="19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on Form F-1, as amended, initially filed with the SEC on July 26, 2024 (File No. 333-281054))</w:t>
              </w:r>
            </w:hyperlink>
          </w:p>
        </w:tc>
      </w:tr>
      <w:tr>
        <w:trPr>
          <w:trHeight w:val="20"/>
        </w:trPr>
        <w:tc>
          <w:tcPr>
            <w:tcW w:w="110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540" w:type="dxa"/>
            <w:vAlign w:val="bottom"/>
            <w:gridSpan w:val="2"/>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4.12</w:t>
            </w:r>
          </w:p>
        </w:tc>
        <w:tc>
          <w:tcPr>
            <w:tcW w:w="98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203">
              <w:r>
                <w:rPr>
                  <w:rFonts w:ascii="Times New Roman" w:cs="Times New Roman" w:eastAsia="Times New Roman" w:hAnsi="Times New Roman"/>
                  <w:sz w:val="18"/>
                  <w:szCs w:val="18"/>
                  <w:color w:val="0000EE"/>
                  <w:w w:val="99"/>
                </w:rPr>
                <w:t>Service Agreement between Nissan Mobility Services Co., Ltd. and WFOE, dated October 20, 2022 (incorporated herein by reference to</w:t>
              </w:r>
            </w:hyperlink>
          </w:p>
        </w:tc>
        <w:tc>
          <w:tcPr>
            <w:tcW w:w="2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85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03">
              <w:r>
                <w:rPr>
                  <w:rFonts w:ascii="Times New Roman" w:cs="Times New Roman" w:eastAsia="Times New Roman" w:hAnsi="Times New Roman"/>
                  <w:sz w:val="18"/>
                  <w:szCs w:val="18"/>
                  <w:color w:val="0000EE"/>
                  <w:w w:val="99"/>
                </w:rPr>
                <w:t>Exhibit 10.13 to the registration statement on Form F-1, as amended, initially filed with the SEC on July 26, 2024 (File</w:t>
              </w:r>
            </w:hyperlink>
          </w:p>
        </w:tc>
        <w:tc>
          <w:tcPr>
            <w:tcW w:w="1320" w:type="dxa"/>
            <w:vAlign w:val="bottom"/>
            <w:gridSpan w:val="13"/>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9900" w:type="dxa"/>
            <w:vAlign w:val="bottom"/>
            <w:gridSpan w:val="21"/>
          </w:tcPr>
          <w:p>
            <w:pPr>
              <w:spacing w:after="0" w:line="19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No. 333-281054))</w:t>
              </w:r>
            </w:hyperlink>
          </w:p>
        </w:tc>
      </w:tr>
      <w:tr>
        <w:trPr>
          <w:trHeight w:val="20"/>
        </w:trPr>
        <w:tc>
          <w:tcPr>
            <w:tcW w:w="110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4.13</w:t>
            </w:r>
          </w:p>
        </w:tc>
        <w:tc>
          <w:tcPr>
            <w:tcW w:w="97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204">
              <w:r>
                <w:rPr>
                  <w:rFonts w:ascii="Times New Roman" w:cs="Times New Roman" w:eastAsia="Times New Roman" w:hAnsi="Times New Roman"/>
                  <w:sz w:val="18"/>
                  <w:szCs w:val="18"/>
                  <w:color w:val="0000EE"/>
                  <w:w w:val="99"/>
                </w:rPr>
                <w:t>Share Subscription Agreement between the Registrant and Alliance Ventures, B.V., dated July 26, 2024 and as amended on October 21,</w:t>
              </w:r>
            </w:hyperlink>
          </w:p>
        </w:tc>
        <w:tc>
          <w:tcPr>
            <w:tcW w:w="140" w:type="dxa"/>
            <w:vAlign w:val="bottom"/>
            <w:gridSpan w:val="5"/>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6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204">
              <w:r>
                <w:rPr>
                  <w:rFonts w:ascii="Times New Roman" w:cs="Times New Roman" w:eastAsia="Times New Roman" w:hAnsi="Times New Roman"/>
                  <w:sz w:val="18"/>
                  <w:szCs w:val="18"/>
                  <w:color w:val="0000EE"/>
                  <w:w w:val="99"/>
                </w:rPr>
                <w:t>2024 (incorporated herein by reference to Exhibit 10.14 to the registration statement on Form F-1, as amended, initially filed with the</w:t>
              </w:r>
            </w:hyperlink>
          </w:p>
        </w:tc>
        <w:tc>
          <w:tcPr>
            <w:tcW w:w="280" w:type="dxa"/>
            <w:vAlign w:val="bottom"/>
            <w:gridSpan w:val="9"/>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9900" w:type="dxa"/>
            <w:vAlign w:val="bottom"/>
            <w:gridSpan w:val="21"/>
          </w:tcPr>
          <w:p>
            <w:pPr>
              <w:spacing w:after="0" w:line="196"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SEC on July 26, 2024 (File No. 333-281054))</w:t>
              </w:r>
            </w:hyperlink>
          </w:p>
        </w:tc>
      </w:tr>
      <w:tr>
        <w:trPr>
          <w:trHeight w:val="20"/>
        </w:trPr>
        <w:tc>
          <w:tcPr>
            <w:tcW w:w="110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4.14</w:t>
            </w:r>
          </w:p>
        </w:tc>
        <w:tc>
          <w:tcPr>
            <w:tcW w:w="9900" w:type="dxa"/>
            <w:vAlign w:val="bottom"/>
            <w:gridSpan w:val="21"/>
          </w:tcPr>
          <w:p>
            <w:pPr>
              <w:spacing w:after="0"/>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Nominating and Support Agreement between the Registrant, Tony Xu Han, Yan Li and Alliance Ventures, B.V., dated July 26, 2024</w:t>
              </w:r>
            </w:hyperlink>
          </w:p>
        </w:tc>
      </w:tr>
      <w:tr>
        <w:trPr>
          <w:trHeight w:val="20"/>
        </w:trPr>
        <w:tc>
          <w:tcPr>
            <w:tcW w:w="110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20" w:type="dxa"/>
            <w:vAlign w:val="bottom"/>
            <w:gridSpan w:val="6"/>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900" w:type="dxa"/>
            <w:vAlign w:val="bottom"/>
            <w:gridSpan w:val="21"/>
          </w:tcPr>
          <w:p>
            <w:pPr>
              <w:spacing w:after="0" w:line="196"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(incorporated herein by reference to Exhibit 10.15 to the registration statement on Form F-1, as amended, initially filed with the SEC on</w:t>
              </w:r>
            </w:hyperlink>
          </w:p>
        </w:tc>
      </w:tr>
      <w:tr>
        <w:trPr>
          <w:trHeight w:val="196"/>
        </w:trPr>
        <w:tc>
          <w:tcPr>
            <w:tcW w:w="1100" w:type="dxa"/>
            <w:vAlign w:val="bottom"/>
          </w:tcPr>
          <w:p>
            <w:pPr>
              <w:spacing w:after="0"/>
              <w:rPr>
                <w:sz w:val="17"/>
                <w:szCs w:val="17"/>
                <w:color w:val="auto"/>
              </w:rPr>
            </w:pPr>
          </w:p>
        </w:tc>
        <w:tc>
          <w:tcPr>
            <w:tcW w:w="980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July 26, 2024 (File No. 333-281054))</w:t>
              </w:r>
            </w:hyperlink>
          </w:p>
        </w:tc>
        <w:tc>
          <w:tcPr>
            <w:tcW w:w="100" w:type="dxa"/>
            <w:vAlign w:val="bottom"/>
            <w:gridSpan w:val="4"/>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2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4.15</w:t>
            </w:r>
          </w:p>
        </w:tc>
        <w:tc>
          <w:tcPr>
            <w:tcW w:w="9900" w:type="dxa"/>
            <w:vAlign w:val="bottom"/>
            <w:gridSpan w:val="21"/>
          </w:tcPr>
          <w:p>
            <w:pPr>
              <w:spacing w:after="0"/>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Co-operation Agreement between the Registrant and Renault s.a.s., dated July 17, 2024 (incorporated herein by reference to Exhibit</w:t>
              </w:r>
            </w:hyperlink>
          </w:p>
        </w:tc>
      </w:tr>
      <w:tr>
        <w:trPr>
          <w:trHeight w:val="196"/>
        </w:trPr>
        <w:tc>
          <w:tcPr>
            <w:tcW w:w="1100" w:type="dxa"/>
            <w:vAlign w:val="bottom"/>
          </w:tcPr>
          <w:p>
            <w:pPr>
              <w:spacing w:after="0"/>
              <w:rPr>
                <w:sz w:val="17"/>
                <w:szCs w:val="17"/>
                <w:color w:val="auto"/>
              </w:rPr>
            </w:pPr>
          </w:p>
        </w:tc>
        <w:tc>
          <w:tcPr>
            <w:tcW w:w="950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16</w:t>
              </w:r>
              <w:r>
                <w:rPr>
                  <w:rFonts w:ascii="Times New Roman" w:cs="Times New Roman" w:eastAsia="Times New Roman" w:hAnsi="Times New Roman"/>
                  <w:sz w:val="18"/>
                  <w:szCs w:val="18"/>
                  <w:color w:val="0000EE"/>
                </w:rPr>
                <w:t xml:space="preserve"> to the registration statement on Form F-1, as amended, initially filed with the SEC on July 26, 2024 (File No. 333-281054))</w:t>
              </w:r>
            </w:hyperlink>
          </w:p>
        </w:tc>
        <w:tc>
          <w:tcPr>
            <w:tcW w:w="400" w:type="dxa"/>
            <w:vAlign w:val="bottom"/>
            <w:gridSpan w:val="11"/>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6620" w:type="dxa"/>
            <w:vAlign w:val="bottom"/>
            <w:gridSpan w:val="6"/>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4.16</w:t>
            </w:r>
          </w:p>
        </w:tc>
        <w:tc>
          <w:tcPr>
            <w:tcW w:w="98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207">
              <w:r>
                <w:rPr>
                  <w:rFonts w:ascii="Times New Roman" w:cs="Times New Roman" w:eastAsia="Times New Roman" w:hAnsi="Times New Roman"/>
                  <w:sz w:val="18"/>
                  <w:szCs w:val="18"/>
                  <w:color w:val="0000EE"/>
                  <w:w w:val="99"/>
                </w:rPr>
                <w:t>Subscription Agreement between the Registrant and JSC International Investment Fund SPC, dated August 9, 2024 (incorporated herein</w:t>
              </w:r>
            </w:hyperlink>
          </w:p>
        </w:tc>
        <w:tc>
          <w:tcPr>
            <w:tcW w:w="80" w:type="dxa"/>
            <w:vAlign w:val="bottom"/>
            <w:gridSpan w:val="3"/>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900" w:type="dxa"/>
            <w:vAlign w:val="bottom"/>
            <w:gridSpan w:val="21"/>
          </w:tcPr>
          <w:p>
            <w:pPr>
              <w:spacing w:after="0" w:line="196"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by reference to Exhibit 10.17 to the registration statement on Form F-1, as amended, initially filed with the SEC on July 26, 2024 (File</w:t>
              </w:r>
            </w:hyperlink>
          </w:p>
        </w:tc>
      </w:tr>
      <w:tr>
        <w:trPr>
          <w:trHeight w:val="196"/>
        </w:trPr>
        <w:tc>
          <w:tcPr>
            <w:tcW w:w="1100" w:type="dxa"/>
            <w:vAlign w:val="bottom"/>
          </w:tcPr>
          <w:p>
            <w:pPr>
              <w:spacing w:after="0"/>
              <w:rPr>
                <w:sz w:val="17"/>
                <w:szCs w:val="17"/>
                <w:color w:val="auto"/>
              </w:rPr>
            </w:pPr>
          </w:p>
        </w:tc>
        <w:tc>
          <w:tcPr>
            <w:tcW w:w="970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No. 333-281054))</w:t>
              </w:r>
            </w:hyperlink>
          </w:p>
        </w:tc>
        <w:tc>
          <w:tcPr>
            <w:tcW w:w="200" w:type="dxa"/>
            <w:vAlign w:val="bottom"/>
            <w:gridSpan w:val="7"/>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62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4.17</w:t>
            </w:r>
          </w:p>
        </w:tc>
        <w:tc>
          <w:tcPr>
            <w:tcW w:w="9900" w:type="dxa"/>
            <w:vAlign w:val="bottom"/>
            <w:gridSpan w:val="21"/>
          </w:tcPr>
          <w:p>
            <w:pPr>
              <w:spacing w:after="0"/>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Subscription Agreement between the Registrant and Get Ride Inc., dated August 8, 2024 (incorporated herein by reference to Exhibit</w:t>
              </w:r>
            </w:hyperlink>
          </w:p>
        </w:tc>
      </w:tr>
      <w:tr>
        <w:trPr>
          <w:trHeight w:val="196"/>
        </w:trPr>
        <w:tc>
          <w:tcPr>
            <w:tcW w:w="1100" w:type="dxa"/>
            <w:vAlign w:val="bottom"/>
          </w:tcPr>
          <w:p>
            <w:pPr>
              <w:spacing w:after="0"/>
              <w:rPr>
                <w:sz w:val="17"/>
                <w:szCs w:val="17"/>
                <w:color w:val="auto"/>
              </w:rPr>
            </w:pPr>
          </w:p>
        </w:tc>
        <w:tc>
          <w:tcPr>
            <w:tcW w:w="96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18</w:t>
              </w:r>
              <w:r>
                <w:rPr>
                  <w:rFonts w:ascii="Times New Roman" w:cs="Times New Roman" w:eastAsia="Times New Roman" w:hAnsi="Times New Roman"/>
                  <w:sz w:val="18"/>
                  <w:szCs w:val="18"/>
                  <w:color w:val="0000EE"/>
                </w:rPr>
                <w:t xml:space="preserve"> to the registration statement on Form F-1, as amended, initially filed with the SEC on July 26, 2024 (File No. 333-281054))</w:t>
              </w:r>
            </w:hyperlink>
          </w:p>
        </w:tc>
        <w:tc>
          <w:tcPr>
            <w:tcW w:w="300" w:type="dxa"/>
            <w:vAlign w:val="bottom"/>
            <w:gridSpan w:val="10"/>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6620" w:type="dxa"/>
            <w:vAlign w:val="bottom"/>
            <w:gridSpan w:val="6"/>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4.18</w:t>
            </w:r>
          </w:p>
        </w:tc>
        <w:tc>
          <w:tcPr>
            <w:tcW w:w="95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Subscription Agreement between the Registrant and Beijing Minghong Management Consulting Partnership, dated August 8, 2024</w:t>
              </w:r>
            </w:hyperlink>
          </w:p>
        </w:tc>
        <w:tc>
          <w:tcPr>
            <w:tcW w:w="400" w:type="dxa"/>
            <w:vAlign w:val="bottom"/>
            <w:gridSpan w:val="11"/>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900" w:type="dxa"/>
            <w:vAlign w:val="bottom"/>
            <w:gridSpan w:val="21"/>
          </w:tcPr>
          <w:p>
            <w:pPr>
              <w:spacing w:after="0" w:line="196" w:lineRule="exact"/>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(incorporated herein by reference to Exhibit 10.19 to the registration statement on Form F-1, as amended, initially filed with the SEC on</w:t>
              </w:r>
            </w:hyperlink>
          </w:p>
        </w:tc>
      </w:tr>
      <w:tr>
        <w:trPr>
          <w:trHeight w:val="196"/>
        </w:trPr>
        <w:tc>
          <w:tcPr>
            <w:tcW w:w="1100" w:type="dxa"/>
            <w:vAlign w:val="bottom"/>
          </w:tcPr>
          <w:p>
            <w:pPr>
              <w:spacing w:after="0"/>
              <w:rPr>
                <w:sz w:val="17"/>
                <w:szCs w:val="17"/>
                <w:color w:val="auto"/>
              </w:rPr>
            </w:pPr>
          </w:p>
        </w:tc>
        <w:tc>
          <w:tcPr>
            <w:tcW w:w="27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09">
              <w:r>
                <w:rPr>
                  <w:rFonts w:ascii="Times New Roman" w:cs="Times New Roman" w:eastAsia="Times New Roman" w:hAnsi="Times New Roman"/>
                  <w:sz w:val="18"/>
                  <w:szCs w:val="18"/>
                  <w:color w:val="0000EE"/>
                  <w:w w:val="99"/>
                </w:rPr>
                <w:t>July 26, 2024 (File No. 333-281054))</w:t>
              </w:r>
            </w:hyperlink>
          </w:p>
        </w:tc>
        <w:tc>
          <w:tcPr>
            <w:tcW w:w="7080" w:type="dxa"/>
            <w:vAlign w:val="bottom"/>
            <w:tcBorders>
              <w:top w:val="single" w:sz="8" w:color="0000EE"/>
            </w:tcBorders>
            <w:gridSpan w:val="14"/>
          </w:tcPr>
          <w:p>
            <w:pPr>
              <w:spacing w:after="0"/>
              <w:rPr>
                <w:sz w:val="17"/>
                <w:szCs w:val="17"/>
                <w:color w:val="auto"/>
              </w:rPr>
            </w:pPr>
          </w:p>
        </w:tc>
        <w:tc>
          <w:tcPr>
            <w:tcW w:w="100" w:type="dxa"/>
            <w:vAlign w:val="bottom"/>
            <w:gridSpan w:val="4"/>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4.19</w:t>
            </w:r>
          </w:p>
        </w:tc>
        <w:tc>
          <w:tcPr>
            <w:tcW w:w="9900" w:type="dxa"/>
            <w:vAlign w:val="bottom"/>
            <w:gridSpan w:val="21"/>
          </w:tcPr>
          <w:p>
            <w:pPr>
              <w:spacing w:after="0"/>
              <w:rPr>
                <w:rFonts w:ascii="Times New Roman" w:cs="Times New Roman" w:eastAsia="Times New Roman" w:hAnsi="Times New Roman"/>
                <w:sz w:val="18"/>
                <w:szCs w:val="18"/>
                <w:color w:val="0000EE"/>
                <w:w w:val="99"/>
              </w:rPr>
            </w:pPr>
            <w:hyperlink r:id="rId210">
              <w:r>
                <w:rPr>
                  <w:rFonts w:ascii="Times New Roman" w:cs="Times New Roman" w:eastAsia="Times New Roman" w:hAnsi="Times New Roman"/>
                  <w:sz w:val="18"/>
                  <w:szCs w:val="18"/>
                  <w:color w:val="0000EE"/>
                  <w:w w:val="99"/>
                </w:rPr>
                <w:t>Amended and Restated Subscription Agreement between the Registrant and Kechuangzhixing Holdings Limited, dated October 21, 2024</w:t>
              </w:r>
            </w:hyperlink>
          </w:p>
        </w:tc>
      </w:tr>
      <w:tr>
        <w:trPr>
          <w:trHeight w:val="196"/>
        </w:trPr>
        <w:tc>
          <w:tcPr>
            <w:tcW w:w="1100" w:type="dxa"/>
            <w:vAlign w:val="bottom"/>
          </w:tcPr>
          <w:p>
            <w:pPr>
              <w:spacing w:after="0"/>
              <w:rPr>
                <w:sz w:val="17"/>
                <w:szCs w:val="17"/>
                <w:color w:val="auto"/>
              </w:rPr>
            </w:pPr>
          </w:p>
        </w:tc>
        <w:tc>
          <w:tcPr>
            <w:tcW w:w="988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(incorporated herein by reference to Exhibit 10.20 to the registration statement on Form F-1, as amended, initially filed with the SEC on</w:t>
              </w:r>
            </w:hyperlink>
          </w:p>
        </w:tc>
        <w:tc>
          <w:tcPr>
            <w:tcW w:w="2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980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July 26, 2024 (File No. 333-281054))</w:t>
              </w:r>
            </w:hyperlink>
          </w:p>
        </w:tc>
        <w:tc>
          <w:tcPr>
            <w:tcW w:w="100" w:type="dxa"/>
            <w:vAlign w:val="bottom"/>
            <w:gridSpan w:val="4"/>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6940" w:type="dxa"/>
            <w:vAlign w:val="bottom"/>
            <w:gridSpan w:val="11"/>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4.20</w:t>
            </w:r>
          </w:p>
        </w:tc>
        <w:tc>
          <w:tcPr>
            <w:tcW w:w="96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211">
              <w:r>
                <w:rPr>
                  <w:rFonts w:ascii="Times New Roman" w:cs="Times New Roman" w:eastAsia="Times New Roman" w:hAnsi="Times New Roman"/>
                  <w:sz w:val="18"/>
                  <w:szCs w:val="18"/>
                  <w:color w:val="0000EE"/>
                  <w:w w:val="99"/>
                </w:rPr>
                <w:t>Subscription Agreement between the Registrant, Guangqizhixing Holdings Limited and Gac Capital International Ltd., dated July 17,</w:t>
              </w:r>
            </w:hyperlink>
          </w:p>
        </w:tc>
        <w:tc>
          <w:tcPr>
            <w:tcW w:w="260" w:type="dxa"/>
            <w:vAlign w:val="bottom"/>
            <w:gridSpan w:val="8"/>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6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211">
              <w:r>
                <w:rPr>
                  <w:rFonts w:ascii="Times New Roman" w:cs="Times New Roman" w:eastAsia="Times New Roman" w:hAnsi="Times New Roman"/>
                  <w:sz w:val="18"/>
                  <w:szCs w:val="18"/>
                  <w:color w:val="0000EE"/>
                  <w:w w:val="99"/>
                </w:rPr>
                <w:t>2024 (incorporated herein by reference to Exhibit 10.21 to the registration statement on Form F-1, as amended, initially filed with the</w:t>
              </w:r>
            </w:hyperlink>
          </w:p>
        </w:tc>
        <w:tc>
          <w:tcPr>
            <w:tcW w:w="280" w:type="dxa"/>
            <w:vAlign w:val="bottom"/>
            <w:gridSpan w:val="9"/>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9900" w:type="dxa"/>
            <w:vAlign w:val="bottom"/>
            <w:gridSpan w:val="21"/>
          </w:tcPr>
          <w:p>
            <w:pPr>
              <w:spacing w:after="0" w:line="196"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SEC on July 26, 2024 (File No. 333-281054))</w:t>
              </w:r>
            </w:hyperlink>
          </w:p>
        </w:tc>
      </w:tr>
      <w:tr>
        <w:trPr>
          <w:trHeight w:val="385"/>
        </w:trPr>
        <w:tc>
          <w:tcPr>
            <w:tcW w:w="1100" w:type="dxa"/>
            <w:vAlign w:val="bottom"/>
          </w:tcPr>
          <w:p>
            <w:pPr>
              <w:spacing w:after="0"/>
              <w:rPr>
                <w:sz w:val="24"/>
                <w:szCs w:val="24"/>
                <w:color w:val="auto"/>
              </w:rPr>
            </w:pPr>
          </w:p>
        </w:tc>
        <w:tc>
          <w:tcPr>
            <w:tcW w:w="3300" w:type="dxa"/>
            <w:vAlign w:val="bottom"/>
            <w:tcBorders>
              <w:top w:val="single" w:sz="8" w:color="0000EE"/>
            </w:tcBorders>
            <w:gridSpan w:val="5"/>
          </w:tcPr>
          <w:p>
            <w:pPr>
              <w:spacing w:after="0"/>
              <w:rPr>
                <w:sz w:val="24"/>
                <w:szCs w:val="24"/>
                <w:color w:val="auto"/>
              </w:rPr>
            </w:pPr>
          </w:p>
        </w:tc>
        <w:tc>
          <w:tcPr>
            <w:tcW w:w="3540" w:type="dxa"/>
            <w:vAlign w:val="bottom"/>
            <w:gridSpan w:val="2"/>
          </w:tcPr>
          <w:p>
            <w:pPr>
              <w:jc w:val="right"/>
              <w:ind w:right="2300"/>
              <w:spacing w:after="0"/>
              <w:rPr>
                <w:sz w:val="20"/>
                <w:szCs w:val="20"/>
                <w:color w:val="auto"/>
              </w:rPr>
            </w:pPr>
            <w:r>
              <w:rPr>
                <w:rFonts w:ascii="Times New Roman" w:cs="Times New Roman" w:eastAsia="Times New Roman" w:hAnsi="Times New Roman"/>
                <w:sz w:val="18"/>
                <w:szCs w:val="18"/>
                <w:color w:val="auto"/>
              </w:rPr>
              <w:t>160</w:t>
            </w:r>
          </w:p>
        </w:tc>
        <w:tc>
          <w:tcPr>
            <w:tcW w:w="1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120"/>
          </w:cols>
          <w:pgMar w:left="320" w:top="482" w:right="4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    4.21</w:t>
            </w:r>
          </w:p>
        </w:tc>
        <w:tc>
          <w:tcPr>
            <w:tcW w:w="9820" w:type="dxa"/>
            <w:vAlign w:val="bottom"/>
            <w:gridSpan w:val="14"/>
          </w:tcPr>
          <w:p>
            <w:pPr>
              <w:spacing w:after="0"/>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Amended and Restated Subscription Agreement between the Registrant and GZJK WENYUAN Inc., dated October 21, 2024</w:t>
              </w:r>
            </w:hyperlink>
          </w:p>
        </w:tc>
      </w:tr>
      <w:tr>
        <w:trPr>
          <w:trHeight w:val="20"/>
        </w:trPr>
        <w:tc>
          <w:tcPr>
            <w:tcW w:w="118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98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213">
              <w:r>
                <w:rPr>
                  <w:rFonts w:ascii="Times New Roman" w:cs="Times New Roman" w:eastAsia="Times New Roman" w:hAnsi="Times New Roman"/>
                  <w:sz w:val="18"/>
                  <w:szCs w:val="18"/>
                  <w:color w:val="0000EE"/>
                  <w:w w:val="99"/>
                </w:rPr>
                <w:t>(incorporated herein by reference to Exhibit 10.22 to the registration statement on Form F-1, as amended, initially filed with the SEC on</w:t>
              </w:r>
            </w:hyperlink>
          </w:p>
        </w:tc>
      </w:tr>
      <w:tr>
        <w:trPr>
          <w:trHeight w:val="196"/>
        </w:trPr>
        <w:tc>
          <w:tcPr>
            <w:tcW w:w="1180" w:type="dxa"/>
            <w:vAlign w:val="bottom"/>
          </w:tcPr>
          <w:p>
            <w:pPr>
              <w:spacing w:after="0"/>
              <w:rPr>
                <w:sz w:val="17"/>
                <w:szCs w:val="17"/>
                <w:color w:val="auto"/>
              </w:rPr>
            </w:pPr>
          </w:p>
        </w:tc>
        <w:tc>
          <w:tcPr>
            <w:tcW w:w="9820" w:type="dxa"/>
            <w:vAlign w:val="bottom"/>
            <w:gridSpan w:val="14"/>
          </w:tcPr>
          <w:p>
            <w:pPr>
              <w:spacing w:after="0" w:line="196"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July 26, 2024 (File No. 333-281054))</w:t>
              </w:r>
            </w:hyperlink>
          </w:p>
        </w:tc>
      </w:tr>
      <w:tr>
        <w:trPr>
          <w:trHeight w:val="20"/>
        </w:trPr>
        <w:tc>
          <w:tcPr>
            <w:tcW w:w="118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    4.22</w:t>
            </w:r>
          </w:p>
        </w:tc>
        <w:tc>
          <w:tcPr>
            <w:tcW w:w="98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214">
              <w:r>
                <w:rPr>
                  <w:rFonts w:ascii="Times New Roman" w:cs="Times New Roman" w:eastAsia="Times New Roman" w:hAnsi="Times New Roman"/>
                  <w:sz w:val="18"/>
                  <w:szCs w:val="18"/>
                  <w:color w:val="0000EE"/>
                  <w:w w:val="99"/>
                </w:rPr>
                <w:t>English translation of Framework Agreement for the Procurement and Services of High-definition Maps between Guangzhou Jingqi and</w:t>
              </w:r>
            </w:hyperlink>
          </w:p>
        </w:tc>
      </w:tr>
      <w:tr>
        <w:trPr>
          <w:trHeight w:val="196"/>
        </w:trPr>
        <w:tc>
          <w:tcPr>
            <w:tcW w:w="1180" w:type="dxa"/>
            <w:vAlign w:val="bottom"/>
          </w:tcPr>
          <w:p>
            <w:pPr>
              <w:spacing w:after="0"/>
              <w:rPr>
                <w:sz w:val="17"/>
                <w:szCs w:val="17"/>
                <w:color w:val="auto"/>
              </w:rPr>
            </w:pPr>
          </w:p>
        </w:tc>
        <w:tc>
          <w:tcPr>
            <w:tcW w:w="98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214">
              <w:r>
                <w:rPr>
                  <w:rFonts w:ascii="Times New Roman" w:cs="Times New Roman" w:eastAsia="Times New Roman" w:hAnsi="Times New Roman"/>
                  <w:sz w:val="18"/>
                  <w:szCs w:val="18"/>
                  <w:color w:val="0000EE"/>
                  <w:w w:val="99"/>
                </w:rPr>
                <w:t>Guangzhou Yuji Technology Co., Ltd., dated February 28, 2022, and its supplemental agreement, dated February 28, 2023 (incorporated</w:t>
              </w:r>
            </w:hyperlink>
          </w:p>
        </w:tc>
      </w:tr>
      <w:tr>
        <w:trPr>
          <w:trHeight w:val="196"/>
        </w:trPr>
        <w:tc>
          <w:tcPr>
            <w:tcW w:w="1180" w:type="dxa"/>
            <w:vAlign w:val="bottom"/>
          </w:tcPr>
          <w:p>
            <w:pPr>
              <w:spacing w:after="0"/>
              <w:rPr>
                <w:sz w:val="17"/>
                <w:szCs w:val="17"/>
                <w:color w:val="auto"/>
              </w:rPr>
            </w:pPr>
          </w:p>
        </w:tc>
        <w:tc>
          <w:tcPr>
            <w:tcW w:w="98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214">
              <w:r>
                <w:rPr>
                  <w:rFonts w:ascii="Times New Roman" w:cs="Times New Roman" w:eastAsia="Times New Roman" w:hAnsi="Times New Roman"/>
                  <w:sz w:val="18"/>
                  <w:szCs w:val="18"/>
                  <w:color w:val="0000EE"/>
                  <w:w w:val="99"/>
                </w:rPr>
                <w:t>herein by reference to Exhibit 10.23 to the registration statement on Form F-1, as amended, initially filed with the SEC on July 26, 2024</w:t>
              </w:r>
            </w:hyperlink>
          </w:p>
        </w:tc>
      </w:tr>
      <w:tr>
        <w:trPr>
          <w:trHeight w:val="196"/>
        </w:trPr>
        <w:tc>
          <w:tcPr>
            <w:tcW w:w="1180" w:type="dxa"/>
            <w:vAlign w:val="bottom"/>
          </w:tcPr>
          <w:p>
            <w:pPr>
              <w:spacing w:after="0"/>
              <w:rPr>
                <w:sz w:val="17"/>
                <w:szCs w:val="17"/>
                <w:color w:val="auto"/>
              </w:rPr>
            </w:pPr>
          </w:p>
        </w:tc>
        <w:tc>
          <w:tcPr>
            <w:tcW w:w="9820" w:type="dxa"/>
            <w:vAlign w:val="bottom"/>
            <w:gridSpan w:val="14"/>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(File No. 333-281054))</w:t>
              </w:r>
            </w:hyperlink>
          </w:p>
        </w:tc>
      </w:tr>
      <w:tr>
        <w:trPr>
          <w:trHeight w:val="20"/>
        </w:trPr>
        <w:tc>
          <w:tcPr>
            <w:tcW w:w="118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    8.1*</w:t>
            </w:r>
          </w:p>
        </w:tc>
        <w:tc>
          <w:tcPr>
            <w:tcW w:w="98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Principal Subsidiaries of the Registrant</w:t>
            </w:r>
          </w:p>
        </w:tc>
      </w:tr>
      <w:tr>
        <w:trPr>
          <w:trHeight w:val="20"/>
        </w:trPr>
        <w:tc>
          <w:tcPr>
            <w:tcW w:w="1180" w:type="dxa"/>
            <w:vAlign w:val="bottom"/>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  11.1</w:t>
            </w:r>
          </w:p>
        </w:tc>
        <w:tc>
          <w:tcPr>
            <w:tcW w:w="9820" w:type="dxa"/>
            <w:vAlign w:val="bottom"/>
            <w:gridSpan w:val="14"/>
          </w:tcPr>
          <w:p>
            <w:pPr>
              <w:spacing w:after="0"/>
              <w:rPr>
                <w:rFonts w:ascii="Times New Roman" w:cs="Times New Roman" w:eastAsia="Times New Roman" w:hAnsi="Times New Roman"/>
                <w:sz w:val="18"/>
                <w:szCs w:val="18"/>
                <w:color w:val="0000EE"/>
                <w:w w:val="99"/>
              </w:rPr>
            </w:pPr>
            <w:hyperlink r:id="rId215">
              <w:r>
                <w:rPr>
                  <w:rFonts w:ascii="Times New Roman" w:cs="Times New Roman" w:eastAsia="Times New Roman" w:hAnsi="Times New Roman"/>
                  <w:sz w:val="18"/>
                  <w:szCs w:val="18"/>
                  <w:color w:val="0000EE"/>
                  <w:w w:val="99"/>
                </w:rPr>
                <w:t>Code of Business Conduct and Ethics of the Registrant (incorporated herein by reference to Exhibit 99.1 to the registration statement on</w:t>
              </w:r>
            </w:hyperlink>
          </w:p>
        </w:tc>
      </w:tr>
      <w:tr>
        <w:trPr>
          <w:trHeight w:val="196"/>
        </w:trPr>
        <w:tc>
          <w:tcPr>
            <w:tcW w:w="1180" w:type="dxa"/>
            <w:vAlign w:val="bottom"/>
          </w:tcPr>
          <w:p>
            <w:pPr>
              <w:spacing w:after="0"/>
              <w:rPr>
                <w:sz w:val="17"/>
                <w:szCs w:val="17"/>
                <w:color w:val="auto"/>
              </w:rPr>
            </w:pPr>
          </w:p>
        </w:tc>
        <w:tc>
          <w:tcPr>
            <w:tcW w:w="980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Form F-1, as amended, initially filed with the SEC on July 26, 2024 (File No. 333-281054))</w:t>
              </w:r>
            </w:hyperlink>
          </w:p>
        </w:tc>
        <w:tc>
          <w:tcPr>
            <w:tcW w:w="2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36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r>
      <w:tr>
        <w:trPr>
          <w:trHeight w:val="30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  11.2*</w:t>
            </w:r>
          </w:p>
        </w:tc>
        <w:tc>
          <w:tcPr>
            <w:tcW w:w="87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Statement of Policies Governing Material Non-public Information and the Prevention of Insider Trading of the Registrant</w:t>
            </w:r>
          </w:p>
        </w:tc>
        <w:tc>
          <w:tcPr>
            <w:tcW w:w="1060" w:type="dxa"/>
            <w:vAlign w:val="bottom"/>
            <w:gridSpan w:val="3"/>
          </w:tcPr>
          <w:p>
            <w:pPr>
              <w:spacing w:after="0"/>
              <w:rPr>
                <w:sz w:val="24"/>
                <w:szCs w:val="24"/>
                <w:color w:val="auto"/>
              </w:rPr>
            </w:pPr>
          </w:p>
        </w:tc>
      </w:tr>
      <w:tr>
        <w:trPr>
          <w:trHeight w:val="30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  12.1*</w:t>
            </w:r>
          </w:p>
        </w:tc>
        <w:tc>
          <w:tcPr>
            <w:tcW w:w="74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Certification by Principal Executive Officer Pursuant to Section 302 of the Sarbanes-Oxley Act of 2002</w:t>
            </w:r>
          </w:p>
        </w:tc>
        <w:tc>
          <w:tcPr>
            <w:tcW w:w="2340" w:type="dxa"/>
            <w:vAlign w:val="bottom"/>
            <w:gridSpan w:val="4"/>
          </w:tcPr>
          <w:p>
            <w:pPr>
              <w:spacing w:after="0"/>
              <w:rPr>
                <w:sz w:val="24"/>
                <w:szCs w:val="24"/>
                <w:color w:val="auto"/>
              </w:rPr>
            </w:pPr>
          </w:p>
        </w:tc>
      </w:tr>
      <w:tr>
        <w:trPr>
          <w:trHeight w:val="30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  12.2*</w:t>
            </w:r>
          </w:p>
        </w:tc>
        <w:tc>
          <w:tcPr>
            <w:tcW w:w="74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Certification by Principal Financial Officer Pursuant to Section 302 of the Sarbanes-Oxley Act of 2002</w:t>
            </w:r>
          </w:p>
        </w:tc>
        <w:tc>
          <w:tcPr>
            <w:tcW w:w="2380" w:type="dxa"/>
            <w:vAlign w:val="bottom"/>
            <w:gridSpan w:val="5"/>
          </w:tcPr>
          <w:p>
            <w:pPr>
              <w:spacing w:after="0"/>
              <w:rPr>
                <w:sz w:val="24"/>
                <w:szCs w:val="24"/>
                <w:color w:val="auto"/>
              </w:rPr>
            </w:pPr>
          </w:p>
        </w:tc>
      </w:tr>
      <w:tr>
        <w:trPr>
          <w:trHeight w:val="30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  13.1**</w:t>
            </w:r>
          </w:p>
        </w:tc>
        <w:tc>
          <w:tcPr>
            <w:tcW w:w="74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Certification by Principal Executive Officer Pursuant to Section 906 of the Sarbanes-Oxley Act of 2002</w:t>
            </w:r>
          </w:p>
        </w:tc>
        <w:tc>
          <w:tcPr>
            <w:tcW w:w="2340" w:type="dxa"/>
            <w:vAlign w:val="bottom"/>
            <w:gridSpan w:val="4"/>
          </w:tcPr>
          <w:p>
            <w:pPr>
              <w:spacing w:after="0"/>
              <w:rPr>
                <w:sz w:val="24"/>
                <w:szCs w:val="24"/>
                <w:color w:val="auto"/>
              </w:rPr>
            </w:pPr>
          </w:p>
        </w:tc>
      </w:tr>
      <w:tr>
        <w:trPr>
          <w:trHeight w:val="30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  13.2**</w:t>
            </w:r>
          </w:p>
        </w:tc>
        <w:tc>
          <w:tcPr>
            <w:tcW w:w="98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Certification by Principal Financial Officer Pursuant to Section 906 of the Sarbanes-Oxley Act of 2002</w:t>
            </w:r>
          </w:p>
        </w:tc>
      </w:tr>
      <w:tr>
        <w:trPr>
          <w:trHeight w:val="30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  15.1*</w:t>
            </w:r>
          </w:p>
        </w:tc>
        <w:tc>
          <w:tcPr>
            <w:tcW w:w="300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Consent of Commerce &amp; Finance Offices</w:t>
            </w:r>
          </w:p>
        </w:tc>
        <w:tc>
          <w:tcPr>
            <w:tcW w:w="4420" w:type="dxa"/>
            <w:vAlign w:val="bottom"/>
            <w:tcBorders>
              <w:top w:val="single" w:sz="8" w:color="0000EE"/>
            </w:tcBorders>
            <w:gridSpan w:val="2"/>
          </w:tcPr>
          <w:p>
            <w:pPr>
              <w:spacing w:after="0"/>
              <w:rPr>
                <w:sz w:val="24"/>
                <w:szCs w:val="24"/>
                <w:color w:val="auto"/>
              </w:rPr>
            </w:pPr>
          </w:p>
        </w:tc>
        <w:tc>
          <w:tcPr>
            <w:tcW w:w="2400" w:type="dxa"/>
            <w:vAlign w:val="bottom"/>
            <w:gridSpan w:val="6"/>
          </w:tcPr>
          <w:p>
            <w:pPr>
              <w:spacing w:after="0"/>
              <w:rPr>
                <w:sz w:val="24"/>
                <w:szCs w:val="24"/>
                <w:color w:val="auto"/>
              </w:rPr>
            </w:pPr>
          </w:p>
        </w:tc>
      </w:tr>
      <w:tr>
        <w:trPr>
          <w:trHeight w:val="30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  15.2*</w:t>
            </w:r>
          </w:p>
        </w:tc>
        <w:tc>
          <w:tcPr>
            <w:tcW w:w="25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Consent of Travers Thorp Alberga</w:t>
            </w:r>
          </w:p>
        </w:tc>
        <w:tc>
          <w:tcPr>
            <w:tcW w:w="7320" w:type="dxa"/>
            <w:vAlign w:val="bottom"/>
            <w:gridSpan w:val="11"/>
          </w:tcPr>
          <w:p>
            <w:pPr>
              <w:spacing w:after="0"/>
              <w:rPr>
                <w:sz w:val="24"/>
                <w:szCs w:val="24"/>
                <w:color w:val="auto"/>
              </w:rPr>
            </w:pPr>
          </w:p>
        </w:tc>
      </w:tr>
      <w:tr>
        <w:trPr>
          <w:trHeight w:val="30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  97.1*</w:t>
            </w:r>
          </w:p>
        </w:tc>
        <w:tc>
          <w:tcPr>
            <w:tcW w:w="24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Clawback Policy of the Registrant</w:t>
            </w:r>
          </w:p>
        </w:tc>
        <w:tc>
          <w:tcPr>
            <w:tcW w:w="7340" w:type="dxa"/>
            <w:vAlign w:val="bottom"/>
            <w:gridSpan w:val="12"/>
          </w:tcPr>
          <w:p>
            <w:pPr>
              <w:spacing w:after="0"/>
              <w:rPr>
                <w:sz w:val="24"/>
                <w:szCs w:val="24"/>
                <w:color w:val="auto"/>
              </w:rPr>
            </w:pPr>
          </w:p>
        </w:tc>
      </w:tr>
      <w:tr>
        <w:trPr>
          <w:trHeight w:val="32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8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1180" w:type="dxa"/>
            <w:vAlign w:val="bottom"/>
          </w:tcPr>
          <w:p>
            <w:pPr>
              <w:spacing w:after="0"/>
              <w:rPr>
                <w:sz w:val="20"/>
                <w:szCs w:val="20"/>
                <w:color w:val="auto"/>
              </w:rPr>
            </w:pPr>
          </w:p>
        </w:tc>
        <w:tc>
          <w:tcPr>
            <w:tcW w:w="98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2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Scheme Document</w:t>
            </w:r>
          </w:p>
        </w:tc>
      </w:tr>
      <w:tr>
        <w:trPr>
          <w:trHeight w:val="32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8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2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8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2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8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2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8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2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8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Annual Report on Form 20-F.</w:t>
      </w:r>
    </w:p>
    <w:p>
      <w:pPr>
        <w:spacing w:after="0" w:line="27" w:lineRule="exact"/>
        <w:rPr>
          <w:sz w:val="20"/>
          <w:szCs w:val="20"/>
          <w:color w:val="auto"/>
        </w:rPr>
      </w:pPr>
    </w:p>
    <w:p>
      <w:pPr>
        <w:ind w:left="540" w:hanging="424"/>
        <w:spacing w:after="0"/>
        <w:tabs>
          <w:tab w:leader="none" w:pos="5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with this Annual Report on Form 20-F.</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20"/>
          </w:cols>
          <w:pgMar w:left="320" w:top="482" w:right="4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its annual report on Form 20-F and that it has duly caused and authorized the undersigned to sign this annual report on its behalf.</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WeRide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Tony Xu 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 Tony Xu Han</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 Chairman and Chief Executive Officer</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March 25, 2025</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0520"/>
          </w:cols>
          <w:pgMar w:left="320" w:top="482" w:right="10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WERIDE INC.</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Index to the Consolidated Financial Statements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1002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CONTENTS</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PAGE(S)</w:t>
            </w:r>
          </w:p>
        </w:tc>
      </w:tr>
      <w:tr>
        <w:trPr>
          <w:trHeight w:val="149"/>
        </w:trPr>
        <w:tc>
          <w:tcPr>
            <w:tcW w:w="800" w:type="dxa"/>
            <w:vAlign w:val="bottom"/>
            <w:tcBorders>
              <w:top w:val="single" w:sz="8" w:color="auto"/>
              <w:bottom w:val="single" w:sz="8" w:color="0000EE"/>
            </w:tcBorders>
          </w:tcPr>
          <w:p>
            <w:pPr>
              <w:spacing w:after="0" w:line="136" w:lineRule="exact"/>
              <w:rPr>
                <w:sz w:val="20"/>
                <w:szCs w:val="20"/>
                <w:color w:val="auto"/>
              </w:rPr>
            </w:pPr>
            <w:r>
              <w:rPr>
                <w:rFonts w:ascii="Times New Roman" w:cs="Times New Roman" w:eastAsia="Times New Roman" w:hAnsi="Times New Roman"/>
                <w:sz w:val="15"/>
                <w:szCs w:val="15"/>
                <w:color w:val="0000EE"/>
              </w:rPr>
              <w:t>Report of</w:t>
            </w:r>
          </w:p>
        </w:tc>
        <w:tc>
          <w:tcPr>
            <w:tcW w:w="8000" w:type="dxa"/>
            <w:vAlign w:val="bottom"/>
            <w:tcBorders>
              <w:bottom w:val="single" w:sz="8" w:color="0000EE"/>
            </w:tcBorders>
            <w:gridSpan w:val="6"/>
          </w:tcPr>
          <w:p>
            <w:pPr>
              <w:spacing w:after="0" w:line="129" w:lineRule="exact"/>
              <w:rPr>
                <w:sz w:val="20"/>
                <w:szCs w:val="20"/>
                <w:color w:val="auto"/>
              </w:rPr>
            </w:pPr>
            <w:r>
              <w:rPr>
                <w:rFonts w:ascii="Times New Roman" w:cs="Times New Roman" w:eastAsia="Times New Roman" w:hAnsi="Times New Roman"/>
                <w:sz w:val="13"/>
                <w:szCs w:val="13"/>
                <w:color w:val="0000EE"/>
              </w:rPr>
              <w:t>Independent Registered Public Accounting Firm (KPMG Huazhen LLP, Beijing, China, Auditor Firm ID: 1186)</w:t>
            </w:r>
          </w:p>
        </w:tc>
        <w:tc>
          <w:tcPr>
            <w:tcW w:w="1220" w:type="dxa"/>
            <w:vAlign w:val="bottom"/>
            <w:gridSpan w:val="2"/>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F-2</w:t>
            </w:r>
          </w:p>
        </w:tc>
        <w:tc>
          <w:tcPr>
            <w:tcW w:w="20" w:type="dxa"/>
            <w:vAlign w:val="bottom"/>
          </w:tcPr>
          <w:p>
            <w:pPr>
              <w:spacing w:after="0"/>
              <w:rPr>
                <w:sz w:val="12"/>
                <w:szCs w:val="12"/>
                <w:color w:val="auto"/>
              </w:rPr>
            </w:pPr>
          </w:p>
        </w:tc>
      </w:tr>
      <w:tr>
        <w:trPr>
          <w:trHeight w:val="232"/>
        </w:trPr>
        <w:tc>
          <w:tcPr>
            <w:tcW w:w="10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4"/>
        </w:trPr>
        <w:tc>
          <w:tcPr>
            <w:tcW w:w="7100" w:type="dxa"/>
            <w:vAlign w:val="bottom"/>
            <w:tcBorders>
              <w:bottom w:val="single" w:sz="8" w:color="0000EE"/>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99"/>
              </w:rPr>
              <w:t>Consolidated Statements of Profit or Loss for the Years Ended December 31, 2022, 2023 and 2024</w:t>
            </w:r>
          </w:p>
        </w:tc>
        <w:tc>
          <w:tcPr>
            <w:tcW w:w="2920" w:type="dxa"/>
            <w:vAlign w:val="bottom"/>
            <w:gridSpan w:val="4"/>
          </w:tcPr>
          <w:p>
            <w:pPr>
              <w:spacing w:after="0"/>
              <w:rPr>
                <w:sz w:val="16"/>
                <w:szCs w:val="16"/>
                <w:color w:val="auto"/>
              </w:rPr>
            </w:pPr>
          </w:p>
        </w:tc>
        <w:tc>
          <w:tcPr>
            <w:tcW w:w="94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F-3</w:t>
            </w:r>
          </w:p>
        </w:tc>
      </w:tr>
      <w:tr>
        <w:trPr>
          <w:trHeight w:val="196"/>
        </w:trPr>
        <w:tc>
          <w:tcPr>
            <w:tcW w:w="96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Profit or Loss and Other Comprehensive Income for the Years Ended December 31, 2022, 2023 and 2024</w:t>
            </w:r>
          </w:p>
        </w:tc>
        <w:tc>
          <w:tcPr>
            <w:tcW w:w="400" w:type="dxa"/>
            <w:vAlign w:val="bottom"/>
          </w:tcPr>
          <w:p>
            <w:pPr>
              <w:spacing w:after="0"/>
              <w:rPr>
                <w:sz w:val="17"/>
                <w:szCs w:val="17"/>
                <w:color w:val="auto"/>
              </w:rPr>
            </w:pPr>
          </w:p>
        </w:tc>
        <w:tc>
          <w:tcPr>
            <w:tcW w:w="9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F-4</w:t>
            </w:r>
          </w:p>
        </w:tc>
      </w:tr>
      <w:tr>
        <w:trPr>
          <w:trHeight w:val="196"/>
        </w:trPr>
        <w:tc>
          <w:tcPr>
            <w:tcW w:w="100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Financial Position as of December 31, 2023 and 2024</w:t>
            </w:r>
          </w:p>
        </w:tc>
        <w:tc>
          <w:tcPr>
            <w:tcW w:w="9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F-5 – F-6</w:t>
            </w:r>
          </w:p>
        </w:tc>
      </w:tr>
      <w:tr>
        <w:trPr>
          <w:trHeight w:val="20"/>
        </w:trPr>
        <w:tc>
          <w:tcPr>
            <w:tcW w:w="3400" w:type="dxa"/>
            <w:vAlign w:val="bottom"/>
            <w:gridSpan w:val="2"/>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196"/>
        </w:trPr>
        <w:tc>
          <w:tcPr>
            <w:tcW w:w="74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Changes in Equity for the Years Ended December 31, 2022, 2023 and 2024</w:t>
            </w:r>
          </w:p>
        </w:tc>
        <w:tc>
          <w:tcPr>
            <w:tcW w:w="2580" w:type="dxa"/>
            <w:vAlign w:val="bottom"/>
            <w:gridSpan w:val="3"/>
          </w:tcPr>
          <w:p>
            <w:pPr>
              <w:spacing w:after="0"/>
              <w:rPr>
                <w:sz w:val="17"/>
                <w:szCs w:val="17"/>
                <w:color w:val="auto"/>
              </w:rPr>
            </w:pPr>
          </w:p>
        </w:tc>
        <w:tc>
          <w:tcPr>
            <w:tcW w:w="9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F-7 – F-9</w:t>
            </w:r>
          </w:p>
        </w:tc>
      </w:tr>
      <w:tr>
        <w:trPr>
          <w:trHeight w:val="196"/>
        </w:trPr>
        <w:tc>
          <w:tcPr>
            <w:tcW w:w="69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Cash Flows for the Years Ended December 31, 2022, 2023 and 2024</w:t>
            </w:r>
          </w:p>
        </w:tc>
        <w:tc>
          <w:tcPr>
            <w:tcW w:w="3060" w:type="dxa"/>
            <w:vAlign w:val="bottom"/>
            <w:gridSpan w:val="5"/>
          </w:tcPr>
          <w:p>
            <w:pPr>
              <w:spacing w:after="0"/>
              <w:rPr>
                <w:sz w:val="17"/>
                <w:szCs w:val="17"/>
                <w:color w:val="auto"/>
              </w:rPr>
            </w:pPr>
          </w:p>
        </w:tc>
        <w:tc>
          <w:tcPr>
            <w:tcW w:w="9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F-10 – F-11</w:t>
            </w:r>
          </w:p>
        </w:tc>
      </w:tr>
      <w:tr>
        <w:trPr>
          <w:trHeight w:val="196"/>
        </w:trPr>
        <w:tc>
          <w:tcPr>
            <w:tcW w:w="100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9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F-12 – F-82</w:t>
            </w:r>
          </w:p>
        </w:tc>
      </w:tr>
      <w:tr>
        <w:trPr>
          <w:trHeight w:val="385"/>
        </w:trPr>
        <w:tc>
          <w:tcPr>
            <w:tcW w:w="800" w:type="dxa"/>
            <w:vAlign w:val="bottom"/>
            <w:tcBorders>
              <w:top w:val="single" w:sz="8" w:color="0000EE"/>
            </w:tcBorders>
          </w:tcPr>
          <w:p>
            <w:pPr>
              <w:spacing w:after="0"/>
              <w:rPr>
                <w:sz w:val="24"/>
                <w:szCs w:val="24"/>
                <w:color w:val="auto"/>
              </w:rPr>
            </w:pPr>
          </w:p>
        </w:tc>
        <w:tc>
          <w:tcPr>
            <w:tcW w:w="2600" w:type="dxa"/>
            <w:vAlign w:val="bottom"/>
            <w:tcBorders>
              <w:top w:val="single" w:sz="8" w:color="0000EE"/>
            </w:tcBorders>
          </w:tcPr>
          <w:p>
            <w:pPr>
              <w:spacing w:after="0"/>
              <w:rPr>
                <w:sz w:val="24"/>
                <w:szCs w:val="24"/>
                <w:color w:val="auto"/>
              </w:rPr>
            </w:pPr>
          </w:p>
        </w:tc>
        <w:tc>
          <w:tcPr>
            <w:tcW w:w="6620" w:type="dxa"/>
            <w:vAlign w:val="bottom"/>
            <w:gridSpan w:val="7"/>
          </w:tcPr>
          <w:p>
            <w:pPr>
              <w:ind w:left="1980"/>
              <w:spacing w:after="0"/>
              <w:rPr>
                <w:sz w:val="20"/>
                <w:szCs w:val="20"/>
                <w:color w:val="auto"/>
              </w:rPr>
            </w:pPr>
            <w:r>
              <w:rPr>
                <w:rFonts w:ascii="Times New Roman" w:cs="Times New Roman" w:eastAsia="Times New Roman" w:hAnsi="Times New Roman"/>
                <w:sz w:val="18"/>
                <w:szCs w:val="18"/>
                <w:color w:val="auto"/>
              </w:rPr>
              <w:t>F-1</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060"/>
          </w:cols>
          <w:pgMar w:left="320" w:top="482" w:right="51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WeRide Inc.:</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1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WeRide Inc. and subsidiaries (the Company) as of December 31, 2023 and 2024, the related consolidated statements of profit or loss, profit or loss and other comprehensive income, changes in equity, and cash flows for each of the years in the three-year period ended December 31, 2024, and the related notes (collectively, the consolidated financial statements). In our opinion, the consolidated financial statements present fairly, in all material respects, the financial position of the Company as of December 31, 2023 and 2024, and the results of its operations and its cash flows for each of the years in the three-year period ended December 31, 2024, in conformity with International Financial Reporting Standards Accounting Standards as issued by the International Accounting Standards Board.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KPMG Huazhen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Beijing, China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25, 2025</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00"/>
          </w:cols>
          <w:pgMar w:left="320" w:top="482" w:right="47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Consolidated Statements of Profit or Loss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(Expressed in thousands of Renminbi (“RMB”), except for per share data)</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180" w:type="dxa"/>
            <w:vAlign w:val="bottom"/>
          </w:tcPr>
          <w:p>
            <w:pPr>
              <w:spacing w:after="0"/>
              <w:rPr>
                <w:sz w:val="15"/>
                <w:szCs w:val="15"/>
                <w:color w:val="auto"/>
              </w:rPr>
            </w:pPr>
          </w:p>
        </w:tc>
        <w:tc>
          <w:tcPr>
            <w:tcW w:w="7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i w:val="1"/>
                <w:iCs w:val="1"/>
                <w:color w:val="auto"/>
              </w:rPr>
              <w:t>Note</w:t>
            </w:r>
          </w:p>
        </w:tc>
        <w:tc>
          <w:tcPr>
            <w:tcW w:w="3060" w:type="dxa"/>
            <w:vAlign w:val="bottom"/>
            <w:gridSpan w:val="6"/>
          </w:tcPr>
          <w:p>
            <w:pPr>
              <w:jc w:val="right"/>
              <w:ind w:right="541"/>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c>
          <w:tcPr>
            <w:tcW w:w="0" w:type="dxa"/>
            <w:vAlign w:val="bottom"/>
          </w:tcPr>
          <w:p>
            <w:pPr>
              <w:spacing w:after="0"/>
              <w:rPr>
                <w:sz w:val="1"/>
                <w:szCs w:val="1"/>
                <w:color w:val="auto"/>
              </w:rPr>
            </w:pPr>
          </w:p>
        </w:tc>
      </w:tr>
      <w:tr>
        <w:trPr>
          <w:trHeight w:val="119"/>
        </w:trPr>
        <w:tc>
          <w:tcPr>
            <w:tcW w:w="71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840" w:type="dxa"/>
            <w:vAlign w:val="bottom"/>
            <w:tcBorders>
              <w:top w:val="single" w:sz="8" w:color="auto"/>
            </w:tcBorders>
          </w:tcPr>
          <w:p>
            <w:pPr>
              <w:jc w:val="right"/>
              <w:ind w:right="192"/>
              <w:spacing w:after="0" w:line="119" w:lineRule="exact"/>
              <w:rPr>
                <w:sz w:val="20"/>
                <w:szCs w:val="20"/>
                <w:color w:val="auto"/>
              </w:rPr>
            </w:pPr>
            <w:r>
              <w:rPr>
                <w:rFonts w:ascii="Times New Roman" w:cs="Times New Roman" w:eastAsia="Times New Roman" w:hAnsi="Times New Roman"/>
                <w:sz w:val="13"/>
                <w:szCs w:val="13"/>
                <w:i w:val="1"/>
                <w:iCs w:val="1"/>
                <w:color w:val="auto"/>
              </w:rPr>
              <w:t>2022</w:t>
            </w:r>
          </w:p>
        </w:tc>
        <w:tc>
          <w:tcPr>
            <w:tcW w:w="2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192"/>
              <w:spacing w:after="0" w:line="119" w:lineRule="exact"/>
              <w:rPr>
                <w:sz w:val="20"/>
                <w:szCs w:val="20"/>
                <w:color w:val="auto"/>
              </w:rPr>
            </w:pPr>
            <w:r>
              <w:rPr>
                <w:rFonts w:ascii="Times New Roman" w:cs="Times New Roman" w:eastAsia="Times New Roman" w:hAnsi="Times New Roman"/>
                <w:sz w:val="13"/>
                <w:szCs w:val="13"/>
                <w:i w:val="1"/>
                <w:iCs w:val="1"/>
                <w:color w:val="auto"/>
              </w:rPr>
              <w:t>2023</w:t>
            </w:r>
          </w:p>
        </w:tc>
        <w:tc>
          <w:tcPr>
            <w:tcW w:w="2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192"/>
              <w:spacing w:after="0" w:line="119" w:lineRule="exact"/>
              <w:rPr>
                <w:sz w:val="20"/>
                <w:szCs w:val="20"/>
                <w:color w:val="auto"/>
              </w:rPr>
            </w:pPr>
            <w:r>
              <w:rPr>
                <w:rFonts w:ascii="Times New Roman" w:cs="Times New Roman" w:eastAsia="Times New Roman" w:hAnsi="Times New Roman"/>
                <w:sz w:val="13"/>
                <w:szCs w:val="13"/>
                <w:i w:val="1"/>
                <w:iCs w:val="1"/>
                <w:color w:val="auto"/>
              </w:rPr>
              <w:t>2024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gridSpan w:val="2"/>
          </w:tcPr>
          <w:p>
            <w:pPr>
              <w:jc w:val="center"/>
              <w:ind w:right="141"/>
              <w:spacing w:after="0"/>
              <w:rPr>
                <w:sz w:val="20"/>
                <w:szCs w:val="20"/>
                <w:color w:val="auto"/>
              </w:rPr>
            </w:pPr>
            <w:r>
              <w:rPr>
                <w:rFonts w:ascii="Times New Roman" w:cs="Times New Roman" w:eastAsia="Times New Roman" w:hAnsi="Times New Roman"/>
                <w:sz w:val="14"/>
                <w:szCs w:val="14"/>
                <w:color w:val="auto"/>
              </w:rPr>
              <w:t>RMB’000</w:t>
            </w:r>
          </w:p>
        </w:tc>
        <w:tc>
          <w:tcPr>
            <w:tcW w:w="1040" w:type="dxa"/>
            <w:vAlign w:val="bottom"/>
            <w:gridSpan w:val="2"/>
          </w:tcPr>
          <w:p>
            <w:pPr>
              <w:jc w:val="center"/>
              <w:ind w:right="141"/>
              <w:spacing w:after="0"/>
              <w:rPr>
                <w:sz w:val="20"/>
                <w:szCs w:val="20"/>
                <w:color w:val="auto"/>
              </w:rPr>
            </w:pPr>
            <w:r>
              <w:rPr>
                <w:rFonts w:ascii="Times New Roman" w:cs="Times New Roman" w:eastAsia="Times New Roman" w:hAnsi="Times New Roman"/>
                <w:sz w:val="14"/>
                <w:szCs w:val="14"/>
                <w:color w:val="auto"/>
              </w:rPr>
              <w:t>RMB’000</w:t>
            </w:r>
          </w:p>
        </w:tc>
        <w:tc>
          <w:tcPr>
            <w:tcW w:w="960" w:type="dxa"/>
            <w:vAlign w:val="bottom"/>
            <w:gridSpan w:val="2"/>
          </w:tcPr>
          <w:p>
            <w:pPr>
              <w:jc w:val="center"/>
              <w:ind w:right="21"/>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1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Product revenue (including product revenue from related parties of RMB44,973, RMB10,218</w:t>
            </w: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and RMB2,840 for the years ended December 31, 2022, 2023 and 2024, respectively)</w:t>
            </w:r>
          </w:p>
        </w:tc>
        <w:tc>
          <w:tcPr>
            <w:tcW w:w="78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337,717</w:t>
            </w:r>
          </w:p>
        </w:tc>
        <w:tc>
          <w:tcPr>
            <w:tcW w:w="10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54,190</w:t>
            </w: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87,710</w:t>
            </w:r>
          </w:p>
        </w:tc>
        <w:tc>
          <w:tcPr>
            <w:tcW w:w="0" w:type="dxa"/>
            <w:vAlign w:val="bottom"/>
          </w:tcPr>
          <w:p>
            <w:pPr>
              <w:spacing w:after="0"/>
              <w:rPr>
                <w:sz w:val="1"/>
                <w:szCs w:val="1"/>
                <w:color w:val="auto"/>
              </w:rPr>
            </w:pPr>
          </w:p>
        </w:tc>
      </w:tr>
      <w:tr>
        <w:trPr>
          <w:trHeight w:val="198"/>
        </w:trPr>
        <w:tc>
          <w:tcPr>
            <w:tcW w:w="71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Service revenue (including service revenue from related parties of RMB9,083, RMB38,288</w:t>
            </w:r>
          </w:p>
        </w:tc>
        <w:tc>
          <w:tcPr>
            <w:tcW w:w="7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1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and RMB29,397 for the years ended December 31, 2022, 2023 and 2024, respectively)</w:t>
            </w:r>
          </w:p>
        </w:tc>
        <w:tc>
          <w:tcPr>
            <w:tcW w:w="7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189,826</w:t>
            </w:r>
          </w:p>
        </w:tc>
        <w:tc>
          <w:tcPr>
            <w:tcW w:w="10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347,654</w:t>
            </w: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273,424</w:t>
            </w: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527,543</w:t>
            </w:r>
          </w:p>
        </w:tc>
        <w:tc>
          <w:tcPr>
            <w:tcW w:w="2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401,844</w:t>
            </w:r>
          </w:p>
        </w:tc>
        <w:tc>
          <w:tcPr>
            <w:tcW w:w="2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361,134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1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Cost of goods sold (including cost of goods sold from related parties of RMB111,694,</w:t>
            </w: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RMB10,788 and RMB9,119 for the years ended December 31, 2022, 2023 and 2024,</w:t>
            </w: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respectively)</w:t>
            </w:r>
          </w:p>
        </w:tc>
        <w:tc>
          <w:tcPr>
            <w:tcW w:w="780" w:type="dxa"/>
            <w:vAlign w:val="bottom"/>
          </w:tcPr>
          <w:p>
            <w:pPr>
              <w:spacing w:after="0"/>
              <w:rPr>
                <w:sz w:val="20"/>
                <w:szCs w:val="20"/>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(192,523)</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(34,138)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(71,716)</w:t>
            </w:r>
          </w:p>
        </w:tc>
        <w:tc>
          <w:tcPr>
            <w:tcW w:w="0" w:type="dxa"/>
            <w:vAlign w:val="bottom"/>
          </w:tcPr>
          <w:p>
            <w:pPr>
              <w:spacing w:after="0"/>
              <w:rPr>
                <w:sz w:val="1"/>
                <w:szCs w:val="1"/>
                <w:color w:val="auto"/>
              </w:rPr>
            </w:pPr>
          </w:p>
        </w:tc>
      </w:tr>
      <w:tr>
        <w:trPr>
          <w:trHeight w:val="198"/>
        </w:trPr>
        <w:tc>
          <w:tcPr>
            <w:tcW w:w="71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Cost of services (including cost of services from a related party of RMB13,175, RMB50,743</w:t>
            </w:r>
          </w:p>
        </w:tc>
        <w:tc>
          <w:tcPr>
            <w:tcW w:w="7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1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and RMB21,133 for the years ended December 31, 2022, 2023 and 2024, respectively)</w:t>
            </w:r>
          </w:p>
        </w:tc>
        <w:tc>
          <w:tcPr>
            <w:tcW w:w="7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(102,475)</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(184,230)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(178,703)</w:t>
            </w: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(294,998)</w:t>
            </w:r>
          </w:p>
        </w:tc>
        <w:tc>
          <w:tcPr>
            <w:tcW w:w="2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(218,368)</w:t>
            </w:r>
          </w:p>
        </w:tc>
        <w:tc>
          <w:tcPr>
            <w:tcW w:w="2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(250,419)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7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232,545</w:t>
            </w:r>
          </w:p>
        </w:tc>
        <w:tc>
          <w:tcPr>
            <w:tcW w:w="10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183,476</w:t>
            </w: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110,715</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Other net income</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19,296</w:t>
            </w:r>
          </w:p>
        </w:tc>
        <w:tc>
          <w:tcPr>
            <w:tcW w:w="10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15,750</w:t>
            </w: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16,491</w:t>
            </w:r>
          </w:p>
        </w:tc>
        <w:tc>
          <w:tcPr>
            <w:tcW w:w="0" w:type="dxa"/>
            <w:vAlign w:val="bottom"/>
          </w:tcPr>
          <w:p>
            <w:pPr>
              <w:spacing w:after="0"/>
              <w:rPr>
                <w:sz w:val="1"/>
                <w:szCs w:val="1"/>
                <w:color w:val="auto"/>
              </w:rPr>
            </w:pPr>
          </w:p>
        </w:tc>
      </w:tr>
      <w:tr>
        <w:trPr>
          <w:trHeight w:val="198"/>
        </w:trPr>
        <w:tc>
          <w:tcPr>
            <w:tcW w:w="7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Research and development expenses (including research and development expenses from a related</w:t>
            </w:r>
          </w:p>
        </w:tc>
        <w:tc>
          <w:tcPr>
            <w:tcW w:w="7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party of RMB17,099, RMB60,789 and RMB68,922 for the years ended December 31, 2022,</w:t>
            </w: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 and 2024, respectively)</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(758,565)</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(1,058,395)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(1,091,357)</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(237,236)</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(625,369)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(1,138,802)</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(23,574)</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(41,447)</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(53,566)</w:t>
            </w:r>
          </w:p>
        </w:tc>
        <w:tc>
          <w:tcPr>
            <w:tcW w:w="0" w:type="dxa"/>
            <w:vAlign w:val="bottom"/>
          </w:tcPr>
          <w:p>
            <w:pPr>
              <w:spacing w:after="0"/>
              <w:rPr>
                <w:sz w:val="1"/>
                <w:szCs w:val="1"/>
                <w:color w:val="auto"/>
              </w:rPr>
            </w:pPr>
          </w:p>
        </w:tc>
      </w:tr>
      <w:tr>
        <w:trPr>
          <w:trHeight w:val="198"/>
        </w:trPr>
        <w:tc>
          <w:tcPr>
            <w:tcW w:w="7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Impairment loss on receivables and contract assets (including impairment loss of RMB1,234,</w:t>
            </w: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RMB1,292 and RMB160 on receivables from related parties for the years ended December 31,</w:t>
            </w: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2022, 2023 and 2024, respectively)</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31(a)</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(11,696)</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(40,217)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(28,664)</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7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(779,230)</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(1,566,202)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(2,185,183)</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Net foreign exchange gain</w:t>
            </w:r>
          </w:p>
        </w:tc>
        <w:tc>
          <w:tcPr>
            <w:tcW w:w="7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20,209</w:t>
            </w:r>
          </w:p>
        </w:tc>
        <w:tc>
          <w:tcPr>
            <w:tcW w:w="10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7,052</w:t>
            </w: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27,880</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7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36,111</w:t>
            </w:r>
          </w:p>
        </w:tc>
        <w:tc>
          <w:tcPr>
            <w:tcW w:w="10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132,042</w:t>
            </w: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176,902</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changes of financial assets at fair value through profit or loss (“FVTPL”)</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31(e)</w:t>
            </w: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7,731</w:t>
            </w:r>
          </w:p>
        </w:tc>
        <w:tc>
          <w:tcPr>
            <w:tcW w:w="10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42,960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(61,834)</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finance costs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(4,202)</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(3,490)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Inducement charges of warrants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27(i)</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(125,213)</w:t>
            </w:r>
          </w:p>
        </w:tc>
        <w:tc>
          <w:tcPr>
            <w:tcW w:w="10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changes of financial liabilities measured at FVTPL</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25,308</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(4,549)</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7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Changes in the carrying amounts of preferred shares and other financial instruments subject to</w:t>
            </w: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 and other preferential rights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23(a)(b)</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(479,210)</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(554,048)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(465,254)</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taxation</w:t>
            </w:r>
          </w:p>
        </w:tc>
        <w:tc>
          <w:tcPr>
            <w:tcW w:w="7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(1,298,496)</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(1,946,235)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(2,510,940)</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Income tax</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9(a)</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(2,866)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year</w:t>
            </w:r>
          </w:p>
        </w:tc>
        <w:tc>
          <w:tcPr>
            <w:tcW w:w="7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(1,298,496)</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(1,949,101)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(2,516,808)</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Loss attributable to shareholders of the Company</w:t>
            </w:r>
          </w:p>
        </w:tc>
        <w:tc>
          <w:tcPr>
            <w:tcW w:w="7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8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(1,298,496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(1,949,101</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(2,516,808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ordinary share</w:t>
            </w: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loss per Class A and Class B ordinary share (in RMB)</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10(a)(ii)</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(11.08)</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(16.86)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82" w:right="4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5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Consolidated Statements of Profit or Loss and Other Comprehensive Income </w:t>
      </w:r>
      <w:r>
        <w:rPr>
          <w:rFonts w:ascii="Times New Roman" w:cs="Times New Roman" w:eastAsia="Times New Roman" w:hAnsi="Times New Roman"/>
          <w:sz w:val="18"/>
          <w:szCs w:val="18"/>
          <w:i w:val="1"/>
          <w:iCs w:val="1"/>
          <w:color w:val="auto"/>
        </w:rPr>
        <w:t>(Expressed in thousands of RMB)</w:t>
      </w:r>
    </w:p>
    <w:p>
      <w:pPr>
        <w:spacing w:after="0" w:line="179"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960" w:type="dxa"/>
            <w:vAlign w:val="bottom"/>
            <w:vMerge w:val="restart"/>
          </w:tcPr>
          <w:p>
            <w:pPr>
              <w:ind w:left="7540"/>
              <w:spacing w:after="0"/>
              <w:rPr>
                <w:sz w:val="20"/>
                <w:szCs w:val="20"/>
                <w:color w:val="auto"/>
              </w:rPr>
            </w:pPr>
            <w:r>
              <w:rPr>
                <w:rFonts w:ascii="Times New Roman" w:cs="Times New Roman" w:eastAsia="Times New Roman" w:hAnsi="Times New Roman"/>
                <w:sz w:val="14"/>
                <w:szCs w:val="14"/>
                <w:i w:val="1"/>
                <w:iCs w:val="1"/>
                <w:color w:val="auto"/>
              </w:rPr>
              <w:t>Note</w:t>
            </w:r>
          </w:p>
        </w:tc>
        <w:tc>
          <w:tcPr>
            <w:tcW w:w="3060" w:type="dxa"/>
            <w:vAlign w:val="bottom"/>
            <w:gridSpan w:val="6"/>
          </w:tcPr>
          <w:p>
            <w:pPr>
              <w:jc w:val="right"/>
              <w:ind w:right="541"/>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c>
          <w:tcPr>
            <w:tcW w:w="0" w:type="dxa"/>
            <w:vAlign w:val="bottom"/>
          </w:tcPr>
          <w:p>
            <w:pPr>
              <w:spacing w:after="0"/>
              <w:rPr>
                <w:sz w:val="1"/>
                <w:szCs w:val="1"/>
                <w:color w:val="auto"/>
              </w:rPr>
            </w:pPr>
          </w:p>
        </w:tc>
      </w:tr>
      <w:tr>
        <w:trPr>
          <w:trHeight w:val="119"/>
        </w:trPr>
        <w:tc>
          <w:tcPr>
            <w:tcW w:w="7960" w:type="dxa"/>
            <w:vAlign w:val="bottom"/>
            <w:vMerge w:val="continue"/>
          </w:tcPr>
          <w:p>
            <w:pPr>
              <w:spacing w:after="0"/>
              <w:rPr>
                <w:sz w:val="10"/>
                <w:szCs w:val="10"/>
                <w:color w:val="auto"/>
              </w:rPr>
            </w:pPr>
          </w:p>
        </w:tc>
        <w:tc>
          <w:tcPr>
            <w:tcW w:w="840" w:type="dxa"/>
            <w:vAlign w:val="bottom"/>
            <w:tcBorders>
              <w:top w:val="single" w:sz="8" w:color="auto"/>
            </w:tcBorders>
          </w:tcPr>
          <w:p>
            <w:pPr>
              <w:jc w:val="right"/>
              <w:ind w:right="197"/>
              <w:spacing w:after="0" w:line="119" w:lineRule="exact"/>
              <w:rPr>
                <w:sz w:val="20"/>
                <w:szCs w:val="20"/>
                <w:color w:val="auto"/>
              </w:rPr>
            </w:pPr>
            <w:r>
              <w:rPr>
                <w:rFonts w:ascii="Times New Roman" w:cs="Times New Roman" w:eastAsia="Times New Roman" w:hAnsi="Times New Roman"/>
                <w:sz w:val="13"/>
                <w:szCs w:val="13"/>
                <w:i w:val="1"/>
                <w:iCs w:val="1"/>
                <w:color w:val="auto"/>
              </w:rPr>
              <w:t>2022</w:t>
            </w:r>
          </w:p>
        </w:tc>
        <w:tc>
          <w:tcPr>
            <w:tcW w:w="2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196"/>
              <w:spacing w:after="0" w:line="119" w:lineRule="exact"/>
              <w:rPr>
                <w:sz w:val="20"/>
                <w:szCs w:val="20"/>
                <w:color w:val="auto"/>
              </w:rPr>
            </w:pPr>
            <w:r>
              <w:rPr>
                <w:rFonts w:ascii="Times New Roman" w:cs="Times New Roman" w:eastAsia="Times New Roman" w:hAnsi="Times New Roman"/>
                <w:sz w:val="13"/>
                <w:szCs w:val="13"/>
                <w:i w:val="1"/>
                <w:iCs w:val="1"/>
                <w:color w:val="auto"/>
              </w:rPr>
              <w:t>2023</w:t>
            </w:r>
          </w:p>
        </w:tc>
        <w:tc>
          <w:tcPr>
            <w:tcW w:w="2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196"/>
              <w:spacing w:after="0" w:line="119" w:lineRule="exact"/>
              <w:rPr>
                <w:sz w:val="20"/>
                <w:szCs w:val="20"/>
                <w:color w:val="auto"/>
              </w:rPr>
            </w:pPr>
            <w:r>
              <w:rPr>
                <w:rFonts w:ascii="Times New Roman" w:cs="Times New Roman" w:eastAsia="Times New Roman" w:hAnsi="Times New Roman"/>
                <w:sz w:val="13"/>
                <w:szCs w:val="13"/>
                <w:i w:val="1"/>
                <w:iCs w:val="1"/>
                <w:color w:val="auto"/>
              </w:rPr>
              <w:t>2024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960" w:type="dxa"/>
            <w:vAlign w:val="bottom"/>
          </w:tcPr>
          <w:p>
            <w:pPr>
              <w:spacing w:after="0"/>
              <w:rPr>
                <w:sz w:val="14"/>
                <w:szCs w:val="14"/>
                <w:color w:val="auto"/>
              </w:rPr>
            </w:pPr>
          </w:p>
        </w:tc>
        <w:tc>
          <w:tcPr>
            <w:tcW w:w="1060" w:type="dxa"/>
            <w:vAlign w:val="bottom"/>
            <w:gridSpan w:val="2"/>
          </w:tcPr>
          <w:p>
            <w:pPr>
              <w:jc w:val="center"/>
              <w:ind w:right="141"/>
              <w:spacing w:after="0"/>
              <w:rPr>
                <w:sz w:val="20"/>
                <w:szCs w:val="20"/>
                <w:color w:val="auto"/>
              </w:rPr>
            </w:pPr>
            <w:r>
              <w:rPr>
                <w:rFonts w:ascii="Times New Roman" w:cs="Times New Roman" w:eastAsia="Times New Roman" w:hAnsi="Times New Roman"/>
                <w:sz w:val="14"/>
                <w:szCs w:val="14"/>
                <w:color w:val="auto"/>
              </w:rPr>
              <w:t>RMB’000</w:t>
            </w:r>
          </w:p>
        </w:tc>
        <w:tc>
          <w:tcPr>
            <w:tcW w:w="1040" w:type="dxa"/>
            <w:vAlign w:val="bottom"/>
            <w:gridSpan w:val="2"/>
          </w:tcPr>
          <w:p>
            <w:pPr>
              <w:jc w:val="center"/>
              <w:ind w:right="141"/>
              <w:spacing w:after="0"/>
              <w:rPr>
                <w:sz w:val="20"/>
                <w:szCs w:val="20"/>
                <w:color w:val="auto"/>
              </w:rPr>
            </w:pPr>
            <w:r>
              <w:rPr>
                <w:rFonts w:ascii="Times New Roman" w:cs="Times New Roman" w:eastAsia="Times New Roman" w:hAnsi="Times New Roman"/>
                <w:sz w:val="14"/>
                <w:szCs w:val="14"/>
                <w:color w:val="auto"/>
              </w:rPr>
              <w:t>RMB’000</w:t>
            </w:r>
          </w:p>
        </w:tc>
        <w:tc>
          <w:tcPr>
            <w:tcW w:w="960" w:type="dxa"/>
            <w:vAlign w:val="bottom"/>
            <w:gridSpan w:val="2"/>
          </w:tcPr>
          <w:p>
            <w:pPr>
              <w:jc w:val="center"/>
              <w:ind w:right="21"/>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year</w:t>
            </w: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(1,298,496)</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(1,949,101)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(2,516,808)</w:t>
            </w:r>
          </w:p>
        </w:tc>
        <w:tc>
          <w:tcPr>
            <w:tcW w:w="0" w:type="dxa"/>
            <w:vAlign w:val="bottom"/>
          </w:tcPr>
          <w:p>
            <w:pPr>
              <w:spacing w:after="0"/>
              <w:rPr>
                <w:sz w:val="1"/>
                <w:szCs w:val="1"/>
                <w:color w:val="auto"/>
              </w:rPr>
            </w:pPr>
          </w:p>
        </w:tc>
      </w:tr>
      <w:tr>
        <w:trPr>
          <w:trHeight w:val="223"/>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Other comprehensive income for the year (net of nil tax):</w:t>
            </w: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Items that will not be reclassified to profit or loss:</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Exchange differences on translation of financial statements of foreign operations</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(177,575)</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(73,323)</w:t>
            </w: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38,364</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Other comprehensive income for the year</w:t>
            </w: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(177,575)</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(73,323)</w:t>
            </w: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38,364</w:t>
            </w:r>
          </w:p>
        </w:tc>
        <w:tc>
          <w:tcPr>
            <w:tcW w:w="0" w:type="dxa"/>
            <w:vAlign w:val="bottom"/>
          </w:tcPr>
          <w:p>
            <w:pPr>
              <w:spacing w:after="0"/>
              <w:rPr>
                <w:sz w:val="1"/>
                <w:szCs w:val="1"/>
                <w:color w:val="auto"/>
              </w:rPr>
            </w:pPr>
          </w:p>
        </w:tc>
      </w:tr>
      <w:tr>
        <w:trPr>
          <w:trHeight w:val="230"/>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for the year</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(1,476,071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(2,022,424</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(2,478,444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attributable to shareholders of the Company</w:t>
            </w: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(1,476,071)</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(2,022,424)</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(2,478,444)</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82" w:right="4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(Expressed in thousands of RMB)</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2840" w:type="dxa"/>
            <w:vAlign w:val="bottom"/>
          </w:tcPr>
          <w:p>
            <w:pPr>
              <w:ind w:left="2320"/>
              <w:spacing w:after="0"/>
              <w:rPr>
                <w:sz w:val="20"/>
                <w:szCs w:val="20"/>
                <w:color w:val="auto"/>
              </w:rPr>
            </w:pPr>
            <w:r>
              <w:rPr>
                <w:rFonts w:ascii="Times New Roman" w:cs="Times New Roman" w:eastAsia="Times New Roman" w:hAnsi="Times New Roman"/>
                <w:sz w:val="14"/>
                <w:szCs w:val="14"/>
                <w:i w:val="1"/>
                <w:iCs w:val="1"/>
                <w:color w:val="auto"/>
              </w:rPr>
              <w:t>Note</w:t>
            </w:r>
          </w:p>
        </w:tc>
        <w:tc>
          <w:tcPr>
            <w:tcW w:w="204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i w:val="1"/>
                <w:iCs w:val="1"/>
                <w:color w:val="auto"/>
              </w:rPr>
              <w:t>As of December 31,</w:t>
            </w:r>
          </w:p>
        </w:tc>
        <w:tc>
          <w:tcPr>
            <w:tcW w:w="0" w:type="dxa"/>
            <w:vAlign w:val="bottom"/>
          </w:tcPr>
          <w:p>
            <w:pPr>
              <w:spacing w:after="0"/>
              <w:rPr>
                <w:sz w:val="1"/>
                <w:szCs w:val="1"/>
                <w:color w:val="auto"/>
              </w:rPr>
            </w:pPr>
          </w:p>
        </w:tc>
      </w:tr>
      <w:tr>
        <w:trPr>
          <w:trHeight w:val="119"/>
        </w:trPr>
        <w:tc>
          <w:tcPr>
            <w:tcW w:w="614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840" w:type="dxa"/>
            <w:vAlign w:val="bottom"/>
            <w:tcBorders>
              <w:top w:val="single" w:sz="8" w:color="auto"/>
            </w:tcBorders>
          </w:tcPr>
          <w:p>
            <w:pPr>
              <w:jc w:val="right"/>
              <w:ind w:right="192"/>
              <w:spacing w:after="0" w:line="119" w:lineRule="exact"/>
              <w:rPr>
                <w:sz w:val="20"/>
                <w:szCs w:val="20"/>
                <w:color w:val="auto"/>
              </w:rPr>
            </w:pPr>
            <w:r>
              <w:rPr>
                <w:rFonts w:ascii="Times New Roman" w:cs="Times New Roman" w:eastAsia="Times New Roman" w:hAnsi="Times New Roman"/>
                <w:sz w:val="13"/>
                <w:szCs w:val="13"/>
                <w:i w:val="1"/>
                <w:iCs w:val="1"/>
                <w:color w:val="auto"/>
              </w:rPr>
              <w:t>2023</w:t>
            </w: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191"/>
              <w:spacing w:after="0" w:line="119" w:lineRule="exact"/>
              <w:rPr>
                <w:sz w:val="20"/>
                <w:szCs w:val="20"/>
                <w:color w:val="auto"/>
              </w:rPr>
            </w:pPr>
            <w:r>
              <w:rPr>
                <w:rFonts w:ascii="Times New Roman" w:cs="Times New Roman" w:eastAsia="Times New Roman" w:hAnsi="Times New Roman"/>
                <w:sz w:val="13"/>
                <w:szCs w:val="13"/>
                <w:i w:val="1"/>
                <w:iCs w:val="1"/>
                <w:color w:val="auto"/>
              </w:rPr>
              <w:t>2024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1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color w:val="auto"/>
              </w:rPr>
              <w:t>RMB’000</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840" w:type="dxa"/>
            <w:vAlign w:val="bottom"/>
            <w:shd w:val="clear" w:color="auto" w:fill="CCEEFF"/>
          </w:tcPr>
          <w:p>
            <w:pPr>
              <w:jc w:val="center"/>
              <w:ind w:left="2051"/>
              <w:spacing w:after="0"/>
              <w:rPr>
                <w:sz w:val="20"/>
                <w:szCs w:val="20"/>
                <w:color w:val="auto"/>
              </w:rPr>
            </w:pPr>
            <w:r>
              <w:rPr>
                <w:rFonts w:ascii="Times New Roman" w:cs="Times New Roman" w:eastAsia="Times New Roman" w:hAnsi="Times New Roman"/>
                <w:sz w:val="18"/>
                <w:szCs w:val="18"/>
                <w:color w:val="auto"/>
                <w:w w:val="99"/>
              </w:rPr>
              <w:t>11</w:t>
            </w:r>
          </w:p>
        </w:tc>
        <w:tc>
          <w:tcPr>
            <w:tcW w:w="1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98,574</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178,179</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840" w:type="dxa"/>
            <w:vAlign w:val="bottom"/>
          </w:tcPr>
          <w:p>
            <w:pPr>
              <w:jc w:val="center"/>
              <w:ind w:left="2051"/>
              <w:spacing w:after="0"/>
              <w:rPr>
                <w:sz w:val="20"/>
                <w:szCs w:val="20"/>
                <w:color w:val="auto"/>
              </w:rPr>
            </w:pPr>
            <w:r>
              <w:rPr>
                <w:rFonts w:ascii="Times New Roman" w:cs="Times New Roman" w:eastAsia="Times New Roman" w:hAnsi="Times New Roman"/>
                <w:sz w:val="18"/>
                <w:szCs w:val="18"/>
                <w:color w:val="auto"/>
                <w:w w:val="99"/>
              </w:rPr>
              <w:t>12</w:t>
            </w: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51,658</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73,564</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840" w:type="dxa"/>
            <w:vAlign w:val="bottom"/>
            <w:shd w:val="clear" w:color="auto" w:fill="CCEEFF"/>
          </w:tcPr>
          <w:p>
            <w:pPr>
              <w:jc w:val="center"/>
              <w:ind w:left="2051"/>
              <w:spacing w:after="0"/>
              <w:rPr>
                <w:sz w:val="20"/>
                <w:szCs w:val="20"/>
                <w:color w:val="auto"/>
              </w:rPr>
            </w:pPr>
            <w:r>
              <w:rPr>
                <w:rFonts w:ascii="Times New Roman" w:cs="Times New Roman" w:eastAsia="Times New Roman" w:hAnsi="Times New Roman"/>
                <w:sz w:val="18"/>
                <w:szCs w:val="18"/>
                <w:color w:val="auto"/>
                <w:w w:val="99"/>
              </w:rPr>
              <w:t>13</w:t>
            </w:r>
          </w:p>
        </w:tc>
        <w:tc>
          <w:tcPr>
            <w:tcW w:w="1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24,594</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21,664</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840" w:type="dxa"/>
            <w:vAlign w:val="bottom"/>
          </w:tcPr>
          <w:p>
            <w:pPr>
              <w:jc w:val="center"/>
              <w:ind w:left="2051"/>
              <w:spacing w:after="0"/>
              <w:rPr>
                <w:sz w:val="20"/>
                <w:szCs w:val="20"/>
                <w:color w:val="auto"/>
              </w:rPr>
            </w:pPr>
            <w:r>
              <w:rPr>
                <w:rFonts w:ascii="Times New Roman" w:cs="Times New Roman" w:eastAsia="Times New Roman" w:hAnsi="Times New Roman"/>
                <w:sz w:val="18"/>
                <w:szCs w:val="18"/>
                <w:color w:val="auto"/>
                <w:w w:val="99"/>
              </w:rPr>
              <w:t>14</w:t>
            </w: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44,758</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44,758</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 non-current</w:t>
            </w:r>
          </w:p>
        </w:tc>
        <w:tc>
          <w:tcPr>
            <w:tcW w:w="2840" w:type="dxa"/>
            <w:vAlign w:val="bottom"/>
            <w:shd w:val="clear" w:color="auto" w:fill="CCEEFF"/>
          </w:tcPr>
          <w:p>
            <w:pPr>
              <w:jc w:val="center"/>
              <w:ind w:left="2051"/>
              <w:spacing w:after="0"/>
              <w:rPr>
                <w:sz w:val="20"/>
                <w:szCs w:val="20"/>
                <w:color w:val="auto"/>
              </w:rPr>
            </w:pPr>
            <w:r>
              <w:rPr>
                <w:rFonts w:ascii="Times New Roman" w:cs="Times New Roman" w:eastAsia="Times New Roman" w:hAnsi="Times New Roman"/>
                <w:sz w:val="18"/>
                <w:szCs w:val="18"/>
                <w:color w:val="auto"/>
                <w:w w:val="99"/>
              </w:rPr>
              <w:t>15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9,669</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840" w:type="dxa"/>
            <w:vAlign w:val="bottom"/>
          </w:tcPr>
          <w:p>
            <w:pPr>
              <w:jc w:val="center"/>
              <w:ind w:left="2051"/>
              <w:spacing w:after="0"/>
              <w:rPr>
                <w:sz w:val="20"/>
                <w:szCs w:val="20"/>
                <w:color w:val="auto"/>
              </w:rPr>
            </w:pPr>
            <w:r>
              <w:rPr>
                <w:rFonts w:ascii="Times New Roman" w:cs="Times New Roman" w:eastAsia="Times New Roman" w:hAnsi="Times New Roman"/>
                <w:sz w:val="18"/>
                <w:szCs w:val="18"/>
                <w:color w:val="auto"/>
                <w:w w:val="99"/>
              </w:rPr>
              <w:t>9(b)</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 at FVTPL – non-current</w:t>
            </w:r>
          </w:p>
        </w:tc>
        <w:tc>
          <w:tcPr>
            <w:tcW w:w="2840" w:type="dxa"/>
            <w:vAlign w:val="bottom"/>
            <w:shd w:val="clear" w:color="auto" w:fill="CCEEFF"/>
          </w:tcPr>
          <w:p>
            <w:pPr>
              <w:jc w:val="center"/>
              <w:ind w:left="2051"/>
              <w:spacing w:after="0"/>
              <w:rPr>
                <w:sz w:val="20"/>
                <w:szCs w:val="20"/>
                <w:color w:val="auto"/>
              </w:rPr>
            </w:pPr>
            <w:r>
              <w:rPr>
                <w:rFonts w:ascii="Times New Roman" w:cs="Times New Roman" w:eastAsia="Times New Roman" w:hAnsi="Times New Roman"/>
                <w:sz w:val="18"/>
                <w:szCs w:val="18"/>
                <w:color w:val="auto"/>
                <w:w w:val="99"/>
              </w:rPr>
              <w:t>20</w:t>
            </w:r>
          </w:p>
        </w:tc>
        <w:tc>
          <w:tcPr>
            <w:tcW w:w="1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56,919</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840" w:type="dxa"/>
            <w:vAlign w:val="bottom"/>
          </w:tcPr>
          <w:p>
            <w:pPr>
              <w:jc w:val="center"/>
              <w:ind w:left="2051"/>
              <w:spacing w:after="0"/>
              <w:rPr>
                <w:sz w:val="20"/>
                <w:szCs w:val="20"/>
                <w:color w:val="auto"/>
              </w:rPr>
            </w:pPr>
            <w:r>
              <w:rPr>
                <w:rFonts w:ascii="Times New Roman" w:cs="Times New Roman" w:eastAsia="Times New Roman" w:hAnsi="Times New Roman"/>
                <w:sz w:val="18"/>
                <w:szCs w:val="18"/>
                <w:color w:val="auto"/>
                <w:w w:val="99"/>
              </w:rPr>
              <w:t>19</w:t>
            </w: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21,082</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20,025</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244,235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405,775</w:t>
            </w:r>
          </w:p>
        </w:tc>
        <w:tc>
          <w:tcPr>
            <w:tcW w:w="0" w:type="dxa"/>
            <w:vAlign w:val="bottom"/>
          </w:tcPr>
          <w:p>
            <w:pPr>
              <w:spacing w:after="0"/>
              <w:rPr>
                <w:sz w:val="1"/>
                <w:szCs w:val="1"/>
                <w:color w:val="auto"/>
              </w:rPr>
            </w:pPr>
          </w:p>
        </w:tc>
      </w:tr>
      <w:tr>
        <w:trPr>
          <w:trHeight w:val="223"/>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8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840" w:type="dxa"/>
            <w:vAlign w:val="bottom"/>
            <w:shd w:val="clear" w:color="auto" w:fill="CCEEFF"/>
          </w:tcPr>
          <w:p>
            <w:pPr>
              <w:jc w:val="center"/>
              <w:ind w:left="2051"/>
              <w:spacing w:after="0"/>
              <w:rPr>
                <w:sz w:val="20"/>
                <w:szCs w:val="20"/>
                <w:color w:val="auto"/>
              </w:rPr>
            </w:pPr>
            <w:r>
              <w:rPr>
                <w:rFonts w:ascii="Times New Roman" w:cs="Times New Roman" w:eastAsia="Times New Roman" w:hAnsi="Times New Roman"/>
                <w:sz w:val="18"/>
                <w:szCs w:val="18"/>
                <w:color w:val="auto"/>
                <w:w w:val="99"/>
              </w:rPr>
              <w:t>16</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218,220</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204,705</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840" w:type="dxa"/>
            <w:vAlign w:val="bottom"/>
          </w:tcPr>
          <w:p>
            <w:pPr>
              <w:jc w:val="center"/>
              <w:ind w:left="2051"/>
              <w:spacing w:after="0"/>
              <w:rPr>
                <w:sz w:val="20"/>
                <w:szCs w:val="20"/>
                <w:color w:val="auto"/>
              </w:rPr>
            </w:pPr>
            <w:r>
              <w:rPr>
                <w:rFonts w:ascii="Times New Roman" w:cs="Times New Roman" w:eastAsia="Times New Roman" w:hAnsi="Times New Roman"/>
                <w:sz w:val="18"/>
                <w:szCs w:val="18"/>
                <w:color w:val="auto"/>
                <w:w w:val="99"/>
              </w:rPr>
              <w:t>17(a)</w:t>
            </w: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82,826</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28,005</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840" w:type="dxa"/>
            <w:vAlign w:val="bottom"/>
            <w:shd w:val="clear" w:color="auto" w:fill="CCEEFF"/>
          </w:tcPr>
          <w:p>
            <w:pPr>
              <w:jc w:val="center"/>
              <w:ind w:left="2051"/>
              <w:spacing w:after="0"/>
              <w:rPr>
                <w:sz w:val="20"/>
                <w:szCs w:val="20"/>
                <w:color w:val="auto"/>
              </w:rPr>
            </w:pPr>
            <w:r>
              <w:rPr>
                <w:rFonts w:ascii="Times New Roman" w:cs="Times New Roman" w:eastAsia="Times New Roman" w:hAnsi="Times New Roman"/>
                <w:sz w:val="18"/>
                <w:szCs w:val="18"/>
                <w:color w:val="auto"/>
                <w:w w:val="99"/>
              </w:rPr>
              <w:t>18</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266,933</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252,607</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receivables</w:t>
            </w:r>
          </w:p>
        </w:tc>
        <w:tc>
          <w:tcPr>
            <w:tcW w:w="2840" w:type="dxa"/>
            <w:vAlign w:val="bottom"/>
          </w:tcPr>
          <w:p>
            <w:pPr>
              <w:jc w:val="center"/>
              <w:ind w:left="2051"/>
              <w:spacing w:after="0"/>
              <w:rPr>
                <w:sz w:val="20"/>
                <w:szCs w:val="20"/>
                <w:color w:val="auto"/>
              </w:rPr>
            </w:pPr>
            <w:r>
              <w:rPr>
                <w:rFonts w:ascii="Times New Roman" w:cs="Times New Roman" w:eastAsia="Times New Roman" w:hAnsi="Times New Roman"/>
                <w:sz w:val="18"/>
                <w:szCs w:val="18"/>
                <w:color w:val="auto"/>
                <w:w w:val="99"/>
              </w:rPr>
              <w:t>18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192,530</w:t>
            </w: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197,652</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to and amounts due from related parties</w:t>
            </w:r>
          </w:p>
        </w:tc>
        <w:tc>
          <w:tcPr>
            <w:tcW w:w="2840" w:type="dxa"/>
            <w:vAlign w:val="bottom"/>
            <w:shd w:val="clear" w:color="auto" w:fill="CCEEFF"/>
          </w:tcPr>
          <w:p>
            <w:pPr>
              <w:jc w:val="center"/>
              <w:ind w:left="2051"/>
              <w:spacing w:after="0"/>
              <w:rPr>
                <w:sz w:val="20"/>
                <w:szCs w:val="20"/>
                <w:color w:val="auto"/>
              </w:rPr>
            </w:pPr>
            <w:r>
              <w:rPr>
                <w:rFonts w:ascii="Times New Roman" w:cs="Times New Roman" w:eastAsia="Times New Roman" w:hAnsi="Times New Roman"/>
                <w:sz w:val="18"/>
                <w:szCs w:val="18"/>
                <w:color w:val="auto"/>
                <w:w w:val="97"/>
              </w:rPr>
              <w:t>34(d)</w:t>
            </w:r>
          </w:p>
        </w:tc>
        <w:tc>
          <w:tcPr>
            <w:tcW w:w="1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26,923</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26,618</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Financial assets at FVTPL – current</w:t>
            </w:r>
          </w:p>
        </w:tc>
        <w:tc>
          <w:tcPr>
            <w:tcW w:w="2840" w:type="dxa"/>
            <w:vAlign w:val="bottom"/>
          </w:tcPr>
          <w:p>
            <w:pPr>
              <w:jc w:val="center"/>
              <w:ind w:left="2051"/>
              <w:spacing w:after="0"/>
              <w:rPr>
                <w:sz w:val="20"/>
                <w:szCs w:val="20"/>
                <w:color w:val="auto"/>
              </w:rPr>
            </w:pPr>
            <w:r>
              <w:rPr>
                <w:rFonts w:ascii="Times New Roman" w:cs="Times New Roman" w:eastAsia="Times New Roman" w:hAnsi="Times New Roman"/>
                <w:sz w:val="18"/>
                <w:szCs w:val="18"/>
                <w:color w:val="auto"/>
                <w:w w:val="99"/>
              </w:rPr>
              <w:t>20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317,042</w:t>
            </w: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1,685,146</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2840" w:type="dxa"/>
            <w:vAlign w:val="bottom"/>
            <w:shd w:val="clear" w:color="auto" w:fill="CCEEFF"/>
          </w:tcPr>
          <w:p>
            <w:pPr>
              <w:jc w:val="center"/>
              <w:ind w:left="2051"/>
              <w:spacing w:after="0"/>
              <w:rPr>
                <w:sz w:val="20"/>
                <w:szCs w:val="20"/>
                <w:color w:val="auto"/>
              </w:rPr>
            </w:pPr>
            <w:r>
              <w:rPr>
                <w:rFonts w:ascii="Times New Roman" w:cs="Times New Roman" w:eastAsia="Times New Roman" w:hAnsi="Times New Roman"/>
                <w:sz w:val="18"/>
                <w:szCs w:val="18"/>
                <w:color w:val="auto"/>
                <w:w w:val="99"/>
              </w:rPr>
              <w:t>21(a)</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2,550,279</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620,148</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40" w:type="dxa"/>
            <w:vAlign w:val="bottom"/>
          </w:tcPr>
          <w:p>
            <w:pPr>
              <w:jc w:val="center"/>
              <w:ind w:left="2051"/>
              <w:spacing w:after="0"/>
              <w:rPr>
                <w:sz w:val="20"/>
                <w:szCs w:val="20"/>
                <w:color w:val="auto"/>
              </w:rPr>
            </w:pPr>
            <w:r>
              <w:rPr>
                <w:rFonts w:ascii="Times New Roman" w:cs="Times New Roman" w:eastAsia="Times New Roman" w:hAnsi="Times New Roman"/>
                <w:sz w:val="18"/>
                <w:szCs w:val="18"/>
                <w:color w:val="auto"/>
                <w:w w:val="99"/>
              </w:rPr>
              <w:t>21(a)</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1,661,152</w:t>
            </w: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4,268,300</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 current</w:t>
            </w:r>
          </w:p>
        </w:tc>
        <w:tc>
          <w:tcPr>
            <w:tcW w:w="2840" w:type="dxa"/>
            <w:vAlign w:val="bottom"/>
            <w:shd w:val="clear" w:color="auto" w:fill="CCEEFF"/>
          </w:tcPr>
          <w:p>
            <w:pPr>
              <w:jc w:val="center"/>
              <w:ind w:left="2051"/>
              <w:spacing w:after="0"/>
              <w:rPr>
                <w:sz w:val="20"/>
                <w:szCs w:val="20"/>
                <w:color w:val="auto"/>
              </w:rPr>
            </w:pPr>
            <w:r>
              <w:rPr>
                <w:rFonts w:ascii="Times New Roman" w:cs="Times New Roman" w:eastAsia="Times New Roman" w:hAnsi="Times New Roman"/>
                <w:sz w:val="18"/>
                <w:szCs w:val="18"/>
                <w:color w:val="auto"/>
                <w:w w:val="99"/>
              </w:rPr>
              <w:t>15</w:t>
            </w:r>
          </w:p>
        </w:tc>
        <w:tc>
          <w:tcPr>
            <w:tcW w:w="1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10,194</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4,814</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receivables</w:t>
            </w:r>
          </w:p>
        </w:tc>
        <w:tc>
          <w:tcPr>
            <w:tcW w:w="2840" w:type="dxa"/>
            <w:vAlign w:val="bottom"/>
          </w:tcPr>
          <w:p>
            <w:pPr>
              <w:jc w:val="center"/>
              <w:ind w:left="2051"/>
              <w:spacing w:after="0"/>
              <w:rPr>
                <w:sz w:val="20"/>
                <w:szCs w:val="20"/>
                <w:color w:val="auto"/>
              </w:rPr>
            </w:pPr>
            <w:r>
              <w:rPr>
                <w:rFonts w:ascii="Times New Roman" w:cs="Times New Roman" w:eastAsia="Times New Roman" w:hAnsi="Times New Roman"/>
                <w:sz w:val="18"/>
                <w:szCs w:val="18"/>
                <w:color w:val="auto"/>
                <w:w w:val="99"/>
              </w:rPr>
              <w:t>23(a)</w:t>
            </w: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43,924</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5,370,023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7,287,995</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vMerge w:val="continue"/>
          </w:tcPr>
          <w:p>
            <w:pPr>
              <w:spacing w:after="0"/>
              <w:rPr>
                <w:sz w:val="18"/>
                <w:szCs w:val="18"/>
                <w:color w:val="auto"/>
              </w:rPr>
            </w:pPr>
          </w:p>
        </w:tc>
        <w:tc>
          <w:tcPr>
            <w:tcW w:w="28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5,614,258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7,693,770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Class A ordinary shares</w:t>
            </w:r>
          </w:p>
        </w:tc>
        <w:tc>
          <w:tcPr>
            <w:tcW w:w="2840" w:type="dxa"/>
            <w:vAlign w:val="bottom"/>
          </w:tcPr>
          <w:p>
            <w:pPr>
              <w:jc w:val="center"/>
              <w:ind w:left="2051"/>
              <w:spacing w:after="0"/>
              <w:rPr>
                <w:sz w:val="20"/>
                <w:szCs w:val="20"/>
                <w:color w:val="auto"/>
              </w:rPr>
            </w:pPr>
            <w:r>
              <w:rPr>
                <w:rFonts w:ascii="Times New Roman" w:cs="Times New Roman" w:eastAsia="Times New Roman" w:hAnsi="Times New Roman"/>
                <w:sz w:val="18"/>
                <w:szCs w:val="18"/>
                <w:color w:val="auto"/>
                <w:w w:val="99"/>
              </w:rPr>
              <w:t>29(a)</w:t>
            </w: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ordinary shares</w:t>
            </w:r>
          </w:p>
        </w:tc>
        <w:tc>
          <w:tcPr>
            <w:tcW w:w="2840" w:type="dxa"/>
            <w:vAlign w:val="bottom"/>
            <w:shd w:val="clear" w:color="auto" w:fill="CCEEFF"/>
          </w:tcPr>
          <w:p>
            <w:pPr>
              <w:jc w:val="center"/>
              <w:ind w:left="2051"/>
              <w:spacing w:after="0"/>
              <w:rPr>
                <w:sz w:val="20"/>
                <w:szCs w:val="20"/>
                <w:color w:val="auto"/>
              </w:rPr>
            </w:pPr>
            <w:r>
              <w:rPr>
                <w:rFonts w:ascii="Times New Roman" w:cs="Times New Roman" w:eastAsia="Times New Roman" w:hAnsi="Times New Roman"/>
                <w:sz w:val="18"/>
                <w:szCs w:val="18"/>
                <w:color w:val="auto"/>
                <w:w w:val="99"/>
              </w:rPr>
              <w:t>29(a)</w:t>
            </w:r>
          </w:p>
        </w:tc>
        <w:tc>
          <w:tcPr>
            <w:tcW w:w="1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w:t>
            </w:r>
          </w:p>
        </w:tc>
        <w:tc>
          <w:tcPr>
            <w:tcW w:w="2840" w:type="dxa"/>
            <w:vAlign w:val="bottom"/>
          </w:tcPr>
          <w:p>
            <w:pPr>
              <w:jc w:val="center"/>
              <w:ind w:left="2051"/>
              <w:spacing w:after="0"/>
              <w:rPr>
                <w:sz w:val="20"/>
                <w:szCs w:val="20"/>
                <w:color w:val="auto"/>
              </w:rPr>
            </w:pPr>
            <w:r>
              <w:rPr>
                <w:rFonts w:ascii="Times New Roman" w:cs="Times New Roman" w:eastAsia="Times New Roman" w:hAnsi="Times New Roman"/>
                <w:sz w:val="18"/>
                <w:szCs w:val="18"/>
                <w:color w:val="auto"/>
                <w:w w:val="99"/>
              </w:rPr>
              <w:t>29(a)</w:t>
            </w: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Seed-1 Preferred Shares</w:t>
            </w:r>
          </w:p>
        </w:tc>
        <w:tc>
          <w:tcPr>
            <w:tcW w:w="2840" w:type="dxa"/>
            <w:vAlign w:val="bottom"/>
            <w:shd w:val="clear" w:color="auto" w:fill="CCEEFF"/>
          </w:tcPr>
          <w:p>
            <w:pPr>
              <w:jc w:val="center"/>
              <w:ind w:left="2051"/>
              <w:spacing w:after="0"/>
              <w:rPr>
                <w:sz w:val="20"/>
                <w:szCs w:val="20"/>
                <w:color w:val="auto"/>
              </w:rPr>
            </w:pPr>
            <w:r>
              <w:rPr>
                <w:rFonts w:ascii="Times New Roman" w:cs="Times New Roman" w:eastAsia="Times New Roman" w:hAnsi="Times New Roman"/>
                <w:sz w:val="18"/>
                <w:szCs w:val="18"/>
                <w:color w:val="auto"/>
                <w:w w:val="99"/>
              </w:rPr>
              <w:t>29(a)</w:t>
            </w:r>
          </w:p>
        </w:tc>
        <w:tc>
          <w:tcPr>
            <w:tcW w:w="1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Series Seed-2 Preferred Shares</w:t>
            </w:r>
          </w:p>
        </w:tc>
        <w:tc>
          <w:tcPr>
            <w:tcW w:w="2840" w:type="dxa"/>
            <w:vAlign w:val="bottom"/>
          </w:tcPr>
          <w:p>
            <w:pPr>
              <w:jc w:val="center"/>
              <w:ind w:left="2051"/>
              <w:spacing w:after="0"/>
              <w:rPr>
                <w:sz w:val="20"/>
                <w:szCs w:val="20"/>
                <w:color w:val="auto"/>
              </w:rPr>
            </w:pPr>
            <w:r>
              <w:rPr>
                <w:rFonts w:ascii="Times New Roman" w:cs="Times New Roman" w:eastAsia="Times New Roman" w:hAnsi="Times New Roman"/>
                <w:sz w:val="18"/>
                <w:szCs w:val="18"/>
                <w:color w:val="auto"/>
                <w:w w:val="99"/>
              </w:rPr>
              <w:t>29(a)</w:t>
            </w: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Preferred Shares</w:t>
            </w:r>
          </w:p>
        </w:tc>
        <w:tc>
          <w:tcPr>
            <w:tcW w:w="2840" w:type="dxa"/>
            <w:vAlign w:val="bottom"/>
            <w:shd w:val="clear" w:color="auto" w:fill="CCEEFF"/>
          </w:tcPr>
          <w:p>
            <w:pPr>
              <w:jc w:val="center"/>
              <w:ind w:left="2051"/>
              <w:spacing w:after="0"/>
              <w:rPr>
                <w:sz w:val="20"/>
                <w:szCs w:val="20"/>
                <w:color w:val="auto"/>
              </w:rPr>
            </w:pPr>
            <w:r>
              <w:rPr>
                <w:rFonts w:ascii="Times New Roman" w:cs="Times New Roman" w:eastAsia="Times New Roman" w:hAnsi="Times New Roman"/>
                <w:sz w:val="18"/>
                <w:szCs w:val="18"/>
                <w:color w:val="auto"/>
                <w:w w:val="99"/>
              </w:rPr>
              <w:t>29(a)</w:t>
            </w:r>
          </w:p>
        </w:tc>
        <w:tc>
          <w:tcPr>
            <w:tcW w:w="1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28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1,104,120</w:t>
            </w: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12,750,598</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Reserves</w:t>
            </w:r>
          </w:p>
        </w:tc>
        <w:tc>
          <w:tcPr>
            <w:tcW w:w="2840" w:type="dxa"/>
            <w:vAlign w:val="bottom"/>
            <w:shd w:val="clear" w:color="auto" w:fill="CCEEFF"/>
          </w:tcPr>
          <w:p>
            <w:pPr>
              <w:jc w:val="center"/>
              <w:ind w:left="2051"/>
              <w:spacing w:after="0"/>
              <w:rPr>
                <w:sz w:val="20"/>
                <w:szCs w:val="20"/>
                <w:color w:val="auto"/>
              </w:rPr>
            </w:pPr>
            <w:r>
              <w:rPr>
                <w:rFonts w:ascii="Times New Roman" w:cs="Times New Roman" w:eastAsia="Times New Roman" w:hAnsi="Times New Roman"/>
                <w:sz w:val="18"/>
                <w:szCs w:val="18"/>
                <w:color w:val="auto"/>
                <w:w w:val="97"/>
              </w:rPr>
              <w:t>29(b)</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2,110,151</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2,946,715</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losses</w:t>
            </w:r>
          </w:p>
        </w:tc>
        <w:tc>
          <w:tcPr>
            <w:tcW w:w="284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(6,114,544)</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(8,631,352)</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2840" w:type="dxa"/>
            <w:vAlign w:val="bottom"/>
            <w:shd w:val="clear" w:color="auto" w:fill="CCEEFF"/>
          </w:tcPr>
          <w:p>
            <w:pPr>
              <w:jc w:val="center"/>
              <w:ind w:left="2051"/>
              <w:spacing w:after="0"/>
              <w:rPr>
                <w:sz w:val="20"/>
                <w:szCs w:val="20"/>
                <w:color w:val="auto"/>
              </w:rPr>
            </w:pPr>
            <w:r>
              <w:rPr>
                <w:rFonts w:ascii="Times New Roman" w:cs="Times New Roman" w:eastAsia="Times New Roman" w:hAnsi="Times New Roman"/>
                <w:sz w:val="18"/>
                <w:szCs w:val="18"/>
                <w:color w:val="auto"/>
                <w:w w:val="99"/>
              </w:rPr>
              <w:t>29(c)</w:t>
            </w: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(151,668)</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(deficit)/equity</w:t>
            </w:r>
          </w:p>
        </w:tc>
        <w:tc>
          <w:tcPr>
            <w:tcW w:w="284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(3,051,918</w:t>
            </w: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7,066,019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82" w:right="4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 (continued)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(Expressed in thousands of RMB)</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840" w:type="dxa"/>
            <w:vAlign w:val="bottom"/>
          </w:tcPr>
          <w:p>
            <w:pPr>
              <w:spacing w:after="0"/>
              <w:rPr>
                <w:sz w:val="15"/>
                <w:szCs w:val="15"/>
                <w:color w:val="auto"/>
              </w:rPr>
            </w:pPr>
          </w:p>
        </w:tc>
        <w:tc>
          <w:tcPr>
            <w:tcW w:w="1280" w:type="dxa"/>
            <w:vAlign w:val="bottom"/>
          </w:tcPr>
          <w:p>
            <w:pPr>
              <w:ind w:left="760"/>
              <w:spacing w:after="0"/>
              <w:rPr>
                <w:sz w:val="20"/>
                <w:szCs w:val="20"/>
                <w:color w:val="auto"/>
              </w:rPr>
            </w:pPr>
            <w:r>
              <w:rPr>
                <w:rFonts w:ascii="Times New Roman" w:cs="Times New Roman" w:eastAsia="Times New Roman" w:hAnsi="Times New Roman"/>
                <w:sz w:val="14"/>
                <w:szCs w:val="14"/>
                <w:i w:val="1"/>
                <w:iCs w:val="1"/>
                <w:color w:val="auto"/>
              </w:rPr>
              <w:t>Note</w:t>
            </w:r>
          </w:p>
        </w:tc>
        <w:tc>
          <w:tcPr>
            <w:tcW w:w="1900" w:type="dxa"/>
            <w:vAlign w:val="bottom"/>
            <w:gridSpan w:val="5"/>
          </w:tcPr>
          <w:p>
            <w:pPr>
              <w:ind w:left="360"/>
              <w:spacing w:after="0"/>
              <w:rPr>
                <w:sz w:val="20"/>
                <w:szCs w:val="20"/>
                <w:color w:val="auto"/>
              </w:rPr>
            </w:pPr>
            <w:r>
              <w:rPr>
                <w:rFonts w:ascii="Times New Roman" w:cs="Times New Roman" w:eastAsia="Times New Roman" w:hAnsi="Times New Roman"/>
                <w:sz w:val="14"/>
                <w:szCs w:val="14"/>
                <w:i w:val="1"/>
                <w:iCs w:val="1"/>
                <w:color w:val="auto"/>
              </w:rPr>
              <w:t>As of December 31,</w:t>
            </w:r>
          </w:p>
        </w:tc>
        <w:tc>
          <w:tcPr>
            <w:tcW w:w="0" w:type="dxa"/>
            <w:vAlign w:val="bottom"/>
          </w:tcPr>
          <w:p>
            <w:pPr>
              <w:spacing w:after="0"/>
              <w:rPr>
                <w:sz w:val="1"/>
                <w:szCs w:val="1"/>
                <w:color w:val="auto"/>
              </w:rPr>
            </w:pPr>
          </w:p>
        </w:tc>
      </w:tr>
      <w:tr>
        <w:trPr>
          <w:trHeight w:val="119"/>
        </w:trPr>
        <w:tc>
          <w:tcPr>
            <w:tcW w:w="78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40" w:type="dxa"/>
            <w:vAlign w:val="bottom"/>
            <w:tcBorders>
              <w:top w:val="single" w:sz="8" w:color="auto"/>
            </w:tcBorders>
          </w:tcPr>
          <w:p>
            <w:pPr>
              <w:jc w:val="right"/>
              <w:ind w:right="193"/>
              <w:spacing w:after="0" w:line="119" w:lineRule="exact"/>
              <w:rPr>
                <w:sz w:val="20"/>
                <w:szCs w:val="20"/>
                <w:color w:val="auto"/>
              </w:rPr>
            </w:pPr>
            <w:r>
              <w:rPr>
                <w:rFonts w:ascii="Times New Roman" w:cs="Times New Roman" w:eastAsia="Times New Roman" w:hAnsi="Times New Roman"/>
                <w:sz w:val="13"/>
                <w:szCs w:val="13"/>
                <w:i w:val="1"/>
                <w:iCs w:val="1"/>
                <w:color w:val="auto"/>
              </w:rPr>
              <w:t>2023</w:t>
            </w: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152"/>
              <w:spacing w:after="0" w:line="119" w:lineRule="exact"/>
              <w:rPr>
                <w:sz w:val="20"/>
                <w:szCs w:val="20"/>
                <w:color w:val="auto"/>
              </w:rPr>
            </w:pPr>
            <w:r>
              <w:rPr>
                <w:rFonts w:ascii="Times New Roman" w:cs="Times New Roman" w:eastAsia="Times New Roman" w:hAnsi="Times New Roman"/>
                <w:sz w:val="13"/>
                <w:szCs w:val="13"/>
                <w:i w:val="1"/>
                <w:iCs w:val="1"/>
                <w:color w:val="auto"/>
              </w:rPr>
              <w:t>2024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RMB’000</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 non-current</w:t>
            </w:r>
          </w:p>
        </w:tc>
        <w:tc>
          <w:tcPr>
            <w:tcW w:w="1280" w:type="dxa"/>
            <w:vAlign w:val="bottom"/>
            <w:shd w:val="clear" w:color="auto" w:fill="CCEEFF"/>
          </w:tcPr>
          <w:p>
            <w:pPr>
              <w:jc w:val="center"/>
              <w:ind w:left="491"/>
              <w:spacing w:after="0"/>
              <w:rPr>
                <w:sz w:val="20"/>
                <w:szCs w:val="20"/>
                <w:color w:val="auto"/>
              </w:rPr>
            </w:pPr>
            <w:r>
              <w:rPr>
                <w:rFonts w:ascii="Times New Roman" w:cs="Times New Roman" w:eastAsia="Times New Roman" w:hAnsi="Times New Roman"/>
                <w:sz w:val="18"/>
                <w:szCs w:val="18"/>
                <w:color w:val="auto"/>
                <w:w w:val="99"/>
              </w:rPr>
              <w:t>22</w:t>
            </w:r>
          </w:p>
        </w:tc>
        <w:tc>
          <w:tcPr>
            <w:tcW w:w="1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22,309</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26,059</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Put option liabilities– non-current</w:t>
            </w:r>
          </w:p>
        </w:tc>
        <w:tc>
          <w:tcPr>
            <w:tcW w:w="1280" w:type="dxa"/>
            <w:vAlign w:val="bottom"/>
          </w:tcPr>
          <w:p>
            <w:pPr>
              <w:jc w:val="center"/>
              <w:ind w:left="491"/>
              <w:spacing w:after="0"/>
              <w:rPr>
                <w:sz w:val="20"/>
                <w:szCs w:val="20"/>
                <w:color w:val="auto"/>
              </w:rPr>
            </w:pPr>
            <w:r>
              <w:rPr>
                <w:rFonts w:ascii="Times New Roman" w:cs="Times New Roman" w:eastAsia="Times New Roman" w:hAnsi="Times New Roman"/>
                <w:sz w:val="18"/>
                <w:szCs w:val="18"/>
                <w:color w:val="auto"/>
                <w:w w:val="99"/>
              </w:rPr>
              <w:t>24</w:t>
            </w: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40,449</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bank loan</w:t>
            </w:r>
          </w:p>
        </w:tc>
        <w:tc>
          <w:tcPr>
            <w:tcW w:w="1280" w:type="dxa"/>
            <w:vAlign w:val="bottom"/>
            <w:shd w:val="clear" w:color="auto" w:fill="CCEEFF"/>
          </w:tcPr>
          <w:p>
            <w:pPr>
              <w:jc w:val="center"/>
              <w:ind w:left="491"/>
              <w:spacing w:after="0"/>
              <w:rPr>
                <w:sz w:val="20"/>
                <w:szCs w:val="20"/>
                <w:color w:val="auto"/>
              </w:rPr>
            </w:pPr>
            <w:r>
              <w:rPr>
                <w:rFonts w:ascii="Times New Roman" w:cs="Times New Roman" w:eastAsia="Times New Roman" w:hAnsi="Times New Roman"/>
                <w:sz w:val="18"/>
                <w:szCs w:val="18"/>
                <w:color w:val="auto"/>
                <w:w w:val="99"/>
              </w:rPr>
              <w:t>28</w:t>
            </w:r>
          </w:p>
        </w:tc>
        <w:tc>
          <w:tcPr>
            <w:tcW w:w="1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50,040</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80" w:type="dxa"/>
            <w:vAlign w:val="bottom"/>
          </w:tcPr>
          <w:p>
            <w:pPr>
              <w:jc w:val="center"/>
              <w:ind w:left="491"/>
              <w:spacing w:after="0"/>
              <w:rPr>
                <w:sz w:val="20"/>
                <w:szCs w:val="20"/>
                <w:color w:val="auto"/>
              </w:rPr>
            </w:pPr>
            <w:r>
              <w:rPr>
                <w:rFonts w:ascii="Times New Roman" w:cs="Times New Roman" w:eastAsia="Times New Roman" w:hAnsi="Times New Roman"/>
                <w:sz w:val="18"/>
                <w:szCs w:val="18"/>
                <w:color w:val="auto"/>
                <w:w w:val="99"/>
              </w:rPr>
              <w:t>9(b)</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5,483</w:t>
            </w: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4,486</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80" w:type="dxa"/>
            <w:vAlign w:val="bottom"/>
            <w:shd w:val="clear" w:color="auto" w:fill="CCEEFF"/>
          </w:tcPr>
          <w:p>
            <w:pPr>
              <w:jc w:val="center"/>
              <w:ind w:left="491"/>
              <w:spacing w:after="0"/>
              <w:rPr>
                <w:sz w:val="20"/>
                <w:szCs w:val="20"/>
                <w:color w:val="auto"/>
              </w:rPr>
            </w:pPr>
            <w:r>
              <w:rPr>
                <w:rFonts w:ascii="Times New Roman" w:cs="Times New Roman" w:eastAsia="Times New Roman" w:hAnsi="Times New Roman"/>
                <w:sz w:val="18"/>
                <w:szCs w:val="18"/>
                <w:color w:val="auto"/>
                <w:w w:val="99"/>
              </w:rPr>
              <w:t>25</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6,522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4,677</w:t>
            </w:r>
          </w:p>
        </w:tc>
        <w:tc>
          <w:tcPr>
            <w:tcW w:w="0" w:type="dxa"/>
            <w:vAlign w:val="bottom"/>
          </w:tcPr>
          <w:p>
            <w:pPr>
              <w:spacing w:after="0"/>
              <w:rPr>
                <w:sz w:val="1"/>
                <w:szCs w:val="1"/>
                <w:color w:val="auto"/>
              </w:rPr>
            </w:pPr>
          </w:p>
        </w:tc>
      </w:tr>
      <w:tr>
        <w:trPr>
          <w:trHeight w:val="230"/>
        </w:trPr>
        <w:tc>
          <w:tcPr>
            <w:tcW w:w="78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74,763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85,262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Short-term bank loans</w:t>
            </w:r>
          </w:p>
        </w:tc>
        <w:tc>
          <w:tcPr>
            <w:tcW w:w="1280" w:type="dxa"/>
            <w:vAlign w:val="bottom"/>
          </w:tcPr>
          <w:p>
            <w:pPr>
              <w:jc w:val="center"/>
              <w:ind w:left="491"/>
              <w:spacing w:after="0"/>
              <w:rPr>
                <w:sz w:val="20"/>
                <w:szCs w:val="20"/>
                <w:color w:val="auto"/>
              </w:rPr>
            </w:pPr>
            <w:r>
              <w:rPr>
                <w:rFonts w:ascii="Times New Roman" w:cs="Times New Roman" w:eastAsia="Times New Roman" w:hAnsi="Times New Roman"/>
                <w:sz w:val="18"/>
                <w:szCs w:val="18"/>
                <w:color w:val="auto"/>
                <w:w w:val="99"/>
              </w:rPr>
              <w:t>28</w:t>
            </w: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30,019</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280" w:type="dxa"/>
            <w:vAlign w:val="bottom"/>
            <w:shd w:val="clear" w:color="auto" w:fill="CCEEFF"/>
          </w:tcPr>
          <w:p>
            <w:pPr>
              <w:jc w:val="center"/>
              <w:ind w:left="491"/>
              <w:spacing w:after="0"/>
              <w:rPr>
                <w:sz w:val="20"/>
                <w:szCs w:val="20"/>
                <w:color w:val="auto"/>
              </w:rPr>
            </w:pPr>
            <w:r>
              <w:rPr>
                <w:rFonts w:ascii="Times New Roman" w:cs="Times New Roman" w:eastAsia="Times New Roman" w:hAnsi="Times New Roman"/>
                <w:sz w:val="18"/>
                <w:szCs w:val="18"/>
                <w:color w:val="auto"/>
                <w:w w:val="99"/>
              </w:rPr>
              <w:t>26</w:t>
            </w:r>
          </w:p>
        </w:tc>
        <w:tc>
          <w:tcPr>
            <w:tcW w:w="1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16,962</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20,713</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shares and other financial instruments subject to redemption and other preferential rights</w:t>
            </w:r>
          </w:p>
        </w:tc>
        <w:tc>
          <w:tcPr>
            <w:tcW w:w="1280" w:type="dxa"/>
            <w:vAlign w:val="bottom"/>
          </w:tcPr>
          <w:p>
            <w:pPr>
              <w:jc w:val="center"/>
              <w:ind w:left="491"/>
              <w:spacing w:after="0"/>
              <w:rPr>
                <w:sz w:val="20"/>
                <w:szCs w:val="20"/>
                <w:color w:val="auto"/>
              </w:rPr>
            </w:pPr>
            <w:r>
              <w:rPr>
                <w:rFonts w:ascii="Times New Roman" w:cs="Times New Roman" w:eastAsia="Times New Roman" w:hAnsi="Times New Roman"/>
                <w:sz w:val="18"/>
                <w:szCs w:val="18"/>
                <w:color w:val="auto"/>
                <w:w w:val="99"/>
              </w:rPr>
              <w:t>23</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8,181,722</w:t>
            </w:r>
          </w:p>
        </w:tc>
        <w:tc>
          <w:tcPr>
            <w:tcW w:w="20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 deposits received and accrued expenses</w:t>
            </w:r>
          </w:p>
        </w:tc>
        <w:tc>
          <w:tcPr>
            <w:tcW w:w="1280" w:type="dxa"/>
            <w:vAlign w:val="bottom"/>
            <w:shd w:val="clear" w:color="auto" w:fill="CCEEFF"/>
          </w:tcPr>
          <w:p>
            <w:pPr>
              <w:jc w:val="center"/>
              <w:ind w:left="491"/>
              <w:spacing w:after="0"/>
              <w:rPr>
                <w:sz w:val="20"/>
                <w:szCs w:val="20"/>
                <w:color w:val="auto"/>
              </w:rPr>
            </w:pPr>
            <w:r>
              <w:rPr>
                <w:rFonts w:ascii="Times New Roman" w:cs="Times New Roman" w:eastAsia="Times New Roman" w:hAnsi="Times New Roman"/>
                <w:sz w:val="18"/>
                <w:szCs w:val="18"/>
                <w:color w:val="auto"/>
                <w:w w:val="99"/>
              </w:rPr>
              <w:t>26</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271,306</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397,755</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28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auto"/>
              </w:rPr>
              <w:t>17(b)</w:t>
            </w: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12,498</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4,476</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 current</w:t>
            </w:r>
          </w:p>
        </w:tc>
        <w:tc>
          <w:tcPr>
            <w:tcW w:w="1280" w:type="dxa"/>
            <w:vAlign w:val="bottom"/>
            <w:shd w:val="clear" w:color="auto" w:fill="CCEEFF"/>
          </w:tcPr>
          <w:p>
            <w:pPr>
              <w:jc w:val="center"/>
              <w:ind w:left="491"/>
              <w:spacing w:after="0"/>
              <w:rPr>
                <w:sz w:val="20"/>
                <w:szCs w:val="20"/>
                <w:color w:val="auto"/>
              </w:rPr>
            </w:pPr>
            <w:r>
              <w:rPr>
                <w:rFonts w:ascii="Times New Roman" w:cs="Times New Roman" w:eastAsia="Times New Roman" w:hAnsi="Times New Roman"/>
                <w:sz w:val="18"/>
                <w:szCs w:val="18"/>
                <w:color w:val="auto"/>
                <w:w w:val="99"/>
              </w:rPr>
              <w:t>22</w:t>
            </w:r>
          </w:p>
        </w:tc>
        <w:tc>
          <w:tcPr>
            <w:tcW w:w="1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31,098</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36,900</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28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auto"/>
              </w:rPr>
              <w:t>34(d)</w:t>
            </w: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77,827</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9,450</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Put option liabilities – current</w:t>
            </w:r>
          </w:p>
        </w:tc>
        <w:tc>
          <w:tcPr>
            <w:tcW w:w="1280" w:type="dxa"/>
            <w:vAlign w:val="bottom"/>
            <w:shd w:val="clear" w:color="auto" w:fill="CCEEFF"/>
          </w:tcPr>
          <w:p>
            <w:pPr>
              <w:jc w:val="center"/>
              <w:ind w:left="491"/>
              <w:spacing w:after="0"/>
              <w:rPr>
                <w:sz w:val="20"/>
                <w:szCs w:val="20"/>
                <w:color w:val="auto"/>
              </w:rPr>
            </w:pPr>
            <w:r>
              <w:rPr>
                <w:rFonts w:ascii="Times New Roman" w:cs="Times New Roman" w:eastAsia="Times New Roman" w:hAnsi="Times New Roman"/>
                <w:sz w:val="18"/>
                <w:szCs w:val="18"/>
                <w:color w:val="auto"/>
                <w:w w:val="99"/>
              </w:rPr>
              <w:t>24</w:t>
            </w:r>
          </w:p>
        </w:tc>
        <w:tc>
          <w:tcPr>
            <w:tcW w:w="1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41,099</w:t>
            </w:r>
          </w:p>
        </w:tc>
        <w:tc>
          <w:tcPr>
            <w:tcW w:w="0" w:type="dxa"/>
            <w:vAlign w:val="bottom"/>
          </w:tcPr>
          <w:p>
            <w:pPr>
              <w:spacing w:after="0"/>
              <w:rPr>
                <w:sz w:val="1"/>
                <w:szCs w:val="1"/>
                <w:color w:val="auto"/>
              </w:rPr>
            </w:pPr>
          </w:p>
        </w:tc>
      </w:tr>
      <w:tr>
        <w:trPr>
          <w:trHeight w:val="223"/>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2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8,591,413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542,489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current (liabilities)/assets</w:t>
            </w:r>
          </w:p>
        </w:tc>
        <w:tc>
          <w:tcPr>
            <w:tcW w:w="1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40" w:type="dxa"/>
            <w:vAlign w:val="bottom"/>
            <w:vMerge w:val="continue"/>
          </w:tcPr>
          <w:p>
            <w:pPr>
              <w:spacing w:after="0"/>
              <w:rPr>
                <w:sz w:val="19"/>
                <w:szCs w:val="19"/>
                <w:color w:val="auto"/>
              </w:rPr>
            </w:pPr>
          </w:p>
        </w:tc>
        <w:tc>
          <w:tcPr>
            <w:tcW w:w="1280" w:type="dxa"/>
            <w:vAlign w:val="bottom"/>
          </w:tcPr>
          <w:p>
            <w:pPr>
              <w:spacing w:after="0"/>
              <w:rPr>
                <w:sz w:val="19"/>
                <w:szCs w:val="19"/>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(3,221,390)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6,745,506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8,666,176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627,751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12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4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5,614,258</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7,693,770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82" w:right="4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(Expressed in thousands of RMB)</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4"/>
              </w:rPr>
              <w:t>Series</w:t>
            </w: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4"/>
              </w:rPr>
              <w:t>Series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i w:val="1"/>
                <w:iCs w:val="1"/>
                <w:color w:val="auto"/>
                <w:w w:val="92"/>
              </w:rPr>
              <w:t>Share-</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color w:val="auto"/>
                <w:w w:val="99"/>
              </w:rPr>
              <w:t>Seed-1</w:t>
            </w:r>
          </w:p>
        </w:tc>
        <w:tc>
          <w:tcPr>
            <w:tcW w:w="8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4"/>
              </w:rPr>
              <w:t>Seed-2</w:t>
            </w:r>
          </w:p>
        </w:tc>
        <w:tc>
          <w:tcPr>
            <w:tcW w:w="7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color w:val="auto"/>
                <w:w w:val="94"/>
              </w:rPr>
              <w:t>Series A</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i w:val="1"/>
                <w:iCs w:val="1"/>
                <w:color w:val="auto"/>
                <w:w w:val="98"/>
              </w:rPr>
              <w:t>based</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i w:val="1"/>
                <w:iCs w:val="1"/>
                <w:color w:val="auto"/>
                <w:w w:val="99"/>
              </w:rPr>
              <w:t>Ordinary</w:t>
            </w:r>
          </w:p>
        </w:tc>
        <w:tc>
          <w:tcPr>
            <w:tcW w:w="8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color w:val="auto"/>
                <w:w w:val="99"/>
              </w:rPr>
              <w:t>Preferred</w:t>
            </w:r>
          </w:p>
        </w:tc>
        <w:tc>
          <w:tcPr>
            <w:tcW w:w="8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5"/>
              </w:rPr>
              <w:t>Preferred</w:t>
            </w:r>
          </w:p>
        </w:tc>
        <w:tc>
          <w:tcPr>
            <w:tcW w:w="7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color w:val="auto"/>
                <w:w w:val="95"/>
              </w:rPr>
              <w:t>Preferred</w:t>
            </w:r>
          </w:p>
        </w:tc>
        <w:tc>
          <w:tcPr>
            <w:tcW w:w="8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i w:val="1"/>
                <w:iCs w:val="1"/>
                <w:color w:val="auto"/>
                <w:w w:val="98"/>
              </w:rPr>
              <w:t>Share</w:t>
            </w:r>
          </w:p>
        </w:tc>
        <w:tc>
          <w:tcPr>
            <w:tcW w:w="8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i w:val="1"/>
                <w:iCs w:val="1"/>
                <w:color w:val="auto"/>
                <w:w w:val="96"/>
              </w:rPr>
              <w:t>compensation</w:t>
            </w:r>
          </w:p>
        </w:tc>
        <w:tc>
          <w:tcPr>
            <w:tcW w:w="8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i w:val="1"/>
                <w:iCs w:val="1"/>
                <w:color w:val="auto"/>
                <w:w w:val="95"/>
              </w:rPr>
              <w:t>Translation</w:t>
            </w:r>
          </w:p>
        </w:tc>
        <w:tc>
          <w:tcPr>
            <w:tcW w:w="7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i w:val="1"/>
                <w:iCs w:val="1"/>
                <w:color w:val="auto"/>
                <w:w w:val="98"/>
              </w:rPr>
              <w:t>Other</w:t>
            </w:r>
          </w:p>
        </w:tc>
        <w:tc>
          <w:tcPr>
            <w:tcW w:w="8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i w:val="1"/>
                <w:iCs w:val="1"/>
                <w:color w:val="auto"/>
                <w:w w:val="97"/>
              </w:rPr>
              <w:t>Accumulated</w:t>
            </w:r>
          </w:p>
        </w:tc>
        <w:tc>
          <w:tcPr>
            <w:tcW w:w="8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i w:val="1"/>
                <w:iCs w:val="1"/>
                <w:color w:val="auto"/>
                <w:w w:val="97"/>
              </w:rPr>
              <w:t>Treasury</w:t>
            </w:r>
          </w:p>
        </w:tc>
        <w:tc>
          <w:tcPr>
            <w:tcW w:w="8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i w:val="1"/>
                <w:iCs w:val="1"/>
                <w:color w:val="auto"/>
                <w:w w:val="94"/>
              </w:rPr>
              <w:t>Total</w:t>
            </w:r>
          </w:p>
        </w:tc>
        <w:tc>
          <w:tcPr>
            <w:tcW w:w="0" w:type="dxa"/>
            <w:vAlign w:val="bottom"/>
          </w:tcPr>
          <w:p>
            <w:pPr>
              <w:spacing w:after="0"/>
              <w:rPr>
                <w:sz w:val="1"/>
                <w:szCs w:val="1"/>
                <w:color w:val="auto"/>
              </w:rPr>
            </w:pPr>
          </w:p>
        </w:tc>
      </w:tr>
      <w:tr>
        <w:trPr>
          <w:trHeight w:val="155"/>
        </w:trPr>
        <w:tc>
          <w:tcPr>
            <w:tcW w:w="1440" w:type="dxa"/>
            <w:vAlign w:val="bottom"/>
          </w:tcPr>
          <w:p>
            <w:pPr>
              <w:spacing w:after="0"/>
              <w:rPr>
                <w:sz w:val="13"/>
                <w:szCs w:val="13"/>
                <w:color w:val="auto"/>
              </w:rPr>
            </w:pPr>
          </w:p>
        </w:tc>
        <w:tc>
          <w:tcPr>
            <w:tcW w:w="660" w:type="dxa"/>
            <w:vAlign w:val="bottom"/>
          </w:tcPr>
          <w:p>
            <w:pPr>
              <w:ind w:left="200"/>
              <w:spacing w:after="0"/>
              <w:rPr>
                <w:sz w:val="20"/>
                <w:szCs w:val="20"/>
                <w:color w:val="auto"/>
              </w:rPr>
            </w:pPr>
            <w:r>
              <w:rPr>
                <w:rFonts w:ascii="Times New Roman" w:cs="Times New Roman" w:eastAsia="Times New Roman" w:hAnsi="Times New Roman"/>
                <w:sz w:val="13"/>
                <w:szCs w:val="13"/>
                <w:i w:val="1"/>
                <w:iCs w:val="1"/>
                <w:color w:val="auto"/>
              </w:rPr>
              <w:t>Note</w:t>
            </w: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i w:val="1"/>
                <w:iCs w:val="1"/>
                <w:color w:val="auto"/>
                <w:w w:val="94"/>
              </w:rPr>
              <w:t>shares</w:t>
            </w: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7"/>
              </w:rPr>
              <w:t>Shares</w:t>
            </w: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7"/>
              </w:rPr>
              <w:t>Shares</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7"/>
              </w:rPr>
              <w:t>Shares</w:t>
            </w: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i w:val="1"/>
                <w:iCs w:val="1"/>
                <w:color w:val="auto"/>
                <w:w w:val="95"/>
              </w:rPr>
              <w:t>premium</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i w:val="1"/>
                <w:iCs w:val="1"/>
                <w:color w:val="auto"/>
                <w:w w:val="93"/>
              </w:rPr>
              <w:t>reserve</w:t>
            </w: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i w:val="1"/>
                <w:iCs w:val="1"/>
                <w:color w:val="auto"/>
                <w:w w:val="93"/>
              </w:rPr>
              <w:t>reserve</w:t>
            </w: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i w:val="1"/>
                <w:iCs w:val="1"/>
                <w:color w:val="auto"/>
                <w:w w:val="96"/>
              </w:rPr>
              <w:t>reserves</w:t>
            </w: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i w:val="1"/>
                <w:iCs w:val="1"/>
                <w:color w:val="auto"/>
                <w:w w:val="96"/>
              </w:rPr>
              <w:t>losses</w:t>
            </w: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i w:val="1"/>
                <w:iCs w:val="1"/>
                <w:color w:val="auto"/>
              </w:rPr>
              <w:t>shares</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w w:val="96"/>
              </w:rPr>
              <w:t>equity/(deficit)</w:t>
            </w:r>
          </w:p>
        </w:tc>
        <w:tc>
          <w:tcPr>
            <w:tcW w:w="0" w:type="dxa"/>
            <w:vAlign w:val="bottom"/>
          </w:tcPr>
          <w:p>
            <w:pPr>
              <w:spacing w:after="0"/>
              <w:rPr>
                <w:sz w:val="1"/>
                <w:szCs w:val="1"/>
                <w:color w:val="auto"/>
              </w:rPr>
            </w:pPr>
          </w:p>
        </w:tc>
      </w:tr>
      <w:tr>
        <w:trPr>
          <w:trHeight w:val="110"/>
        </w:trPr>
        <w:tc>
          <w:tcPr>
            <w:tcW w:w="1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2"/>
                <w:szCs w:val="12"/>
                <w:color w:val="auto"/>
              </w:rPr>
              <w:t>RMB’000</w:t>
            </w:r>
          </w:p>
        </w:tc>
        <w:tc>
          <w:tcPr>
            <w:tcW w:w="160" w:type="dxa"/>
            <w:vAlign w:val="bottom"/>
          </w:tcPr>
          <w:p>
            <w:pPr>
              <w:spacing w:after="0"/>
              <w:rPr>
                <w:sz w:val="9"/>
                <w:szCs w:val="9"/>
                <w:color w:val="auto"/>
              </w:rPr>
            </w:pPr>
          </w:p>
        </w:tc>
        <w:tc>
          <w:tcPr>
            <w:tcW w:w="64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2"/>
                <w:szCs w:val="12"/>
                <w:color w:val="auto"/>
              </w:rPr>
              <w:t>RMB’000</w:t>
            </w:r>
          </w:p>
        </w:tc>
        <w:tc>
          <w:tcPr>
            <w:tcW w:w="160" w:type="dxa"/>
            <w:vAlign w:val="bottom"/>
          </w:tcPr>
          <w:p>
            <w:pPr>
              <w:spacing w:after="0"/>
              <w:rPr>
                <w:sz w:val="9"/>
                <w:szCs w:val="9"/>
                <w:color w:val="auto"/>
              </w:rPr>
            </w:pPr>
          </w:p>
        </w:tc>
        <w:tc>
          <w:tcPr>
            <w:tcW w:w="62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2"/>
                <w:szCs w:val="12"/>
                <w:color w:val="auto"/>
              </w:rPr>
              <w:t>RMB’000</w:t>
            </w:r>
          </w:p>
        </w:tc>
        <w:tc>
          <w:tcPr>
            <w:tcW w:w="180" w:type="dxa"/>
            <w:vAlign w:val="bottom"/>
          </w:tcPr>
          <w:p>
            <w:pPr>
              <w:spacing w:after="0"/>
              <w:rPr>
                <w:sz w:val="9"/>
                <w:szCs w:val="9"/>
                <w:color w:val="auto"/>
              </w:rPr>
            </w:pPr>
          </w:p>
        </w:tc>
        <w:tc>
          <w:tcPr>
            <w:tcW w:w="62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2"/>
                <w:szCs w:val="12"/>
                <w:color w:val="auto"/>
              </w:rPr>
              <w:t>RMB’000</w:t>
            </w:r>
          </w:p>
        </w:tc>
        <w:tc>
          <w:tcPr>
            <w:tcW w:w="160" w:type="dxa"/>
            <w:vAlign w:val="bottom"/>
          </w:tcPr>
          <w:p>
            <w:pPr>
              <w:spacing w:after="0"/>
              <w:rPr>
                <w:sz w:val="9"/>
                <w:szCs w:val="9"/>
                <w:color w:val="auto"/>
              </w:rPr>
            </w:pPr>
          </w:p>
        </w:tc>
        <w:tc>
          <w:tcPr>
            <w:tcW w:w="64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2"/>
                <w:szCs w:val="12"/>
                <w:color w:val="auto"/>
              </w:rPr>
              <w:t>RMB’000</w:t>
            </w:r>
          </w:p>
        </w:tc>
        <w:tc>
          <w:tcPr>
            <w:tcW w:w="160" w:type="dxa"/>
            <w:vAlign w:val="bottom"/>
          </w:tcPr>
          <w:p>
            <w:pPr>
              <w:spacing w:after="0"/>
              <w:rPr>
                <w:sz w:val="9"/>
                <w:szCs w:val="9"/>
                <w:color w:val="auto"/>
              </w:rPr>
            </w:pPr>
          </w:p>
        </w:tc>
        <w:tc>
          <w:tcPr>
            <w:tcW w:w="70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2"/>
                <w:szCs w:val="12"/>
                <w:color w:val="auto"/>
              </w:rPr>
              <w:t>RMB’000</w:t>
            </w:r>
          </w:p>
        </w:tc>
        <w:tc>
          <w:tcPr>
            <w:tcW w:w="160" w:type="dxa"/>
            <w:vAlign w:val="bottom"/>
          </w:tcPr>
          <w:p>
            <w:pPr>
              <w:spacing w:after="0"/>
              <w:rPr>
                <w:sz w:val="9"/>
                <w:szCs w:val="9"/>
                <w:color w:val="auto"/>
              </w:rPr>
            </w:pPr>
          </w:p>
        </w:tc>
        <w:tc>
          <w:tcPr>
            <w:tcW w:w="60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RMB’000</w:t>
            </w:r>
          </w:p>
        </w:tc>
        <w:tc>
          <w:tcPr>
            <w:tcW w:w="200" w:type="dxa"/>
            <w:vAlign w:val="bottom"/>
          </w:tcPr>
          <w:p>
            <w:pPr>
              <w:spacing w:after="0"/>
              <w:rPr>
                <w:sz w:val="9"/>
                <w:szCs w:val="9"/>
                <w:color w:val="auto"/>
              </w:rPr>
            </w:pPr>
          </w:p>
        </w:tc>
        <w:tc>
          <w:tcPr>
            <w:tcW w:w="58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RMB’000</w:t>
            </w:r>
          </w:p>
        </w:tc>
        <w:tc>
          <w:tcPr>
            <w:tcW w:w="160" w:type="dxa"/>
            <w:vAlign w:val="bottom"/>
          </w:tcPr>
          <w:p>
            <w:pPr>
              <w:spacing w:after="0"/>
              <w:rPr>
                <w:sz w:val="9"/>
                <w:szCs w:val="9"/>
                <w:color w:val="auto"/>
              </w:rPr>
            </w:pPr>
          </w:p>
        </w:tc>
        <w:tc>
          <w:tcPr>
            <w:tcW w:w="68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2"/>
                <w:szCs w:val="12"/>
                <w:color w:val="auto"/>
              </w:rPr>
              <w:t>RMB’000</w:t>
            </w:r>
          </w:p>
        </w:tc>
        <w:tc>
          <w:tcPr>
            <w:tcW w:w="200" w:type="dxa"/>
            <w:vAlign w:val="bottom"/>
          </w:tcPr>
          <w:p>
            <w:pPr>
              <w:spacing w:after="0"/>
              <w:rPr>
                <w:sz w:val="9"/>
                <w:szCs w:val="9"/>
                <w:color w:val="auto"/>
              </w:rPr>
            </w:pPr>
          </w:p>
        </w:tc>
        <w:tc>
          <w:tcPr>
            <w:tcW w:w="62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2"/>
                <w:szCs w:val="12"/>
                <w:color w:val="auto"/>
              </w:rPr>
              <w:t>RMB’000</w:t>
            </w:r>
          </w:p>
        </w:tc>
        <w:tc>
          <w:tcPr>
            <w:tcW w:w="200" w:type="dxa"/>
            <w:vAlign w:val="bottom"/>
          </w:tcPr>
          <w:p>
            <w:pPr>
              <w:spacing w:after="0"/>
              <w:rPr>
                <w:sz w:val="9"/>
                <w:szCs w:val="9"/>
                <w:color w:val="auto"/>
              </w:rPr>
            </w:pPr>
          </w:p>
        </w:tc>
        <w:tc>
          <w:tcPr>
            <w:tcW w:w="74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2"/>
                <w:szCs w:val="12"/>
                <w:color w:val="auto"/>
              </w:rPr>
              <w:t>RMB’000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color w:val="auto"/>
                <w:w w:val="98"/>
              </w:rPr>
              <w:t>(Note 29(b)</w:t>
            </w:r>
          </w:p>
        </w:tc>
        <w:tc>
          <w:tcPr>
            <w:tcW w:w="8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4"/>
              </w:rPr>
              <w:t>(Note 29(b)</w:t>
            </w:r>
          </w:p>
        </w:tc>
        <w:tc>
          <w:tcPr>
            <w:tcW w:w="7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color w:val="auto"/>
                <w:w w:val="94"/>
              </w:rPr>
              <w:t>(Note 29(b)</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w w:val="95"/>
              </w:rPr>
              <w:t>(Note 29(a))</w:t>
            </w: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5"/>
              </w:rPr>
              <w:t>(Note 29(a))</w:t>
            </w: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5"/>
              </w:rPr>
              <w:t>(Note 29(a))</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5"/>
              </w:rPr>
              <w:t>(Note 29(a))</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5"/>
              </w:rPr>
              <w:t>(Note 29(a))</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6"/>
              </w:rPr>
              <w:t>(i))</w:t>
            </w: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8"/>
              </w:rPr>
              <w:t>(ii))</w:t>
            </w: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2"/>
              </w:rPr>
              <w:t>(iii))</w:t>
            </w: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5"/>
              </w:rPr>
              <w:t>(Note 29(c))</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4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66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w:t>
            </w:r>
          </w:p>
        </w:tc>
        <w:tc>
          <w:tcPr>
            <w:tcW w:w="80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5</w:t>
            </w:r>
          </w:p>
        </w:tc>
        <w:tc>
          <w:tcPr>
            <w:tcW w:w="80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4</w:t>
            </w:r>
          </w:p>
        </w:tc>
        <w:tc>
          <w:tcPr>
            <w:tcW w:w="78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6</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1,046,621</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73,265</w:t>
            </w: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16,251</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823,753</w:t>
            </w:r>
          </w:p>
        </w:tc>
        <w:tc>
          <w:tcPr>
            <w:tcW w:w="8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(2,834,180)</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(91,841)</w:t>
            </w:r>
          </w:p>
        </w:tc>
        <w:tc>
          <w:tcPr>
            <w:tcW w:w="8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(966,109)</w:t>
            </w:r>
          </w:p>
        </w:tc>
        <w:tc>
          <w:tcPr>
            <w:tcW w:w="0" w:type="dxa"/>
            <w:vAlign w:val="bottom"/>
          </w:tcPr>
          <w:p>
            <w:pPr>
              <w:spacing w:after="0"/>
              <w:rPr>
                <w:sz w:val="1"/>
                <w:szCs w:val="1"/>
                <w:color w:val="auto"/>
              </w:rPr>
            </w:pPr>
          </w:p>
        </w:tc>
      </w:tr>
      <w:tr>
        <w:trPr>
          <w:trHeight w:val="173"/>
        </w:trPr>
        <w:tc>
          <w:tcPr>
            <w:tcW w:w="1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January 1, 2022</w:t>
            </w:r>
          </w:p>
        </w:tc>
        <w:tc>
          <w:tcPr>
            <w:tcW w:w="66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440" w:type="dxa"/>
            <w:vAlign w:val="bottom"/>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Changes in equity for</w:t>
            </w:r>
          </w:p>
        </w:tc>
        <w:tc>
          <w:tcPr>
            <w:tcW w:w="6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4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for the year</w:t>
            </w:r>
          </w:p>
        </w:tc>
        <w:tc>
          <w:tcPr>
            <w:tcW w:w="6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(1,298,496)</w:t>
            </w: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(1,298,496)</w:t>
            </w:r>
          </w:p>
        </w:tc>
        <w:tc>
          <w:tcPr>
            <w:tcW w:w="0" w:type="dxa"/>
            <w:vAlign w:val="bottom"/>
          </w:tcPr>
          <w:p>
            <w:pPr>
              <w:spacing w:after="0"/>
              <w:rPr>
                <w:sz w:val="1"/>
                <w:szCs w:val="1"/>
                <w:color w:val="auto"/>
              </w:rPr>
            </w:pPr>
          </w:p>
        </w:tc>
      </w:tr>
      <w:tr>
        <w:trPr>
          <w:trHeight w:val="126"/>
        </w:trPr>
        <w:tc>
          <w:tcPr>
            <w:tcW w:w="1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Foreign currency</w:t>
            </w: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translation</w:t>
            </w: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adjustment, net of nil</w:t>
            </w:r>
          </w:p>
        </w:tc>
        <w:tc>
          <w:tcPr>
            <w:tcW w:w="660" w:type="dxa"/>
            <w:vAlign w:val="bottom"/>
          </w:tcPr>
          <w:p>
            <w:pPr>
              <w:spacing w:after="0"/>
              <w:rPr>
                <w:sz w:val="12"/>
                <w:szCs w:val="12"/>
                <w:color w:val="auto"/>
              </w:rPr>
            </w:pPr>
          </w:p>
        </w:tc>
        <w:tc>
          <w:tcPr>
            <w:tcW w:w="64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w w:val="95"/>
              </w:rPr>
              <w:t>— </w:t>
            </w:r>
          </w:p>
        </w:tc>
        <w:tc>
          <w:tcPr>
            <w:tcW w:w="160" w:type="dxa"/>
            <w:vAlign w:val="bottom"/>
            <w:vMerge w:val="restart"/>
          </w:tcPr>
          <w:p>
            <w:pPr>
              <w:spacing w:after="0"/>
              <w:rPr>
                <w:sz w:val="12"/>
                <w:szCs w:val="12"/>
                <w:color w:val="auto"/>
              </w:rPr>
            </w:pPr>
          </w:p>
        </w:tc>
        <w:tc>
          <w:tcPr>
            <w:tcW w:w="64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w w:val="95"/>
              </w:rPr>
              <w:t>— </w:t>
            </w:r>
          </w:p>
        </w:tc>
        <w:tc>
          <w:tcPr>
            <w:tcW w:w="160" w:type="dxa"/>
            <w:vAlign w:val="bottom"/>
            <w:vMerge w:val="restart"/>
          </w:tcPr>
          <w:p>
            <w:pPr>
              <w:spacing w:after="0"/>
              <w:rPr>
                <w:sz w:val="12"/>
                <w:szCs w:val="12"/>
                <w:color w:val="auto"/>
              </w:rPr>
            </w:pPr>
          </w:p>
        </w:tc>
        <w:tc>
          <w:tcPr>
            <w:tcW w:w="62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w w:val="85"/>
              </w:rPr>
              <w:t>— </w:t>
            </w:r>
          </w:p>
        </w:tc>
        <w:tc>
          <w:tcPr>
            <w:tcW w:w="180" w:type="dxa"/>
            <w:vAlign w:val="bottom"/>
            <w:vMerge w:val="restart"/>
          </w:tcPr>
          <w:p>
            <w:pPr>
              <w:spacing w:after="0"/>
              <w:rPr>
                <w:sz w:val="12"/>
                <w:szCs w:val="12"/>
                <w:color w:val="auto"/>
              </w:rPr>
            </w:pPr>
          </w:p>
        </w:tc>
        <w:tc>
          <w:tcPr>
            <w:tcW w:w="62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w w:val="85"/>
              </w:rPr>
              <w:t>— </w:t>
            </w:r>
          </w:p>
        </w:tc>
        <w:tc>
          <w:tcPr>
            <w:tcW w:w="160" w:type="dxa"/>
            <w:vAlign w:val="bottom"/>
            <w:vMerge w:val="restart"/>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vMerge w:val="restart"/>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vMerge w:val="restart"/>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(177,575)</w:t>
            </w: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(177,575)</w:t>
            </w:r>
          </w:p>
        </w:tc>
        <w:tc>
          <w:tcPr>
            <w:tcW w:w="0" w:type="dxa"/>
            <w:vAlign w:val="bottom"/>
          </w:tcPr>
          <w:p>
            <w:pPr>
              <w:spacing w:after="0"/>
              <w:rPr>
                <w:sz w:val="1"/>
                <w:szCs w:val="1"/>
                <w:color w:val="auto"/>
              </w:rPr>
            </w:pPr>
          </w:p>
        </w:tc>
      </w:tr>
      <w:tr>
        <w:trPr>
          <w:trHeight w:val="171"/>
        </w:trPr>
        <w:tc>
          <w:tcPr>
            <w:tcW w:w="1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taxes</w:t>
            </w:r>
          </w:p>
        </w:tc>
        <w:tc>
          <w:tcPr>
            <w:tcW w:w="6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14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Total comprehensive</w:t>
            </w:r>
          </w:p>
        </w:tc>
        <w:tc>
          <w:tcPr>
            <w:tcW w:w="66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b w:val="1"/>
                <w:bCs w:val="1"/>
                <w:color w:val="auto"/>
                <w:w w:val="95"/>
              </w:rPr>
              <w:t>— </w:t>
            </w:r>
          </w:p>
        </w:tc>
        <w:tc>
          <w:tcPr>
            <w:tcW w:w="160" w:type="dxa"/>
            <w:vAlign w:val="bottom"/>
            <w:vMerge w:val="restart"/>
            <w:shd w:val="clear" w:color="auto" w:fill="CCEEFF"/>
          </w:tcPr>
          <w:p>
            <w:pPr>
              <w:spacing w:after="0"/>
              <w:rPr>
                <w:sz w:val="10"/>
                <w:szCs w:val="10"/>
                <w:color w:val="auto"/>
              </w:rPr>
            </w:pPr>
          </w:p>
        </w:tc>
        <w:tc>
          <w:tcPr>
            <w:tcW w:w="64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b w:val="1"/>
                <w:bCs w:val="1"/>
                <w:color w:val="auto"/>
                <w:w w:val="95"/>
              </w:rPr>
              <w:t>— </w:t>
            </w:r>
          </w:p>
        </w:tc>
        <w:tc>
          <w:tcPr>
            <w:tcW w:w="160" w:type="dxa"/>
            <w:vAlign w:val="bottom"/>
            <w:vMerge w:val="restart"/>
            <w:shd w:val="clear" w:color="auto" w:fill="CCEEFF"/>
          </w:tcPr>
          <w:p>
            <w:pPr>
              <w:spacing w:after="0"/>
              <w:rPr>
                <w:sz w:val="10"/>
                <w:szCs w:val="10"/>
                <w:color w:val="auto"/>
              </w:rPr>
            </w:pPr>
          </w:p>
        </w:tc>
        <w:tc>
          <w:tcPr>
            <w:tcW w:w="62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b w:val="1"/>
                <w:bCs w:val="1"/>
                <w:color w:val="auto"/>
                <w:w w:val="85"/>
              </w:rPr>
              <w:t>— </w:t>
            </w:r>
          </w:p>
        </w:tc>
        <w:tc>
          <w:tcPr>
            <w:tcW w:w="180" w:type="dxa"/>
            <w:vAlign w:val="bottom"/>
            <w:vMerge w:val="restart"/>
            <w:shd w:val="clear" w:color="auto" w:fill="CCEEFF"/>
          </w:tcPr>
          <w:p>
            <w:pPr>
              <w:spacing w:after="0"/>
              <w:rPr>
                <w:sz w:val="10"/>
                <w:szCs w:val="10"/>
                <w:color w:val="auto"/>
              </w:rPr>
            </w:pPr>
          </w:p>
        </w:tc>
        <w:tc>
          <w:tcPr>
            <w:tcW w:w="62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b w:val="1"/>
                <w:bCs w:val="1"/>
                <w:color w:val="auto"/>
                <w:w w:val="85"/>
              </w:rPr>
              <w:t>— </w:t>
            </w:r>
          </w:p>
        </w:tc>
        <w:tc>
          <w:tcPr>
            <w:tcW w:w="160" w:type="dxa"/>
            <w:vAlign w:val="bottom"/>
            <w:vMerge w:val="restart"/>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vMerge w:val="restart"/>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vMerge w:val="restart"/>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(177,575)</w:t>
            </w: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w:t>
            </w:r>
          </w:p>
        </w:tc>
        <w:tc>
          <w:tcPr>
            <w:tcW w:w="8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(1,298,496)</w:t>
            </w: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(1,476,071)</w:t>
            </w:r>
          </w:p>
        </w:tc>
        <w:tc>
          <w:tcPr>
            <w:tcW w:w="0" w:type="dxa"/>
            <w:vAlign w:val="bottom"/>
          </w:tcPr>
          <w:p>
            <w:pPr>
              <w:spacing w:after="0"/>
              <w:rPr>
                <w:sz w:val="1"/>
                <w:szCs w:val="1"/>
                <w:color w:val="auto"/>
              </w:rPr>
            </w:pPr>
          </w:p>
        </w:tc>
      </w:tr>
      <w:tr>
        <w:trPr>
          <w:trHeight w:val="173"/>
        </w:trPr>
        <w:tc>
          <w:tcPr>
            <w:tcW w:w="1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66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44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Share-based</w:t>
            </w:r>
          </w:p>
        </w:tc>
        <w:tc>
          <w:tcPr>
            <w:tcW w:w="6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7(i)</w:t>
            </w:r>
          </w:p>
        </w:tc>
        <w:tc>
          <w:tcPr>
            <w:tcW w:w="8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325,429</w:t>
            </w: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325,429</w:t>
            </w:r>
          </w:p>
        </w:tc>
        <w:tc>
          <w:tcPr>
            <w:tcW w:w="0" w:type="dxa"/>
            <w:vAlign w:val="bottom"/>
          </w:tcPr>
          <w:p>
            <w:pPr>
              <w:spacing w:after="0"/>
              <w:rPr>
                <w:sz w:val="1"/>
                <w:szCs w:val="1"/>
                <w:color w:val="auto"/>
              </w:rPr>
            </w:pPr>
          </w:p>
        </w:tc>
      </w:tr>
      <w:tr>
        <w:trPr>
          <w:trHeight w:val="171"/>
        </w:trPr>
        <w:tc>
          <w:tcPr>
            <w:tcW w:w="1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expenses</w:t>
            </w:r>
          </w:p>
        </w:tc>
        <w:tc>
          <w:tcPr>
            <w:tcW w:w="66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Exercise of warrants to</w:t>
            </w:r>
          </w:p>
        </w:tc>
        <w:tc>
          <w:tcPr>
            <w:tcW w:w="6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subscribe for</w:t>
            </w: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convertible</w:t>
            </w: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redeemable preferred</w:t>
            </w:r>
          </w:p>
        </w:tc>
        <w:tc>
          <w:tcPr>
            <w:tcW w:w="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27</w:t>
            </w:r>
          </w:p>
        </w:tc>
        <w:tc>
          <w:tcPr>
            <w:tcW w:w="8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79,512</w:t>
            </w:r>
          </w:p>
        </w:tc>
        <w:tc>
          <w:tcPr>
            <w:tcW w:w="8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79,512</w:t>
            </w:r>
          </w:p>
        </w:tc>
        <w:tc>
          <w:tcPr>
            <w:tcW w:w="0" w:type="dxa"/>
            <w:vAlign w:val="bottom"/>
          </w:tcPr>
          <w:p>
            <w:pPr>
              <w:spacing w:after="0"/>
              <w:rPr>
                <w:sz w:val="1"/>
                <w:szCs w:val="1"/>
                <w:color w:val="auto"/>
              </w:rPr>
            </w:pPr>
          </w:p>
        </w:tc>
      </w:tr>
      <w:tr>
        <w:trPr>
          <w:trHeight w:val="171"/>
        </w:trPr>
        <w:tc>
          <w:tcPr>
            <w:tcW w:w="1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66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new</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29(a)(iv)</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w:t>
            </w:r>
          </w:p>
        </w:tc>
        <w:tc>
          <w:tcPr>
            <w:tcW w:w="8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13,442</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13,443</w:t>
            </w:r>
          </w:p>
        </w:tc>
        <w:tc>
          <w:tcPr>
            <w:tcW w:w="0" w:type="dxa"/>
            <w:vAlign w:val="bottom"/>
          </w:tcPr>
          <w:p>
            <w:pPr>
              <w:spacing w:after="0"/>
              <w:rPr>
                <w:sz w:val="1"/>
                <w:szCs w:val="1"/>
                <w:color w:val="auto"/>
              </w:rPr>
            </w:pPr>
          </w:p>
        </w:tc>
      </w:tr>
      <w:tr>
        <w:trPr>
          <w:trHeight w:val="171"/>
        </w:trPr>
        <w:tc>
          <w:tcPr>
            <w:tcW w:w="1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ordinary shares</w:t>
            </w:r>
          </w:p>
        </w:tc>
        <w:tc>
          <w:tcPr>
            <w:tcW w:w="66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Repurchase of ordinary</w:t>
            </w:r>
          </w:p>
        </w:tc>
        <w:tc>
          <w:tcPr>
            <w:tcW w:w="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29(c)</w:t>
            </w:r>
          </w:p>
        </w:tc>
        <w:tc>
          <w:tcPr>
            <w:tcW w:w="8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(44,442)</w:t>
            </w:r>
          </w:p>
        </w:tc>
        <w:tc>
          <w:tcPr>
            <w:tcW w:w="8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(44,442)</w:t>
            </w:r>
          </w:p>
        </w:tc>
        <w:tc>
          <w:tcPr>
            <w:tcW w:w="0" w:type="dxa"/>
            <w:vAlign w:val="bottom"/>
          </w:tcPr>
          <w:p>
            <w:pPr>
              <w:spacing w:after="0"/>
              <w:rPr>
                <w:sz w:val="1"/>
                <w:szCs w:val="1"/>
                <w:color w:val="auto"/>
              </w:rPr>
            </w:pPr>
          </w:p>
        </w:tc>
      </w:tr>
      <w:tr>
        <w:trPr>
          <w:trHeight w:val="171"/>
        </w:trPr>
        <w:tc>
          <w:tcPr>
            <w:tcW w:w="1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66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Repurchase of</w:t>
            </w: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redeemable preferred</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29(c)</w:t>
            </w:r>
          </w:p>
        </w:tc>
        <w:tc>
          <w:tcPr>
            <w:tcW w:w="8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(20,358)</w:t>
            </w: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(20,358)</w:t>
            </w:r>
          </w:p>
        </w:tc>
        <w:tc>
          <w:tcPr>
            <w:tcW w:w="0" w:type="dxa"/>
            <w:vAlign w:val="bottom"/>
          </w:tcPr>
          <w:p>
            <w:pPr>
              <w:spacing w:after="0"/>
              <w:rPr>
                <w:sz w:val="1"/>
                <w:szCs w:val="1"/>
                <w:color w:val="auto"/>
              </w:rPr>
            </w:pPr>
          </w:p>
        </w:tc>
      </w:tr>
      <w:tr>
        <w:trPr>
          <w:trHeight w:val="171"/>
        </w:trPr>
        <w:tc>
          <w:tcPr>
            <w:tcW w:w="1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66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Sales of treasury shares</w:t>
            </w:r>
          </w:p>
        </w:tc>
        <w:tc>
          <w:tcPr>
            <w:tcW w:w="6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29(c)</w:t>
            </w:r>
          </w:p>
        </w:tc>
        <w:tc>
          <w:tcPr>
            <w:tcW w:w="80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1,507</w:t>
            </w: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4,973</w:t>
            </w: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6,480</w:t>
            </w:r>
          </w:p>
        </w:tc>
        <w:tc>
          <w:tcPr>
            <w:tcW w:w="0" w:type="dxa"/>
            <w:vAlign w:val="bottom"/>
          </w:tcPr>
          <w:p>
            <w:pPr>
              <w:spacing w:after="0"/>
              <w:rPr>
                <w:sz w:val="1"/>
                <w:szCs w:val="1"/>
                <w:color w:val="auto"/>
              </w:rPr>
            </w:pPr>
          </w:p>
        </w:tc>
      </w:tr>
      <w:tr>
        <w:trPr>
          <w:trHeight w:val="155"/>
        </w:trPr>
        <w:tc>
          <w:tcPr>
            <w:tcW w:w="1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w:t>
            </w:r>
          </w:p>
        </w:tc>
        <w:tc>
          <w:tcPr>
            <w:tcW w:w="160" w:type="dxa"/>
            <w:vAlign w:val="bottom"/>
          </w:tcPr>
          <w:p>
            <w:pPr>
              <w:spacing w:after="0"/>
              <w:rPr>
                <w:sz w:val="13"/>
                <w:szCs w:val="13"/>
                <w:color w:val="auto"/>
              </w:rPr>
            </w:pPr>
          </w:p>
        </w:tc>
        <w:tc>
          <w:tcPr>
            <w:tcW w:w="640" w:type="dxa"/>
            <w:vAlign w:val="bottom"/>
            <w:tcBorders>
              <w:top w:val="single" w:sz="8" w:color="auto"/>
              <w:bottom w:val="single" w:sz="8" w:color="auto"/>
            </w:tcBorders>
          </w:tcPr>
          <w:p>
            <w:pPr>
              <w:ind w:left="420"/>
              <w:spacing w:after="0" w:line="155" w:lineRule="exact"/>
              <w:rPr>
                <w:sz w:val="20"/>
                <w:szCs w:val="20"/>
                <w:color w:val="auto"/>
              </w:rPr>
            </w:pPr>
            <w:r>
              <w:rPr>
                <w:rFonts w:ascii="Times New Roman" w:cs="Times New Roman" w:eastAsia="Times New Roman" w:hAnsi="Times New Roman"/>
                <w:sz w:val="14"/>
                <w:szCs w:val="14"/>
                <w:b w:val="1"/>
                <w:bCs w:val="1"/>
                <w:color w:val="auto"/>
                <w:w w:val="95"/>
              </w:rPr>
              <w:t>— </w:t>
            </w:r>
          </w:p>
        </w:tc>
        <w:tc>
          <w:tcPr>
            <w:tcW w:w="160" w:type="dxa"/>
            <w:vAlign w:val="bottom"/>
          </w:tcPr>
          <w:p>
            <w:pPr>
              <w:spacing w:after="0"/>
              <w:rPr>
                <w:sz w:val="13"/>
                <w:szCs w:val="13"/>
                <w:color w:val="auto"/>
              </w:rPr>
            </w:pPr>
          </w:p>
        </w:tc>
        <w:tc>
          <w:tcPr>
            <w:tcW w:w="620" w:type="dxa"/>
            <w:vAlign w:val="bottom"/>
            <w:tcBorders>
              <w:top w:val="single" w:sz="8" w:color="auto"/>
              <w:bottom w:val="single" w:sz="8" w:color="auto"/>
            </w:tcBorders>
          </w:tcPr>
          <w:p>
            <w:pPr>
              <w:ind w:left="420"/>
              <w:spacing w:after="0" w:line="155" w:lineRule="exact"/>
              <w:rPr>
                <w:sz w:val="20"/>
                <w:szCs w:val="20"/>
                <w:color w:val="auto"/>
              </w:rPr>
            </w:pPr>
            <w:r>
              <w:rPr>
                <w:rFonts w:ascii="Times New Roman" w:cs="Times New Roman" w:eastAsia="Times New Roman" w:hAnsi="Times New Roman"/>
                <w:sz w:val="14"/>
                <w:szCs w:val="14"/>
                <w:b w:val="1"/>
                <w:bCs w:val="1"/>
                <w:color w:val="auto"/>
                <w:w w:val="85"/>
              </w:rPr>
              <w:t>— </w:t>
            </w:r>
          </w:p>
        </w:tc>
        <w:tc>
          <w:tcPr>
            <w:tcW w:w="180" w:type="dxa"/>
            <w:vAlign w:val="bottom"/>
          </w:tcPr>
          <w:p>
            <w:pPr>
              <w:spacing w:after="0"/>
              <w:rPr>
                <w:sz w:val="13"/>
                <w:szCs w:val="13"/>
                <w:color w:val="auto"/>
              </w:rPr>
            </w:pPr>
          </w:p>
        </w:tc>
        <w:tc>
          <w:tcPr>
            <w:tcW w:w="620" w:type="dxa"/>
            <w:vAlign w:val="bottom"/>
            <w:tcBorders>
              <w:top w:val="single" w:sz="8" w:color="auto"/>
              <w:bottom w:val="single" w:sz="8" w:color="auto"/>
            </w:tcBorders>
          </w:tcPr>
          <w:p>
            <w:pPr>
              <w:ind w:left="420"/>
              <w:spacing w:after="0" w:line="155" w:lineRule="exact"/>
              <w:rPr>
                <w:sz w:val="20"/>
                <w:szCs w:val="20"/>
                <w:color w:val="auto"/>
              </w:rPr>
            </w:pPr>
            <w:r>
              <w:rPr>
                <w:rFonts w:ascii="Times New Roman" w:cs="Times New Roman" w:eastAsia="Times New Roman" w:hAnsi="Times New Roman"/>
                <w:sz w:val="14"/>
                <w:szCs w:val="14"/>
                <w:b w:val="1"/>
                <w:bCs w:val="1"/>
                <w:color w:val="auto"/>
                <w:w w:val="85"/>
              </w:rPr>
              <w:t>— </w:t>
            </w:r>
          </w:p>
        </w:tc>
        <w:tc>
          <w:tcPr>
            <w:tcW w:w="16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14,949</w:t>
            </w:r>
          </w:p>
        </w:tc>
        <w:tc>
          <w:tcPr>
            <w:tcW w:w="16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325,429</w:t>
            </w:r>
          </w:p>
        </w:tc>
        <w:tc>
          <w:tcPr>
            <w:tcW w:w="16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79,512</w:t>
            </w:r>
          </w:p>
        </w:tc>
        <w:tc>
          <w:tcPr>
            <w:tcW w:w="160" w:type="dxa"/>
            <w:vAlign w:val="bottom"/>
          </w:tcPr>
          <w:p>
            <w:pPr>
              <w:spacing w:after="0"/>
              <w:rPr>
                <w:sz w:val="13"/>
                <w:szCs w:val="13"/>
                <w:color w:val="auto"/>
              </w:rPr>
            </w:pPr>
          </w:p>
        </w:tc>
        <w:tc>
          <w:tcPr>
            <w:tcW w:w="680" w:type="dxa"/>
            <w:vAlign w:val="bottom"/>
            <w:tcBorders>
              <w:top w:val="single" w:sz="8" w:color="auto"/>
              <w:bottom w:val="single" w:sz="8" w:color="auto"/>
            </w:tcBorders>
          </w:tcPr>
          <w:p>
            <w:pPr>
              <w:ind w:left="460"/>
              <w:spacing w:after="0" w:line="155" w:lineRule="exact"/>
              <w:rPr>
                <w:sz w:val="20"/>
                <w:szCs w:val="20"/>
                <w:color w:val="auto"/>
              </w:rPr>
            </w:pPr>
            <w:r>
              <w:rPr>
                <w:rFonts w:ascii="Times New Roman" w:cs="Times New Roman" w:eastAsia="Times New Roman" w:hAnsi="Times New Roman"/>
                <w:sz w:val="14"/>
                <w:szCs w:val="14"/>
                <w:b w:val="1"/>
                <w:bCs w:val="1"/>
                <w:color w:val="auto"/>
                <w:w w:val="95"/>
              </w:rPr>
              <w:t>— </w:t>
            </w:r>
          </w:p>
        </w:tc>
        <w:tc>
          <w:tcPr>
            <w:tcW w:w="20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(59,827)</w:t>
            </w:r>
          </w:p>
        </w:tc>
        <w:tc>
          <w:tcPr>
            <w:tcW w:w="20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360,064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44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66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8</w:t>
            </w:r>
          </w:p>
        </w:tc>
        <w:tc>
          <w:tcPr>
            <w:tcW w:w="80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5</w:t>
            </w:r>
          </w:p>
        </w:tc>
        <w:tc>
          <w:tcPr>
            <w:tcW w:w="80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4</w:t>
            </w:r>
          </w:p>
        </w:tc>
        <w:tc>
          <w:tcPr>
            <w:tcW w:w="78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6</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1,061,570</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398,694</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(161,324)</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903,265</w:t>
            </w:r>
          </w:p>
        </w:tc>
        <w:tc>
          <w:tcPr>
            <w:tcW w:w="8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(4,132,676)</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(151,668)</w:t>
            </w:r>
          </w:p>
        </w:tc>
        <w:tc>
          <w:tcPr>
            <w:tcW w:w="8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(2,082,116)</w:t>
            </w:r>
          </w:p>
        </w:tc>
        <w:tc>
          <w:tcPr>
            <w:tcW w:w="0" w:type="dxa"/>
            <w:vAlign w:val="bottom"/>
          </w:tcPr>
          <w:p>
            <w:pPr>
              <w:spacing w:after="0"/>
              <w:rPr>
                <w:sz w:val="1"/>
                <w:szCs w:val="1"/>
                <w:color w:val="auto"/>
              </w:rPr>
            </w:pPr>
          </w:p>
        </w:tc>
      </w:tr>
      <w:tr>
        <w:trPr>
          <w:trHeight w:val="173"/>
        </w:trPr>
        <w:tc>
          <w:tcPr>
            <w:tcW w:w="1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66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Represents amounts less than RMB1,000.</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40"/>
          </w:cols>
          <w:pgMar w:left="320" w:top="482" w:right="4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 (continued)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(Expressed in thousands of RMB)</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5"/>
              </w:rPr>
              <w:t>Series Seed-1</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8"/>
              </w:rPr>
              <w:t>Series Seed-2</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4"/>
              </w:rPr>
              <w:t>Series A</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i w:val="1"/>
                <w:iCs w:val="1"/>
                <w:color w:val="auto"/>
                <w:w w:val="98"/>
              </w:rPr>
              <w:t>Share-based</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i w:val="1"/>
                <w:iCs w:val="1"/>
                <w:color w:val="auto"/>
                <w:w w:val="94"/>
              </w:rPr>
              <w:t>Ordinary</w:t>
            </w:r>
          </w:p>
        </w:tc>
        <w:tc>
          <w:tcPr>
            <w:tcW w:w="8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color w:val="auto"/>
                <w:w w:val="99"/>
              </w:rPr>
              <w:t>Preferred</w:t>
            </w:r>
          </w:p>
        </w:tc>
        <w:tc>
          <w:tcPr>
            <w:tcW w:w="8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color w:val="auto"/>
                <w:w w:val="95"/>
              </w:rPr>
              <w:t>Preferred</w:t>
            </w:r>
          </w:p>
        </w:tc>
        <w:tc>
          <w:tcPr>
            <w:tcW w:w="7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color w:val="auto"/>
                <w:w w:val="95"/>
              </w:rPr>
              <w:t>Preferred</w:t>
            </w:r>
          </w:p>
        </w:tc>
        <w:tc>
          <w:tcPr>
            <w:tcW w:w="7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i w:val="1"/>
                <w:iCs w:val="1"/>
                <w:color w:val="auto"/>
                <w:w w:val="98"/>
              </w:rPr>
              <w:t>Share</w:t>
            </w:r>
          </w:p>
        </w:tc>
        <w:tc>
          <w:tcPr>
            <w:tcW w:w="8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i w:val="1"/>
                <w:iCs w:val="1"/>
                <w:color w:val="auto"/>
                <w:w w:val="96"/>
              </w:rPr>
              <w:t>compensation</w:t>
            </w: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i w:val="1"/>
                <w:iCs w:val="1"/>
                <w:color w:val="auto"/>
                <w:w w:val="95"/>
              </w:rPr>
              <w:t>Translation</w:t>
            </w:r>
          </w:p>
        </w:tc>
        <w:tc>
          <w:tcPr>
            <w:tcW w:w="7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i w:val="1"/>
                <w:iCs w:val="1"/>
                <w:color w:val="auto"/>
                <w:w w:val="98"/>
              </w:rPr>
              <w:t>Other</w:t>
            </w:r>
          </w:p>
        </w:tc>
        <w:tc>
          <w:tcPr>
            <w:tcW w:w="8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i w:val="1"/>
                <w:iCs w:val="1"/>
                <w:color w:val="auto"/>
                <w:w w:val="97"/>
              </w:rPr>
              <w:t>Accumulated</w:t>
            </w:r>
          </w:p>
        </w:tc>
        <w:tc>
          <w:tcPr>
            <w:tcW w:w="8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i w:val="1"/>
                <w:iCs w:val="1"/>
                <w:color w:val="auto"/>
                <w:w w:val="93"/>
              </w:rPr>
              <w:t>Treasury</w:t>
            </w:r>
          </w:p>
        </w:tc>
        <w:tc>
          <w:tcPr>
            <w:tcW w:w="8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i w:val="1"/>
                <w:iCs w:val="1"/>
                <w:color w:val="auto"/>
                <w:w w:val="94"/>
              </w:rPr>
              <w:t>Total</w:t>
            </w:r>
          </w:p>
        </w:tc>
        <w:tc>
          <w:tcPr>
            <w:tcW w:w="0" w:type="dxa"/>
            <w:vAlign w:val="bottom"/>
          </w:tcPr>
          <w:p>
            <w:pPr>
              <w:spacing w:after="0"/>
              <w:rPr>
                <w:sz w:val="1"/>
                <w:szCs w:val="1"/>
                <w:color w:val="auto"/>
              </w:rPr>
            </w:pPr>
          </w:p>
        </w:tc>
      </w:tr>
      <w:tr>
        <w:trPr>
          <w:trHeight w:val="155"/>
        </w:trPr>
        <w:tc>
          <w:tcPr>
            <w:tcW w:w="1420" w:type="dxa"/>
            <w:vAlign w:val="bottom"/>
          </w:tcPr>
          <w:p>
            <w:pPr>
              <w:spacing w:after="0"/>
              <w:rPr>
                <w:sz w:val="13"/>
                <w:szCs w:val="13"/>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3"/>
                <w:szCs w:val="13"/>
                <w:i w:val="1"/>
                <w:iCs w:val="1"/>
                <w:color w:val="auto"/>
              </w:rPr>
              <w:t>Note</w:t>
            </w: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i w:val="1"/>
                <w:iCs w:val="1"/>
                <w:color w:val="auto"/>
                <w:w w:val="94"/>
              </w:rPr>
              <w:t>shares</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7"/>
              </w:rPr>
              <w:t>Shares</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7"/>
              </w:rPr>
              <w:t>Shares</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7"/>
              </w:rPr>
              <w:t>Shares</w:t>
            </w: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i w:val="1"/>
                <w:iCs w:val="1"/>
                <w:color w:val="auto"/>
                <w:w w:val="95"/>
              </w:rPr>
              <w:t>premium</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i w:val="1"/>
                <w:iCs w:val="1"/>
                <w:color w:val="auto"/>
                <w:w w:val="99"/>
              </w:rPr>
              <w:t>reserve</w:t>
            </w: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i w:val="1"/>
                <w:iCs w:val="1"/>
                <w:color w:val="auto"/>
                <w:w w:val="93"/>
              </w:rPr>
              <w:t>reserve</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i w:val="1"/>
                <w:iCs w:val="1"/>
                <w:color w:val="auto"/>
                <w:w w:val="96"/>
              </w:rPr>
              <w:t>reserves</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i w:val="1"/>
                <w:iCs w:val="1"/>
                <w:color w:val="auto"/>
                <w:w w:val="96"/>
              </w:rPr>
              <w:t>losses</w:t>
            </w: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i w:val="1"/>
                <w:iCs w:val="1"/>
                <w:color w:val="auto"/>
                <w:w w:val="94"/>
              </w:rPr>
              <w:t>shares</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w w:val="96"/>
              </w:rPr>
              <w:t>equity/(deficit)</w:t>
            </w:r>
          </w:p>
        </w:tc>
        <w:tc>
          <w:tcPr>
            <w:tcW w:w="0" w:type="dxa"/>
            <w:vAlign w:val="bottom"/>
          </w:tcPr>
          <w:p>
            <w:pPr>
              <w:spacing w:after="0"/>
              <w:rPr>
                <w:sz w:val="1"/>
                <w:szCs w:val="1"/>
                <w:color w:val="auto"/>
              </w:rPr>
            </w:pPr>
          </w:p>
        </w:tc>
      </w:tr>
      <w:tr>
        <w:trPr>
          <w:trHeight w:val="110"/>
        </w:trPr>
        <w:tc>
          <w:tcPr>
            <w:tcW w:w="1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2"/>
                <w:szCs w:val="12"/>
                <w:color w:val="auto"/>
              </w:rPr>
              <w:t>RMB’000</w:t>
            </w:r>
          </w:p>
        </w:tc>
        <w:tc>
          <w:tcPr>
            <w:tcW w:w="160" w:type="dxa"/>
            <w:vAlign w:val="bottom"/>
          </w:tcPr>
          <w:p>
            <w:pPr>
              <w:spacing w:after="0"/>
              <w:rPr>
                <w:sz w:val="9"/>
                <w:szCs w:val="9"/>
                <w:color w:val="auto"/>
              </w:rPr>
            </w:pPr>
          </w:p>
        </w:tc>
        <w:tc>
          <w:tcPr>
            <w:tcW w:w="70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2"/>
                <w:szCs w:val="12"/>
                <w:color w:val="auto"/>
              </w:rPr>
              <w:t>RMB’000</w:t>
            </w:r>
          </w:p>
        </w:tc>
        <w:tc>
          <w:tcPr>
            <w:tcW w:w="140" w:type="dxa"/>
            <w:vAlign w:val="bottom"/>
          </w:tcPr>
          <w:p>
            <w:pPr>
              <w:spacing w:after="0"/>
              <w:rPr>
                <w:sz w:val="9"/>
                <w:szCs w:val="9"/>
                <w:color w:val="auto"/>
              </w:rPr>
            </w:pPr>
          </w:p>
        </w:tc>
        <w:tc>
          <w:tcPr>
            <w:tcW w:w="70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2"/>
                <w:szCs w:val="12"/>
                <w:color w:val="auto"/>
              </w:rPr>
              <w:t>RMB’000</w:t>
            </w:r>
          </w:p>
        </w:tc>
        <w:tc>
          <w:tcPr>
            <w:tcW w:w="160" w:type="dxa"/>
            <w:vAlign w:val="bottom"/>
          </w:tcPr>
          <w:p>
            <w:pPr>
              <w:spacing w:after="0"/>
              <w:rPr>
                <w:sz w:val="9"/>
                <w:szCs w:val="9"/>
                <w:color w:val="auto"/>
              </w:rPr>
            </w:pPr>
          </w:p>
        </w:tc>
        <w:tc>
          <w:tcPr>
            <w:tcW w:w="62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2"/>
                <w:szCs w:val="12"/>
                <w:color w:val="auto"/>
              </w:rPr>
              <w:t>RMB’000</w:t>
            </w:r>
          </w:p>
        </w:tc>
        <w:tc>
          <w:tcPr>
            <w:tcW w:w="160" w:type="dxa"/>
            <w:vAlign w:val="bottom"/>
          </w:tcPr>
          <w:p>
            <w:pPr>
              <w:spacing w:after="0"/>
              <w:rPr>
                <w:sz w:val="9"/>
                <w:szCs w:val="9"/>
                <w:color w:val="auto"/>
              </w:rPr>
            </w:pPr>
          </w:p>
        </w:tc>
        <w:tc>
          <w:tcPr>
            <w:tcW w:w="62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2"/>
                <w:szCs w:val="12"/>
                <w:color w:val="auto"/>
              </w:rPr>
              <w:t>RMB’000</w:t>
            </w:r>
          </w:p>
        </w:tc>
        <w:tc>
          <w:tcPr>
            <w:tcW w:w="160" w:type="dxa"/>
            <w:vAlign w:val="bottom"/>
          </w:tcPr>
          <w:p>
            <w:pPr>
              <w:spacing w:after="0"/>
              <w:rPr>
                <w:sz w:val="9"/>
                <w:szCs w:val="9"/>
                <w:color w:val="auto"/>
              </w:rPr>
            </w:pPr>
          </w:p>
        </w:tc>
        <w:tc>
          <w:tcPr>
            <w:tcW w:w="70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2"/>
                <w:szCs w:val="12"/>
                <w:color w:val="auto"/>
              </w:rPr>
              <w:t>RMB’000</w:t>
            </w:r>
          </w:p>
        </w:tc>
        <w:tc>
          <w:tcPr>
            <w:tcW w:w="140" w:type="dxa"/>
            <w:vAlign w:val="bottom"/>
          </w:tcPr>
          <w:p>
            <w:pPr>
              <w:spacing w:after="0"/>
              <w:rPr>
                <w:sz w:val="9"/>
                <w:szCs w:val="9"/>
                <w:color w:val="auto"/>
              </w:rPr>
            </w:pPr>
          </w:p>
        </w:tc>
        <w:tc>
          <w:tcPr>
            <w:tcW w:w="60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RMB’000</w:t>
            </w:r>
          </w:p>
        </w:tc>
        <w:tc>
          <w:tcPr>
            <w:tcW w:w="160" w:type="dxa"/>
            <w:vAlign w:val="bottom"/>
          </w:tcPr>
          <w:p>
            <w:pPr>
              <w:spacing w:after="0"/>
              <w:rPr>
                <w:sz w:val="9"/>
                <w:szCs w:val="9"/>
                <w:color w:val="auto"/>
              </w:rPr>
            </w:pPr>
          </w:p>
        </w:tc>
        <w:tc>
          <w:tcPr>
            <w:tcW w:w="62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RMB’000</w:t>
            </w:r>
          </w:p>
        </w:tc>
        <w:tc>
          <w:tcPr>
            <w:tcW w:w="160" w:type="dxa"/>
            <w:vAlign w:val="bottom"/>
          </w:tcPr>
          <w:p>
            <w:pPr>
              <w:spacing w:after="0"/>
              <w:rPr>
                <w:sz w:val="9"/>
                <w:szCs w:val="9"/>
                <w:color w:val="auto"/>
              </w:rPr>
            </w:pPr>
          </w:p>
        </w:tc>
        <w:tc>
          <w:tcPr>
            <w:tcW w:w="66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2"/>
                <w:szCs w:val="12"/>
                <w:color w:val="auto"/>
              </w:rPr>
              <w:t>RMB’000</w:t>
            </w:r>
          </w:p>
        </w:tc>
        <w:tc>
          <w:tcPr>
            <w:tcW w:w="180" w:type="dxa"/>
            <w:vAlign w:val="bottom"/>
          </w:tcPr>
          <w:p>
            <w:pPr>
              <w:spacing w:after="0"/>
              <w:rPr>
                <w:sz w:val="9"/>
                <w:szCs w:val="9"/>
                <w:color w:val="auto"/>
              </w:rPr>
            </w:pPr>
          </w:p>
        </w:tc>
        <w:tc>
          <w:tcPr>
            <w:tcW w:w="64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2"/>
                <w:szCs w:val="12"/>
                <w:color w:val="auto"/>
              </w:rPr>
              <w:t>RMB’000</w:t>
            </w:r>
          </w:p>
        </w:tc>
        <w:tc>
          <w:tcPr>
            <w:tcW w:w="180" w:type="dxa"/>
            <w:vAlign w:val="bottom"/>
          </w:tcPr>
          <w:p>
            <w:pPr>
              <w:spacing w:after="0"/>
              <w:rPr>
                <w:sz w:val="9"/>
                <w:szCs w:val="9"/>
                <w:color w:val="auto"/>
              </w:rPr>
            </w:pPr>
          </w:p>
        </w:tc>
        <w:tc>
          <w:tcPr>
            <w:tcW w:w="74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2"/>
                <w:szCs w:val="12"/>
                <w:color w:val="auto"/>
              </w:rPr>
              <w:t>RMB’000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(Note 29(b)</w:t>
            </w: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color w:val="auto"/>
                <w:w w:val="94"/>
              </w:rPr>
              <w:t>(Note 29(b)</w:t>
            </w:r>
          </w:p>
        </w:tc>
        <w:tc>
          <w:tcPr>
            <w:tcW w:w="7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color w:val="auto"/>
                <w:w w:val="98"/>
              </w:rPr>
              <w:t>(Note 29(b)</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5"/>
              </w:rPr>
              <w:t>(Note 29(a))</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8"/>
              </w:rPr>
              <w:t>(Note 29(a))</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8"/>
              </w:rPr>
              <w:t>(Note 29(a))</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5"/>
              </w:rPr>
              <w:t>(Note 29(a))</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5"/>
              </w:rPr>
              <w:t>(Note 29(a))</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(i))</w:t>
            </w: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8"/>
              </w:rPr>
              <w:t>(ii))</w:t>
            </w: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(iii))</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8"/>
              </w:rPr>
              <w:t>(Note 29(c))</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4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66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b w:val="1"/>
                <w:bCs w:val="1"/>
                <w:color w:val="auto"/>
              </w:rPr>
              <w:t>8</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5</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4</w:t>
            </w:r>
          </w:p>
        </w:tc>
        <w:tc>
          <w:tcPr>
            <w:tcW w:w="78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6</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1,061,570</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398,694</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(161,324)</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903,265</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(4,132,676)</w:t>
            </w:r>
          </w:p>
        </w:tc>
        <w:tc>
          <w:tcPr>
            <w:tcW w:w="8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(151,668)</w:t>
            </w:r>
          </w:p>
        </w:tc>
        <w:tc>
          <w:tcPr>
            <w:tcW w:w="8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(2,082,116)</w:t>
            </w:r>
          </w:p>
        </w:tc>
        <w:tc>
          <w:tcPr>
            <w:tcW w:w="0" w:type="dxa"/>
            <w:vAlign w:val="bottom"/>
          </w:tcPr>
          <w:p>
            <w:pPr>
              <w:spacing w:after="0"/>
              <w:rPr>
                <w:sz w:val="1"/>
                <w:szCs w:val="1"/>
                <w:color w:val="auto"/>
              </w:rPr>
            </w:pPr>
          </w:p>
        </w:tc>
      </w:tr>
      <w:tr>
        <w:trPr>
          <w:trHeight w:val="173"/>
        </w:trPr>
        <w:tc>
          <w:tcPr>
            <w:tcW w:w="1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January 1, 2023</w:t>
            </w:r>
          </w:p>
        </w:tc>
        <w:tc>
          <w:tcPr>
            <w:tcW w:w="66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420" w:type="dxa"/>
            <w:vAlign w:val="bottom"/>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Changes in equity for</w:t>
            </w:r>
          </w:p>
        </w:tc>
        <w:tc>
          <w:tcPr>
            <w:tcW w:w="6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4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for the year</w:t>
            </w:r>
          </w:p>
        </w:tc>
        <w:tc>
          <w:tcPr>
            <w:tcW w:w="6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(1,949,101)</w:t>
            </w:r>
          </w:p>
        </w:tc>
        <w:tc>
          <w:tcPr>
            <w:tcW w:w="82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(1,949,101)</w:t>
            </w:r>
          </w:p>
        </w:tc>
        <w:tc>
          <w:tcPr>
            <w:tcW w:w="0" w:type="dxa"/>
            <w:vAlign w:val="bottom"/>
          </w:tcPr>
          <w:p>
            <w:pPr>
              <w:spacing w:after="0"/>
              <w:rPr>
                <w:sz w:val="1"/>
                <w:szCs w:val="1"/>
                <w:color w:val="auto"/>
              </w:rPr>
            </w:pPr>
          </w:p>
        </w:tc>
      </w:tr>
      <w:tr>
        <w:trPr>
          <w:trHeight w:val="126"/>
        </w:trPr>
        <w:tc>
          <w:tcPr>
            <w:tcW w:w="14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Foreign currency</w:t>
            </w: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translation</w:t>
            </w: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adjustment, net of</w:t>
            </w:r>
          </w:p>
        </w:tc>
        <w:tc>
          <w:tcPr>
            <w:tcW w:w="660" w:type="dxa"/>
            <w:vAlign w:val="bottom"/>
          </w:tcPr>
          <w:p>
            <w:pPr>
              <w:spacing w:after="0"/>
              <w:rPr>
                <w:sz w:val="12"/>
                <w:szCs w:val="12"/>
                <w:color w:val="auto"/>
              </w:rPr>
            </w:pPr>
          </w:p>
        </w:tc>
        <w:tc>
          <w:tcPr>
            <w:tcW w:w="64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w w:val="95"/>
              </w:rPr>
              <w:t>— </w:t>
            </w:r>
          </w:p>
        </w:tc>
        <w:tc>
          <w:tcPr>
            <w:tcW w:w="160" w:type="dxa"/>
            <w:vAlign w:val="bottom"/>
            <w:vMerge w:val="restart"/>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vMerge w:val="restart"/>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vMerge w:val="restart"/>
          </w:tcPr>
          <w:p>
            <w:pPr>
              <w:spacing w:after="0"/>
              <w:rPr>
                <w:sz w:val="12"/>
                <w:szCs w:val="12"/>
                <w:color w:val="auto"/>
              </w:rPr>
            </w:pPr>
          </w:p>
        </w:tc>
        <w:tc>
          <w:tcPr>
            <w:tcW w:w="62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w w:val="85"/>
              </w:rPr>
              <w:t>— </w:t>
            </w:r>
          </w:p>
        </w:tc>
        <w:tc>
          <w:tcPr>
            <w:tcW w:w="160" w:type="dxa"/>
            <w:vAlign w:val="bottom"/>
            <w:vMerge w:val="restart"/>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vMerge w:val="restart"/>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vMerge w:val="restart"/>
          </w:tcPr>
          <w:p>
            <w:pPr>
              <w:spacing w:after="0"/>
              <w:rPr>
                <w:sz w:val="12"/>
                <w:szCs w:val="12"/>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(73,323)</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(73,323)</w:t>
            </w:r>
          </w:p>
        </w:tc>
        <w:tc>
          <w:tcPr>
            <w:tcW w:w="0" w:type="dxa"/>
            <w:vAlign w:val="bottom"/>
          </w:tcPr>
          <w:p>
            <w:pPr>
              <w:spacing w:after="0"/>
              <w:rPr>
                <w:sz w:val="1"/>
                <w:szCs w:val="1"/>
                <w:color w:val="auto"/>
              </w:rPr>
            </w:pPr>
          </w:p>
        </w:tc>
      </w:tr>
      <w:tr>
        <w:trPr>
          <w:trHeight w:val="171"/>
        </w:trPr>
        <w:tc>
          <w:tcPr>
            <w:tcW w:w="1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nil income taxes</w:t>
            </w:r>
          </w:p>
        </w:tc>
        <w:tc>
          <w:tcPr>
            <w:tcW w:w="6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14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Total comprehensive</w:t>
            </w:r>
          </w:p>
        </w:tc>
        <w:tc>
          <w:tcPr>
            <w:tcW w:w="66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b w:val="1"/>
                <w:bCs w:val="1"/>
                <w:color w:val="auto"/>
                <w:w w:val="95"/>
              </w:rPr>
              <w:t>— </w:t>
            </w:r>
          </w:p>
        </w:tc>
        <w:tc>
          <w:tcPr>
            <w:tcW w:w="160" w:type="dxa"/>
            <w:vAlign w:val="bottom"/>
            <w:vMerge w:val="restart"/>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vMerge w:val="restart"/>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vMerge w:val="restart"/>
            <w:shd w:val="clear" w:color="auto" w:fill="CCEEFF"/>
          </w:tcPr>
          <w:p>
            <w:pPr>
              <w:spacing w:after="0"/>
              <w:rPr>
                <w:sz w:val="10"/>
                <w:szCs w:val="10"/>
                <w:color w:val="auto"/>
              </w:rPr>
            </w:pPr>
          </w:p>
        </w:tc>
        <w:tc>
          <w:tcPr>
            <w:tcW w:w="62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b w:val="1"/>
                <w:bCs w:val="1"/>
                <w:color w:val="auto"/>
                <w:w w:val="85"/>
              </w:rPr>
              <w:t>— </w:t>
            </w:r>
          </w:p>
        </w:tc>
        <w:tc>
          <w:tcPr>
            <w:tcW w:w="160" w:type="dxa"/>
            <w:vAlign w:val="bottom"/>
            <w:vMerge w:val="restart"/>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vMerge w:val="restart"/>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vMerge w:val="restart"/>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(73,323)</w:t>
            </w: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(1,949,101)</w:t>
            </w:r>
          </w:p>
        </w:tc>
        <w:tc>
          <w:tcPr>
            <w:tcW w:w="8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(2,022,424)</w:t>
            </w:r>
          </w:p>
        </w:tc>
        <w:tc>
          <w:tcPr>
            <w:tcW w:w="0" w:type="dxa"/>
            <w:vAlign w:val="bottom"/>
          </w:tcPr>
          <w:p>
            <w:pPr>
              <w:spacing w:after="0"/>
              <w:rPr>
                <w:sz w:val="1"/>
                <w:szCs w:val="1"/>
                <w:color w:val="auto"/>
              </w:rPr>
            </w:pPr>
          </w:p>
        </w:tc>
      </w:tr>
      <w:tr>
        <w:trPr>
          <w:trHeight w:val="173"/>
        </w:trPr>
        <w:tc>
          <w:tcPr>
            <w:tcW w:w="1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66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42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Share-based</w:t>
            </w:r>
          </w:p>
        </w:tc>
        <w:tc>
          <w:tcPr>
            <w:tcW w:w="6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7(i)</w:t>
            </w:r>
          </w:p>
        </w:tc>
        <w:tc>
          <w:tcPr>
            <w:tcW w:w="8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931,784</w:t>
            </w: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931,784</w:t>
            </w:r>
          </w:p>
        </w:tc>
        <w:tc>
          <w:tcPr>
            <w:tcW w:w="0" w:type="dxa"/>
            <w:vAlign w:val="bottom"/>
          </w:tcPr>
          <w:p>
            <w:pPr>
              <w:spacing w:after="0"/>
              <w:rPr>
                <w:sz w:val="1"/>
                <w:szCs w:val="1"/>
                <w:color w:val="auto"/>
              </w:rPr>
            </w:pPr>
          </w:p>
        </w:tc>
      </w:tr>
      <w:tr>
        <w:trPr>
          <w:trHeight w:val="171"/>
        </w:trPr>
        <w:tc>
          <w:tcPr>
            <w:tcW w:w="1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expenses</w:t>
            </w:r>
          </w:p>
        </w:tc>
        <w:tc>
          <w:tcPr>
            <w:tcW w:w="66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4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Exercise of warrants to</w:t>
            </w:r>
          </w:p>
        </w:tc>
        <w:tc>
          <w:tcPr>
            <w:tcW w:w="6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subscribe for non-</w:t>
            </w:r>
          </w:p>
        </w:tc>
        <w:tc>
          <w:tcPr>
            <w:tcW w:w="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redeemable</w:t>
            </w:r>
          </w:p>
        </w:tc>
        <w:tc>
          <w:tcPr>
            <w:tcW w:w="660" w:type="dxa"/>
            <w:vAlign w:val="bottom"/>
            <w:vMerge w:val="continue"/>
            <w:shd w:val="clear" w:color="auto" w:fill="CCEEFF"/>
          </w:tcPr>
          <w:p>
            <w:pPr>
              <w:spacing w:after="0"/>
              <w:rPr>
                <w:sz w:val="12"/>
                <w:szCs w:val="12"/>
                <w:color w:val="auto"/>
              </w:rPr>
            </w:pPr>
          </w:p>
        </w:tc>
        <w:tc>
          <w:tcPr>
            <w:tcW w:w="8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31</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111,055</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111,086</w:t>
            </w:r>
          </w:p>
        </w:tc>
        <w:tc>
          <w:tcPr>
            <w:tcW w:w="0" w:type="dxa"/>
            <w:vAlign w:val="bottom"/>
          </w:tcPr>
          <w:p>
            <w:pPr>
              <w:spacing w:after="0"/>
              <w:rPr>
                <w:sz w:val="1"/>
                <w:szCs w:val="1"/>
                <w:color w:val="auto"/>
              </w:rPr>
            </w:pPr>
          </w:p>
        </w:tc>
      </w:tr>
      <w:tr>
        <w:trPr>
          <w:trHeight w:val="171"/>
        </w:trPr>
        <w:tc>
          <w:tcPr>
            <w:tcW w:w="1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preferred shares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29(a)(v)</w:t>
            </w:r>
          </w:p>
        </w:tc>
        <w:tc>
          <w:tcPr>
            <w:tcW w:w="80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4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Deemed distribution to</w:t>
            </w: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 preferred</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27</w:t>
            </w:r>
          </w:p>
        </w:tc>
        <w:tc>
          <w:tcPr>
            <w:tcW w:w="8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(32,767)</w:t>
            </w:r>
          </w:p>
        </w:tc>
        <w:tc>
          <w:tcPr>
            <w:tcW w:w="8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(32,767)</w:t>
            </w:r>
          </w:p>
        </w:tc>
        <w:tc>
          <w:tcPr>
            <w:tcW w:w="0" w:type="dxa"/>
            <w:vAlign w:val="bottom"/>
          </w:tcPr>
          <w:p>
            <w:pPr>
              <w:spacing w:after="0"/>
              <w:rPr>
                <w:sz w:val="1"/>
                <w:szCs w:val="1"/>
                <w:color w:val="auto"/>
              </w:rPr>
            </w:pPr>
          </w:p>
        </w:tc>
      </w:tr>
      <w:tr>
        <w:trPr>
          <w:trHeight w:val="171"/>
        </w:trPr>
        <w:tc>
          <w:tcPr>
            <w:tcW w:w="1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shareholder</w:t>
            </w:r>
          </w:p>
        </w:tc>
        <w:tc>
          <w:tcPr>
            <w:tcW w:w="66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4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ordinary</w:t>
            </w:r>
          </w:p>
        </w:tc>
        <w:tc>
          <w:tcPr>
            <w:tcW w:w="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29(a)(v)</w:t>
            </w:r>
          </w:p>
        </w:tc>
        <w:tc>
          <w:tcPr>
            <w:tcW w:w="8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42,519</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42,519</w:t>
            </w:r>
          </w:p>
        </w:tc>
        <w:tc>
          <w:tcPr>
            <w:tcW w:w="0" w:type="dxa"/>
            <w:vAlign w:val="bottom"/>
          </w:tcPr>
          <w:p>
            <w:pPr>
              <w:spacing w:after="0"/>
              <w:rPr>
                <w:sz w:val="1"/>
                <w:szCs w:val="1"/>
                <w:color w:val="auto"/>
              </w:rPr>
            </w:pPr>
          </w:p>
        </w:tc>
      </w:tr>
      <w:tr>
        <w:trPr>
          <w:trHeight w:val="171"/>
        </w:trPr>
        <w:tc>
          <w:tcPr>
            <w:tcW w:w="1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66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Borders>
              <w:top w:val="single" w:sz="8" w:color="auto"/>
              <w:bottom w:val="single" w:sz="8" w:color="auto"/>
            </w:tcBorders>
          </w:tcPr>
          <w:p>
            <w:pPr>
              <w:ind w:left="420"/>
              <w:spacing w:after="0" w:line="155" w:lineRule="exact"/>
              <w:rPr>
                <w:sz w:val="20"/>
                <w:szCs w:val="20"/>
                <w:color w:val="auto"/>
              </w:rPr>
            </w:pPr>
            <w:r>
              <w:rPr>
                <w:rFonts w:ascii="Times New Roman" w:cs="Times New Roman" w:eastAsia="Times New Roman" w:hAnsi="Times New Roman"/>
                <w:sz w:val="14"/>
                <w:szCs w:val="14"/>
                <w:b w:val="1"/>
                <w:bCs w:val="1"/>
                <w:color w:val="auto"/>
                <w:w w:val="95"/>
              </w:rPr>
              <w:t>— </w:t>
            </w:r>
          </w:p>
        </w:tc>
        <w:tc>
          <w:tcPr>
            <w:tcW w:w="16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spacing w:after="0"/>
              <w:rPr>
                <w:sz w:val="13"/>
                <w:szCs w:val="13"/>
                <w:color w:val="auto"/>
              </w:rPr>
            </w:pPr>
          </w:p>
        </w:tc>
        <w:tc>
          <w:tcPr>
            <w:tcW w:w="620" w:type="dxa"/>
            <w:vAlign w:val="bottom"/>
            <w:tcBorders>
              <w:top w:val="single" w:sz="8" w:color="auto"/>
              <w:bottom w:val="single" w:sz="8" w:color="auto"/>
            </w:tcBorders>
          </w:tcPr>
          <w:p>
            <w:pPr>
              <w:ind w:left="420"/>
              <w:spacing w:after="0" w:line="155" w:lineRule="exact"/>
              <w:rPr>
                <w:sz w:val="20"/>
                <w:szCs w:val="20"/>
                <w:color w:val="auto"/>
              </w:rPr>
            </w:pPr>
            <w:r>
              <w:rPr>
                <w:rFonts w:ascii="Times New Roman" w:cs="Times New Roman" w:eastAsia="Times New Roman" w:hAnsi="Times New Roman"/>
                <w:sz w:val="14"/>
                <w:szCs w:val="14"/>
                <w:b w:val="1"/>
                <w:bCs w:val="1"/>
                <w:color w:val="auto"/>
                <w:w w:val="85"/>
              </w:rPr>
              <w:t>— </w:t>
            </w:r>
          </w:p>
        </w:tc>
        <w:tc>
          <w:tcPr>
            <w:tcW w:w="16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42,550</w:t>
            </w:r>
          </w:p>
        </w:tc>
        <w:tc>
          <w:tcPr>
            <w:tcW w:w="16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931,784</w:t>
            </w:r>
          </w:p>
        </w:tc>
        <w:tc>
          <w:tcPr>
            <w:tcW w:w="14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111,055</w:t>
            </w:r>
          </w:p>
        </w:tc>
        <w:tc>
          <w:tcPr>
            <w:tcW w:w="16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(32,767)</w:t>
            </w:r>
          </w:p>
        </w:tc>
        <w:tc>
          <w:tcPr>
            <w:tcW w:w="180" w:type="dxa"/>
            <w:vAlign w:val="bottom"/>
          </w:tcPr>
          <w:p>
            <w:pPr>
              <w:spacing w:after="0"/>
              <w:rPr>
                <w:sz w:val="13"/>
                <w:szCs w:val="13"/>
                <w:color w:val="auto"/>
              </w:rPr>
            </w:pPr>
          </w:p>
        </w:tc>
        <w:tc>
          <w:tcPr>
            <w:tcW w:w="640" w:type="dxa"/>
            <w:vAlign w:val="bottom"/>
            <w:tcBorders>
              <w:top w:val="single" w:sz="8" w:color="auto"/>
              <w:bottom w:val="single" w:sz="8" w:color="auto"/>
            </w:tcBorders>
          </w:tcPr>
          <w:p>
            <w:pPr>
              <w:ind w:left="420"/>
              <w:spacing w:after="0" w:line="155" w:lineRule="exact"/>
              <w:rPr>
                <w:sz w:val="20"/>
                <w:szCs w:val="20"/>
                <w:color w:val="auto"/>
              </w:rPr>
            </w:pPr>
            <w:r>
              <w:rPr>
                <w:rFonts w:ascii="Times New Roman" w:cs="Times New Roman" w:eastAsia="Times New Roman" w:hAnsi="Times New Roman"/>
                <w:sz w:val="14"/>
                <w:szCs w:val="14"/>
                <w:b w:val="1"/>
                <w:bCs w:val="1"/>
                <w:color w:val="auto"/>
                <w:w w:val="95"/>
              </w:rPr>
              <w:t>— </w:t>
            </w:r>
          </w:p>
        </w:tc>
        <w:tc>
          <w:tcPr>
            <w:tcW w:w="18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1,052,622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42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66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b w:val="1"/>
                <w:bCs w:val="1"/>
                <w:color w:val="auto"/>
              </w:rPr>
              <w:t>8</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5</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4</w:t>
            </w:r>
          </w:p>
        </w:tc>
        <w:tc>
          <w:tcPr>
            <w:tcW w:w="78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6</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1,104,120</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1,330,478</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(234,647)</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1,014,320</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(6,114,544)</w:t>
            </w:r>
          </w:p>
        </w:tc>
        <w:tc>
          <w:tcPr>
            <w:tcW w:w="8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(151,668)</w:t>
            </w:r>
          </w:p>
        </w:tc>
        <w:tc>
          <w:tcPr>
            <w:tcW w:w="8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(3,051,918)</w:t>
            </w:r>
          </w:p>
        </w:tc>
        <w:tc>
          <w:tcPr>
            <w:tcW w:w="0" w:type="dxa"/>
            <w:vAlign w:val="bottom"/>
          </w:tcPr>
          <w:p>
            <w:pPr>
              <w:spacing w:after="0"/>
              <w:rPr>
                <w:sz w:val="1"/>
                <w:szCs w:val="1"/>
                <w:color w:val="auto"/>
              </w:rPr>
            </w:pPr>
          </w:p>
        </w:tc>
      </w:tr>
      <w:tr>
        <w:trPr>
          <w:trHeight w:val="173"/>
        </w:trPr>
        <w:tc>
          <w:tcPr>
            <w:tcW w:w="1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6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Represents amounts less than RMB1,000.</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40"/>
          </w:cols>
          <w:pgMar w:left="320" w:top="482" w:right="4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 (continued)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(Expressed in thousands of RMB)</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1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1"/>
                <w:szCs w:val="11"/>
                <w:i w:val="1"/>
                <w:iCs w:val="1"/>
                <w:color w:val="auto"/>
                <w:w w:val="94"/>
              </w:rPr>
              <w:t>Class A</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i w:val="1"/>
                <w:iCs w:val="1"/>
                <w:color w:val="auto"/>
              </w:rPr>
              <w:t>Class B</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6"/>
              </w:rPr>
              <w:t>Series</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6"/>
              </w:rPr>
              <w:t>Series</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i w:val="1"/>
                <w:iCs w:val="1"/>
                <w:color w:val="auto"/>
                <w:w w:val="98"/>
              </w:rPr>
              <w:t>Share-based</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0" w:lineRule="exact"/>
              <w:rPr>
                <w:sz w:val="20"/>
                <w:szCs w:val="20"/>
                <w:color w:val="auto"/>
              </w:rPr>
            </w:pPr>
            <w:r>
              <w:rPr>
                <w:rFonts w:ascii="Times New Roman" w:cs="Times New Roman" w:eastAsia="Times New Roman" w:hAnsi="Times New Roman"/>
                <w:sz w:val="11"/>
                <w:szCs w:val="11"/>
                <w:color w:val="auto"/>
                <w:w w:val="98"/>
              </w:rPr>
              <w:t>Seed-1</w:t>
            </w:r>
          </w:p>
        </w:tc>
        <w:tc>
          <w:tcPr>
            <w:tcW w:w="660" w:type="dxa"/>
            <w:vAlign w:val="bottom"/>
            <w:gridSpan w:val="2"/>
          </w:tcPr>
          <w:p>
            <w:pPr>
              <w:jc w:val="center"/>
              <w:ind w:right="120"/>
              <w:spacing w:after="0" w:line="120" w:lineRule="exact"/>
              <w:rPr>
                <w:sz w:val="20"/>
                <w:szCs w:val="20"/>
                <w:color w:val="auto"/>
              </w:rPr>
            </w:pPr>
            <w:r>
              <w:rPr>
                <w:rFonts w:ascii="Times New Roman" w:cs="Times New Roman" w:eastAsia="Times New Roman" w:hAnsi="Times New Roman"/>
                <w:sz w:val="11"/>
                <w:szCs w:val="11"/>
                <w:color w:val="auto"/>
                <w:w w:val="98"/>
              </w:rPr>
              <w:t>Seed-2</w:t>
            </w:r>
          </w:p>
        </w:tc>
        <w:tc>
          <w:tcPr>
            <w:tcW w:w="660" w:type="dxa"/>
            <w:vAlign w:val="bottom"/>
            <w:gridSpan w:val="2"/>
          </w:tcPr>
          <w:p>
            <w:pPr>
              <w:jc w:val="center"/>
              <w:ind w:right="120"/>
              <w:spacing w:after="0" w:line="120" w:lineRule="exact"/>
              <w:rPr>
                <w:sz w:val="20"/>
                <w:szCs w:val="20"/>
                <w:color w:val="auto"/>
              </w:rPr>
            </w:pPr>
            <w:r>
              <w:rPr>
                <w:rFonts w:ascii="Times New Roman" w:cs="Times New Roman" w:eastAsia="Times New Roman" w:hAnsi="Times New Roman"/>
                <w:sz w:val="11"/>
                <w:szCs w:val="11"/>
                <w:color w:val="auto"/>
              </w:rPr>
              <w:t>Series A</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1"/>
                <w:szCs w:val="11"/>
                <w:i w:val="1"/>
                <w:iCs w:val="1"/>
                <w:color w:val="auto"/>
                <w:w w:val="98"/>
              </w:rPr>
              <w:t>ordinary</w:t>
            </w: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i w:val="1"/>
                <w:iCs w:val="1"/>
                <w:color w:val="auto"/>
                <w:w w:val="98"/>
              </w:rPr>
              <w:t>ordinary</w:t>
            </w:r>
          </w:p>
        </w:tc>
        <w:tc>
          <w:tcPr>
            <w:tcW w:w="80" w:type="dxa"/>
            <w:vAlign w:val="bottom"/>
          </w:tcPr>
          <w:p>
            <w:pPr>
              <w:spacing w:after="0"/>
              <w:rPr>
                <w:sz w:val="10"/>
                <w:szCs w:val="10"/>
                <w:color w:val="auto"/>
              </w:rPr>
            </w:pPr>
          </w:p>
        </w:tc>
        <w:tc>
          <w:tcPr>
            <w:tcW w:w="66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i w:val="1"/>
                <w:iCs w:val="1"/>
                <w:color w:val="auto"/>
                <w:w w:val="97"/>
              </w:rPr>
              <w:t>Ordinary</w:t>
            </w:r>
          </w:p>
        </w:tc>
        <w:tc>
          <w:tcPr>
            <w:tcW w:w="66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Preferred</w:t>
            </w:r>
          </w:p>
        </w:tc>
        <w:tc>
          <w:tcPr>
            <w:tcW w:w="6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rPr>
              <w:t>Preferred</w:t>
            </w:r>
          </w:p>
        </w:tc>
        <w:tc>
          <w:tcPr>
            <w:tcW w:w="6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color w:val="auto"/>
                <w:w w:val="97"/>
              </w:rPr>
              <w:t>Preferred</w:t>
            </w:r>
          </w:p>
        </w:tc>
        <w:tc>
          <w:tcPr>
            <w:tcW w:w="6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i w:val="1"/>
                <w:iCs w:val="1"/>
                <w:color w:val="auto"/>
              </w:rPr>
              <w:t>Share</w:t>
            </w:r>
          </w:p>
        </w:tc>
        <w:tc>
          <w:tcPr>
            <w:tcW w:w="78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i w:val="1"/>
                <w:iCs w:val="1"/>
                <w:color w:val="auto"/>
                <w:w w:val="98"/>
              </w:rPr>
              <w:t>compensation</w:t>
            </w:r>
          </w:p>
        </w:tc>
        <w:tc>
          <w:tcPr>
            <w:tcW w:w="7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i w:val="1"/>
                <w:iCs w:val="1"/>
                <w:color w:val="auto"/>
                <w:w w:val="97"/>
              </w:rPr>
              <w:t>Translation</w:t>
            </w: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i w:val="1"/>
                <w:iCs w:val="1"/>
                <w:color w:val="auto"/>
              </w:rPr>
              <w:t>Other</w:t>
            </w:r>
          </w:p>
        </w:tc>
        <w:tc>
          <w:tcPr>
            <w:tcW w:w="8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i w:val="1"/>
                <w:iCs w:val="1"/>
                <w:color w:val="auto"/>
              </w:rPr>
              <w:t>Accumulated</w:t>
            </w:r>
          </w:p>
        </w:tc>
        <w:tc>
          <w:tcPr>
            <w:tcW w:w="6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i w:val="1"/>
                <w:iCs w:val="1"/>
                <w:color w:val="auto"/>
                <w:w w:val="95"/>
              </w:rPr>
              <w:t>Treasury</w:t>
            </w:r>
          </w:p>
        </w:tc>
        <w:tc>
          <w:tcPr>
            <w:tcW w:w="72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i w:val="1"/>
                <w:iCs w:val="1"/>
                <w:color w:val="auto"/>
                <w:w w:val="85"/>
              </w:rPr>
              <w:t>Total</w:t>
            </w:r>
          </w:p>
        </w:tc>
        <w:tc>
          <w:tcPr>
            <w:tcW w:w="0" w:type="dxa"/>
            <w:vAlign w:val="bottom"/>
          </w:tcPr>
          <w:p>
            <w:pPr>
              <w:spacing w:after="0"/>
              <w:rPr>
                <w:sz w:val="1"/>
                <w:szCs w:val="1"/>
                <w:color w:val="auto"/>
              </w:rPr>
            </w:pPr>
          </w:p>
        </w:tc>
      </w:tr>
      <w:tr>
        <w:trPr>
          <w:trHeight w:val="137"/>
        </w:trPr>
        <w:tc>
          <w:tcPr>
            <w:tcW w:w="1420" w:type="dxa"/>
            <w:vAlign w:val="bottom"/>
          </w:tcPr>
          <w:p>
            <w:pPr>
              <w:spacing w:after="0"/>
              <w:rPr>
                <w:sz w:val="11"/>
                <w:szCs w:val="11"/>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1"/>
                <w:szCs w:val="11"/>
                <w:i w:val="1"/>
                <w:iCs w:val="1"/>
                <w:color w:val="auto"/>
              </w:rPr>
              <w:t>Note</w:t>
            </w:r>
          </w:p>
        </w:tc>
        <w:tc>
          <w:tcPr>
            <w:tcW w:w="66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i w:val="1"/>
                <w:iCs w:val="1"/>
                <w:color w:val="auto"/>
                <w:w w:val="97"/>
              </w:rPr>
              <w:t>shares</w:t>
            </w: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i w:val="1"/>
                <w:iCs w:val="1"/>
                <w:color w:val="auto"/>
                <w:w w:val="97"/>
              </w:rPr>
              <w:t>shares</w:t>
            </w:r>
          </w:p>
        </w:tc>
        <w:tc>
          <w:tcPr>
            <w:tcW w:w="80" w:type="dxa"/>
            <w:vAlign w:val="bottom"/>
          </w:tcPr>
          <w:p>
            <w:pPr>
              <w:spacing w:after="0"/>
              <w:rPr>
                <w:sz w:val="11"/>
                <w:szCs w:val="11"/>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i w:val="1"/>
                <w:iCs w:val="1"/>
                <w:color w:val="auto"/>
                <w:w w:val="97"/>
              </w:rPr>
              <w:t>shares</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Shares</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Shares</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Shares</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i w:val="1"/>
                <w:iCs w:val="1"/>
                <w:color w:val="auto"/>
                <w:w w:val="97"/>
              </w:rPr>
              <w:t>premium</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i w:val="1"/>
                <w:iCs w:val="1"/>
                <w:color w:val="auto"/>
                <w:w w:val="92"/>
              </w:rPr>
              <w:t>reserve</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i w:val="1"/>
                <w:iCs w:val="1"/>
                <w:color w:val="auto"/>
                <w:w w:val="92"/>
              </w:rPr>
              <w:t>reserve</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i w:val="1"/>
                <w:iCs w:val="1"/>
                <w:color w:val="auto"/>
                <w:w w:val="98"/>
              </w:rPr>
              <w:t>reserves</w:t>
            </w:r>
          </w:p>
        </w:tc>
        <w:tc>
          <w:tcPr>
            <w:tcW w:w="80" w:type="dxa"/>
            <w:vAlign w:val="bottom"/>
          </w:tcPr>
          <w:p>
            <w:pPr>
              <w:spacing w:after="0"/>
              <w:rPr>
                <w:sz w:val="11"/>
                <w:szCs w:val="11"/>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i w:val="1"/>
                <w:iCs w:val="1"/>
                <w:color w:val="auto"/>
                <w:w w:val="98"/>
              </w:rPr>
              <w:t>losses</w:t>
            </w: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i w:val="1"/>
                <w:iCs w:val="1"/>
                <w:color w:val="auto"/>
                <w:w w:val="97"/>
              </w:rPr>
              <w:t>shares</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i w:val="1"/>
                <w:iCs w:val="1"/>
                <w:color w:val="auto"/>
                <w:w w:val="98"/>
              </w:rPr>
              <w:t>equity/(deficit)</w:t>
            </w:r>
          </w:p>
        </w:tc>
        <w:tc>
          <w:tcPr>
            <w:tcW w:w="0" w:type="dxa"/>
            <w:vAlign w:val="bottom"/>
          </w:tcPr>
          <w:p>
            <w:pPr>
              <w:spacing w:after="0"/>
              <w:rPr>
                <w:sz w:val="1"/>
                <w:szCs w:val="1"/>
                <w:color w:val="auto"/>
              </w:rPr>
            </w:pPr>
          </w:p>
        </w:tc>
      </w:tr>
      <w:tr>
        <w:trPr>
          <w:trHeight w:val="101"/>
        </w:trPr>
        <w:tc>
          <w:tcPr>
            <w:tcW w:w="1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w w:val="98"/>
              </w:rPr>
              <w:t>RMB’000</w:t>
            </w:r>
          </w:p>
        </w:tc>
        <w:tc>
          <w:tcPr>
            <w:tcW w:w="120" w:type="dxa"/>
            <w:vAlign w:val="bottom"/>
            <w:gridSpan w:val="2"/>
          </w:tcPr>
          <w:p>
            <w:pPr>
              <w:spacing w:after="0"/>
              <w:rPr>
                <w:sz w:val="8"/>
                <w:szCs w:val="8"/>
                <w:color w:val="auto"/>
              </w:rPr>
            </w:pPr>
          </w:p>
        </w:tc>
        <w:tc>
          <w:tcPr>
            <w:tcW w:w="54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w w:val="98"/>
              </w:rPr>
              <w:t>RMB’000</w:t>
            </w:r>
          </w:p>
        </w:tc>
        <w:tc>
          <w:tcPr>
            <w:tcW w:w="80" w:type="dxa"/>
            <w:vAlign w:val="bottom"/>
          </w:tcPr>
          <w:p>
            <w:pPr>
              <w:spacing w:after="0"/>
              <w:rPr>
                <w:sz w:val="8"/>
                <w:szCs w:val="8"/>
                <w:color w:val="auto"/>
              </w:rPr>
            </w:pPr>
          </w:p>
        </w:tc>
        <w:tc>
          <w:tcPr>
            <w:tcW w:w="54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w w:val="98"/>
              </w:rPr>
              <w:t>RMB’000</w:t>
            </w:r>
          </w:p>
        </w:tc>
        <w:tc>
          <w:tcPr>
            <w:tcW w:w="120" w:type="dxa"/>
            <w:vAlign w:val="bottom"/>
          </w:tcPr>
          <w:p>
            <w:pPr>
              <w:spacing w:after="0"/>
              <w:rPr>
                <w:sz w:val="8"/>
                <w:szCs w:val="8"/>
                <w:color w:val="auto"/>
              </w:rPr>
            </w:pPr>
          </w:p>
        </w:tc>
        <w:tc>
          <w:tcPr>
            <w:tcW w:w="54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w w:val="98"/>
              </w:rPr>
              <w:t>RMB’000</w:t>
            </w:r>
          </w:p>
        </w:tc>
        <w:tc>
          <w:tcPr>
            <w:tcW w:w="120" w:type="dxa"/>
            <w:vAlign w:val="bottom"/>
          </w:tcPr>
          <w:p>
            <w:pPr>
              <w:spacing w:after="0"/>
              <w:rPr>
                <w:sz w:val="8"/>
                <w:szCs w:val="8"/>
                <w:color w:val="auto"/>
              </w:rPr>
            </w:pPr>
          </w:p>
        </w:tc>
        <w:tc>
          <w:tcPr>
            <w:tcW w:w="54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w w:val="94"/>
              </w:rPr>
              <w:t>RMB’000</w:t>
            </w:r>
          </w:p>
        </w:tc>
        <w:tc>
          <w:tcPr>
            <w:tcW w:w="120" w:type="dxa"/>
            <w:vAlign w:val="bottom"/>
          </w:tcPr>
          <w:p>
            <w:pPr>
              <w:spacing w:after="0"/>
              <w:rPr>
                <w:sz w:val="8"/>
                <w:szCs w:val="8"/>
                <w:color w:val="auto"/>
              </w:rPr>
            </w:pPr>
          </w:p>
        </w:tc>
        <w:tc>
          <w:tcPr>
            <w:tcW w:w="54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w w:val="98"/>
              </w:rPr>
              <w:t>RMB’000</w:t>
            </w:r>
          </w:p>
        </w:tc>
        <w:tc>
          <w:tcPr>
            <w:tcW w:w="120" w:type="dxa"/>
            <w:vAlign w:val="bottom"/>
          </w:tcPr>
          <w:p>
            <w:pPr>
              <w:spacing w:after="0"/>
              <w:rPr>
                <w:sz w:val="8"/>
                <w:szCs w:val="8"/>
                <w:color w:val="auto"/>
              </w:rPr>
            </w:pPr>
          </w:p>
        </w:tc>
        <w:tc>
          <w:tcPr>
            <w:tcW w:w="54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w w:val="98"/>
              </w:rPr>
              <w:t>RMB’000</w:t>
            </w:r>
          </w:p>
        </w:tc>
        <w:tc>
          <w:tcPr>
            <w:tcW w:w="120" w:type="dxa"/>
            <w:vAlign w:val="bottom"/>
          </w:tcPr>
          <w:p>
            <w:pPr>
              <w:spacing w:after="0"/>
              <w:rPr>
                <w:sz w:val="8"/>
                <w:szCs w:val="8"/>
                <w:color w:val="auto"/>
              </w:rPr>
            </w:pPr>
          </w:p>
        </w:tc>
        <w:tc>
          <w:tcPr>
            <w:tcW w:w="66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w w:val="98"/>
              </w:rPr>
              <w:t>RMB’000</w:t>
            </w:r>
          </w:p>
        </w:tc>
        <w:tc>
          <w:tcPr>
            <w:tcW w:w="120" w:type="dxa"/>
            <w:vAlign w:val="bottom"/>
          </w:tcPr>
          <w:p>
            <w:pPr>
              <w:spacing w:after="0"/>
              <w:rPr>
                <w:sz w:val="8"/>
                <w:szCs w:val="8"/>
                <w:color w:val="auto"/>
              </w:rPr>
            </w:pPr>
          </w:p>
        </w:tc>
        <w:tc>
          <w:tcPr>
            <w:tcW w:w="66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w w:val="98"/>
              </w:rPr>
              <w:t>RMB’000</w:t>
            </w:r>
          </w:p>
        </w:tc>
        <w:tc>
          <w:tcPr>
            <w:tcW w:w="120" w:type="dxa"/>
            <w:vAlign w:val="bottom"/>
          </w:tcPr>
          <w:p>
            <w:pPr>
              <w:spacing w:after="0"/>
              <w:rPr>
                <w:sz w:val="8"/>
                <w:szCs w:val="8"/>
                <w:color w:val="auto"/>
              </w:rPr>
            </w:pPr>
          </w:p>
        </w:tc>
        <w:tc>
          <w:tcPr>
            <w:tcW w:w="72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w w:val="98"/>
              </w:rPr>
              <w:t>RMB’000</w:t>
            </w:r>
          </w:p>
        </w:tc>
        <w:tc>
          <w:tcPr>
            <w:tcW w:w="80" w:type="dxa"/>
            <w:vAlign w:val="bottom"/>
          </w:tcPr>
          <w:p>
            <w:pPr>
              <w:spacing w:after="0"/>
              <w:rPr>
                <w:sz w:val="8"/>
                <w:szCs w:val="8"/>
                <w:color w:val="auto"/>
              </w:rPr>
            </w:pPr>
          </w:p>
        </w:tc>
        <w:tc>
          <w:tcPr>
            <w:tcW w:w="58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w w:val="94"/>
              </w:rPr>
              <w:t>RMB’000</w:t>
            </w:r>
          </w:p>
        </w:tc>
        <w:tc>
          <w:tcPr>
            <w:tcW w:w="120" w:type="dxa"/>
            <w:vAlign w:val="bottom"/>
          </w:tcPr>
          <w:p>
            <w:pPr>
              <w:spacing w:after="0"/>
              <w:rPr>
                <w:sz w:val="8"/>
                <w:szCs w:val="8"/>
                <w:color w:val="auto"/>
              </w:rPr>
            </w:pPr>
          </w:p>
        </w:tc>
        <w:tc>
          <w:tcPr>
            <w:tcW w:w="54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w w:val="98"/>
              </w:rPr>
              <w:t>RMB’000</w:t>
            </w:r>
          </w:p>
        </w:tc>
        <w:tc>
          <w:tcPr>
            <w:tcW w:w="120" w:type="dxa"/>
            <w:vAlign w:val="bottom"/>
          </w:tcPr>
          <w:p>
            <w:pPr>
              <w:spacing w:after="0"/>
              <w:rPr>
                <w:sz w:val="8"/>
                <w:szCs w:val="8"/>
                <w:color w:val="auto"/>
              </w:rPr>
            </w:pPr>
          </w:p>
        </w:tc>
        <w:tc>
          <w:tcPr>
            <w:tcW w:w="64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w w:val="98"/>
              </w:rPr>
              <w:t>RMB’000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color w:val="auto"/>
                <w:w w:val="98"/>
              </w:rPr>
              <w:t>(Note 29(a))</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5"/>
              </w:rPr>
              <w:t>(Note 29(a))</w:t>
            </w:r>
          </w:p>
        </w:tc>
        <w:tc>
          <w:tcPr>
            <w:tcW w:w="80" w:type="dxa"/>
            <w:vAlign w:val="bottom"/>
          </w:tcPr>
          <w:p>
            <w:pPr>
              <w:spacing w:after="0"/>
              <w:rPr>
                <w:sz w:val="11"/>
                <w:szCs w:val="11"/>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(Note 29(a))</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(Note 29(a))</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(Note 29(a))</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(Note 29(a))</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(Note 29(a))</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(Note 29(b)(i))</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5"/>
              </w:rPr>
              <w:t>(Note 29(b)(ii))</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(Note 29(b)(iii))</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(Note 29(c))</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4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Balance as of January 1, 2024</w:t>
            </w:r>
          </w:p>
        </w:tc>
        <w:tc>
          <w:tcPr>
            <w:tcW w:w="580" w:type="dxa"/>
            <w:vAlign w:val="bottom"/>
            <w:shd w:val="clear" w:color="auto" w:fill="CCEEFF"/>
          </w:tcPr>
          <w:p>
            <w:pPr>
              <w:spacing w:after="0"/>
              <w:rPr>
                <w:sz w:val="10"/>
                <w:szCs w:val="10"/>
                <w:color w:val="auto"/>
              </w:rPr>
            </w:pPr>
          </w:p>
        </w:tc>
        <w:tc>
          <w:tcPr>
            <w:tcW w:w="660" w:type="dxa"/>
            <w:vAlign w:val="bottom"/>
            <w:gridSpan w:val="3"/>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b w:val="1"/>
                <w:bCs w:val="1"/>
                <w:color w:val="auto"/>
              </w:rPr>
              <w:t>— </w:t>
            </w:r>
          </w:p>
        </w:tc>
        <w:tc>
          <w:tcPr>
            <w:tcW w:w="540" w:type="dxa"/>
            <w:vAlign w:val="bottom"/>
            <w:shd w:val="clear" w:color="auto" w:fill="CCEEFF"/>
          </w:tcPr>
          <w:p>
            <w:pPr>
              <w:ind w:left="380"/>
              <w:spacing w:after="0" w:line="122" w:lineRule="exact"/>
              <w:rPr>
                <w:sz w:val="20"/>
                <w:szCs w:val="20"/>
                <w:color w:val="auto"/>
              </w:rPr>
            </w:pPr>
            <w:r>
              <w:rPr>
                <w:rFonts w:ascii="Times New Roman" w:cs="Times New Roman" w:eastAsia="Times New Roman" w:hAnsi="Times New Roman"/>
                <w:sz w:val="11"/>
                <w:szCs w:val="11"/>
                <w:b w:val="1"/>
                <w:bCs w:val="1"/>
                <w:color w:val="auto"/>
                <w:w w:val="84"/>
              </w:rPr>
              <w:t>— </w:t>
            </w:r>
          </w:p>
        </w:tc>
        <w:tc>
          <w:tcPr>
            <w:tcW w:w="6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8</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1"/>
                <w:szCs w:val="11"/>
                <w:b w:val="1"/>
                <w:bCs w:val="1"/>
                <w:color w:val="auto"/>
              </w:rPr>
              <w:t>5</w:t>
            </w: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4</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1"/>
                <w:szCs w:val="11"/>
                <w:b w:val="1"/>
                <w:bCs w:val="1"/>
                <w:color w:val="auto"/>
              </w:rPr>
              <w:t>6</w:t>
            </w: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1,104,120</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1"/>
                <w:szCs w:val="11"/>
                <w:b w:val="1"/>
                <w:bCs w:val="1"/>
                <w:color w:val="auto"/>
              </w:rPr>
              <w:t>1,330,478</w:t>
            </w:r>
          </w:p>
        </w:tc>
        <w:tc>
          <w:tcPr>
            <w:tcW w:w="780" w:type="dxa"/>
            <w:vAlign w:val="bottom"/>
            <w:gridSpan w:val="2"/>
            <w:shd w:val="clear" w:color="auto" w:fill="CCEEFF"/>
          </w:tcPr>
          <w:p>
            <w:pPr>
              <w:ind w:left="280"/>
              <w:spacing w:after="0" w:line="122" w:lineRule="exact"/>
              <w:rPr>
                <w:sz w:val="20"/>
                <w:szCs w:val="20"/>
                <w:color w:val="auto"/>
              </w:rPr>
            </w:pPr>
            <w:r>
              <w:rPr>
                <w:rFonts w:ascii="Times New Roman" w:cs="Times New Roman" w:eastAsia="Times New Roman" w:hAnsi="Times New Roman"/>
                <w:sz w:val="11"/>
                <w:szCs w:val="11"/>
                <w:b w:val="1"/>
                <w:bCs w:val="1"/>
                <w:color w:val="auto"/>
              </w:rPr>
              <w:t>(234,647)</w:t>
            </w:r>
          </w:p>
        </w:tc>
        <w:tc>
          <w:tcPr>
            <w:tcW w:w="7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1,014,320</w:t>
            </w:r>
          </w:p>
        </w:tc>
        <w:tc>
          <w:tcPr>
            <w:tcW w:w="780" w:type="dxa"/>
            <w:vAlign w:val="bottom"/>
            <w:gridSpan w:val="3"/>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b w:val="1"/>
                <w:bCs w:val="1"/>
                <w:color w:val="auto"/>
              </w:rPr>
              <w:t>(6,114,544)</w:t>
            </w:r>
          </w:p>
        </w:tc>
        <w:tc>
          <w:tcPr>
            <w:tcW w:w="66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b w:val="1"/>
                <w:bCs w:val="1"/>
                <w:color w:val="auto"/>
              </w:rPr>
              <w:t>(151,668)</w:t>
            </w:r>
          </w:p>
        </w:tc>
        <w:tc>
          <w:tcPr>
            <w:tcW w:w="72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b w:val="1"/>
                <w:bCs w:val="1"/>
                <w:color w:val="auto"/>
              </w:rPr>
              <w:t>(3,051,918)</w:t>
            </w:r>
          </w:p>
        </w:tc>
        <w:tc>
          <w:tcPr>
            <w:tcW w:w="0" w:type="dxa"/>
            <w:vAlign w:val="bottom"/>
          </w:tcPr>
          <w:p>
            <w:pPr>
              <w:spacing w:after="0"/>
              <w:rPr>
                <w:sz w:val="1"/>
                <w:szCs w:val="1"/>
                <w:color w:val="auto"/>
              </w:rPr>
            </w:pPr>
          </w:p>
        </w:tc>
      </w:tr>
      <w:tr>
        <w:trPr>
          <w:trHeight w:val="129"/>
        </w:trPr>
        <w:tc>
          <w:tcPr>
            <w:tcW w:w="14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Changes in equity for 2024</w:t>
            </w:r>
          </w:p>
        </w:tc>
        <w:tc>
          <w:tcPr>
            <w:tcW w:w="5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4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Loss for the year</w:t>
            </w:r>
          </w:p>
        </w:tc>
        <w:tc>
          <w:tcPr>
            <w:tcW w:w="580" w:type="dxa"/>
            <w:vAlign w:val="bottom"/>
            <w:shd w:val="clear" w:color="auto" w:fill="CCEEFF"/>
          </w:tcPr>
          <w:p>
            <w:pPr>
              <w:spacing w:after="0"/>
              <w:rPr>
                <w:sz w:val="10"/>
                <w:szCs w:val="10"/>
                <w:color w:val="auto"/>
              </w:rPr>
            </w:pPr>
          </w:p>
        </w:tc>
        <w:tc>
          <w:tcPr>
            <w:tcW w:w="660" w:type="dxa"/>
            <w:vAlign w:val="bottom"/>
            <w:gridSpan w:val="3"/>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— </w:t>
            </w:r>
          </w:p>
        </w:tc>
        <w:tc>
          <w:tcPr>
            <w:tcW w:w="540" w:type="dxa"/>
            <w:vAlign w:val="bottom"/>
            <w:shd w:val="clear" w:color="auto" w:fill="CCEEFF"/>
          </w:tcPr>
          <w:p>
            <w:pPr>
              <w:ind w:left="380"/>
              <w:spacing w:after="0" w:line="122" w:lineRule="exact"/>
              <w:rPr>
                <w:sz w:val="20"/>
                <w:szCs w:val="20"/>
                <w:color w:val="auto"/>
              </w:rPr>
            </w:pPr>
            <w:r>
              <w:rPr>
                <w:rFonts w:ascii="Times New Roman" w:cs="Times New Roman" w:eastAsia="Times New Roman" w:hAnsi="Times New Roman"/>
                <w:sz w:val="11"/>
                <w:szCs w:val="11"/>
                <w:color w:val="auto"/>
                <w:w w:val="84"/>
              </w:rPr>
              <w:t>— </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— </w:t>
            </w:r>
          </w:p>
        </w:tc>
        <w:tc>
          <w:tcPr>
            <w:tcW w:w="78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— </w:t>
            </w:r>
          </w:p>
        </w:tc>
        <w:tc>
          <w:tcPr>
            <w:tcW w:w="780" w:type="dxa"/>
            <w:vAlign w:val="bottom"/>
            <w:gridSpan w:val="2"/>
            <w:shd w:val="clear" w:color="auto" w:fill="CCEEFF"/>
          </w:tcPr>
          <w:p>
            <w:pPr>
              <w:ind w:left="500"/>
              <w:spacing w:after="0" w:line="122" w:lineRule="exact"/>
              <w:rPr>
                <w:sz w:val="20"/>
                <w:szCs w:val="20"/>
                <w:color w:val="auto"/>
              </w:rPr>
            </w:pPr>
            <w:r>
              <w:rPr>
                <w:rFonts w:ascii="Times New Roman" w:cs="Times New Roman" w:eastAsia="Times New Roman" w:hAnsi="Times New Roman"/>
                <w:sz w:val="11"/>
                <w:szCs w:val="11"/>
                <w:color w:val="auto"/>
              </w:rPr>
              <w:t>— </w:t>
            </w:r>
          </w:p>
        </w:tc>
        <w:tc>
          <w:tcPr>
            <w:tcW w:w="7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— </w:t>
            </w:r>
          </w:p>
        </w:tc>
        <w:tc>
          <w:tcPr>
            <w:tcW w:w="780" w:type="dxa"/>
            <w:vAlign w:val="bottom"/>
            <w:gridSpan w:val="3"/>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(2,516,808)</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— </w:t>
            </w:r>
          </w:p>
        </w:tc>
        <w:tc>
          <w:tcPr>
            <w:tcW w:w="72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b w:val="1"/>
                <w:bCs w:val="1"/>
                <w:color w:val="auto"/>
              </w:rPr>
              <w:t>(2,516,808)</w:t>
            </w:r>
          </w:p>
        </w:tc>
        <w:tc>
          <w:tcPr>
            <w:tcW w:w="0" w:type="dxa"/>
            <w:vAlign w:val="bottom"/>
          </w:tcPr>
          <w:p>
            <w:pPr>
              <w:spacing w:after="0"/>
              <w:rPr>
                <w:sz w:val="1"/>
                <w:szCs w:val="1"/>
                <w:color w:val="auto"/>
              </w:rPr>
            </w:pPr>
          </w:p>
        </w:tc>
      </w:tr>
      <w:tr>
        <w:trPr>
          <w:trHeight w:val="108"/>
        </w:trPr>
        <w:tc>
          <w:tcPr>
            <w:tcW w:w="142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4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adjustment, net of nil income</w:t>
            </w: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38,364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4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taxes</w:t>
            </w:r>
          </w:p>
        </w:tc>
        <w:tc>
          <w:tcPr>
            <w:tcW w:w="580" w:type="dxa"/>
            <w:vAlign w:val="bottom"/>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20" w:type="dxa"/>
            <w:vAlign w:val="bottom"/>
            <w:gridSpan w:val="2"/>
          </w:tcPr>
          <w:p>
            <w:pPr>
              <w:spacing w:after="0"/>
              <w:rPr>
                <w:sz w:val="12"/>
                <w:szCs w:val="12"/>
                <w:color w:val="auto"/>
              </w:rPr>
            </w:pPr>
          </w:p>
        </w:tc>
        <w:tc>
          <w:tcPr>
            <w:tcW w:w="5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1"/>
                <w:szCs w:val="11"/>
                <w:color w:val="auto"/>
                <w:w w:val="84"/>
              </w:rPr>
              <w:t>— </w:t>
            </w:r>
          </w:p>
        </w:tc>
        <w:tc>
          <w:tcPr>
            <w:tcW w:w="80" w:type="dxa"/>
            <w:vAlign w:val="bottom"/>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20" w:type="dxa"/>
            <w:vAlign w:val="bottom"/>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20" w:type="dxa"/>
            <w:vAlign w:val="bottom"/>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20" w:type="dxa"/>
            <w:vAlign w:val="bottom"/>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20" w:type="dxa"/>
            <w:vAlign w:val="bottom"/>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2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20" w:type="dxa"/>
            <w:vAlign w:val="bottom"/>
          </w:tcPr>
          <w:p>
            <w:pPr>
              <w:spacing w:after="0"/>
              <w:rPr>
                <w:sz w:val="12"/>
                <w:szCs w:val="12"/>
                <w:color w:val="auto"/>
              </w:rPr>
            </w:pPr>
          </w:p>
        </w:tc>
        <w:tc>
          <w:tcPr>
            <w:tcW w:w="6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1"/>
                <w:szCs w:val="11"/>
                <w:color w:val="auto"/>
                <w:w w:val="85"/>
              </w:rPr>
              <w:t>38,364</w:t>
            </w:r>
          </w:p>
        </w:tc>
        <w:tc>
          <w:tcPr>
            <w:tcW w:w="120" w:type="dxa"/>
            <w:vAlign w:val="bottom"/>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80" w:type="dxa"/>
            <w:vAlign w:val="bottom"/>
          </w:tcPr>
          <w:p>
            <w:pPr>
              <w:spacing w:after="0"/>
              <w:rPr>
                <w:sz w:val="12"/>
                <w:szCs w:val="12"/>
                <w:color w:val="auto"/>
              </w:rPr>
            </w:pPr>
          </w:p>
        </w:tc>
        <w:tc>
          <w:tcPr>
            <w:tcW w:w="5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1"/>
                <w:szCs w:val="11"/>
                <w:color w:val="auto"/>
                <w:w w:val="84"/>
              </w:rPr>
              <w:t>— </w:t>
            </w:r>
          </w:p>
        </w:tc>
        <w:tc>
          <w:tcPr>
            <w:tcW w:w="120" w:type="dxa"/>
            <w:vAlign w:val="bottom"/>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20" w:type="dxa"/>
            <w:vAlign w:val="bottom"/>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4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Total comprehensive income</w:t>
            </w:r>
          </w:p>
        </w:tc>
        <w:tc>
          <w:tcPr>
            <w:tcW w:w="580" w:type="dxa"/>
            <w:vAlign w:val="bottom"/>
            <w:shd w:val="clear" w:color="auto" w:fill="CCEEFF"/>
          </w:tcPr>
          <w:p>
            <w:pPr>
              <w:spacing w:after="0"/>
              <w:rPr>
                <w:sz w:val="10"/>
                <w:szCs w:val="10"/>
                <w:color w:val="auto"/>
              </w:rPr>
            </w:pPr>
          </w:p>
        </w:tc>
        <w:tc>
          <w:tcPr>
            <w:tcW w:w="660" w:type="dxa"/>
            <w:vAlign w:val="bottom"/>
            <w:gridSpan w:val="3"/>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b w:val="1"/>
                <w:bCs w:val="1"/>
                <w:color w:val="auto"/>
              </w:rPr>
              <w:t>— </w:t>
            </w:r>
          </w:p>
        </w:tc>
        <w:tc>
          <w:tcPr>
            <w:tcW w:w="540" w:type="dxa"/>
            <w:vAlign w:val="bottom"/>
            <w:shd w:val="clear" w:color="auto" w:fill="CCEEFF"/>
          </w:tcPr>
          <w:p>
            <w:pPr>
              <w:ind w:left="380"/>
              <w:spacing w:after="0" w:line="122" w:lineRule="exact"/>
              <w:rPr>
                <w:sz w:val="20"/>
                <w:szCs w:val="20"/>
                <w:color w:val="auto"/>
              </w:rPr>
            </w:pPr>
            <w:r>
              <w:rPr>
                <w:rFonts w:ascii="Times New Roman" w:cs="Times New Roman" w:eastAsia="Times New Roman" w:hAnsi="Times New Roman"/>
                <w:sz w:val="11"/>
                <w:szCs w:val="11"/>
                <w:b w:val="1"/>
                <w:bCs w:val="1"/>
                <w:color w:val="auto"/>
                <w:w w:val="84"/>
              </w:rPr>
              <w:t>— </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b w:val="1"/>
                <w:bCs w:val="1"/>
                <w:color w:val="auto"/>
              </w:rPr>
              <w:t>— </w:t>
            </w:r>
          </w:p>
        </w:tc>
        <w:tc>
          <w:tcPr>
            <w:tcW w:w="66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b w:val="1"/>
                <w:bCs w:val="1"/>
                <w:color w:val="auto"/>
              </w:rPr>
              <w:t>— </w:t>
            </w:r>
          </w:p>
        </w:tc>
        <w:tc>
          <w:tcPr>
            <w:tcW w:w="66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b w:val="1"/>
                <w:bCs w:val="1"/>
                <w:color w:val="auto"/>
              </w:rPr>
              <w:t>— </w:t>
            </w:r>
          </w:p>
        </w:tc>
        <w:tc>
          <w:tcPr>
            <w:tcW w:w="66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b w:val="1"/>
                <w:bCs w:val="1"/>
                <w:color w:val="auto"/>
              </w:rPr>
              <w:t>— </w:t>
            </w:r>
          </w:p>
        </w:tc>
        <w:tc>
          <w:tcPr>
            <w:tcW w:w="66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b w:val="1"/>
                <w:bCs w:val="1"/>
                <w:color w:val="auto"/>
              </w:rPr>
              <w:t>— </w:t>
            </w:r>
          </w:p>
        </w:tc>
        <w:tc>
          <w:tcPr>
            <w:tcW w:w="78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b w:val="1"/>
                <w:bCs w:val="1"/>
                <w:color w:val="auto"/>
              </w:rPr>
              <w:t>— </w:t>
            </w:r>
          </w:p>
        </w:tc>
        <w:tc>
          <w:tcPr>
            <w:tcW w:w="660" w:type="dxa"/>
            <w:vAlign w:val="bottom"/>
            <w:shd w:val="clear" w:color="auto" w:fill="CCEEFF"/>
          </w:tcPr>
          <w:p>
            <w:pPr>
              <w:ind w:left="380"/>
              <w:spacing w:after="0" w:line="122" w:lineRule="exact"/>
              <w:rPr>
                <w:sz w:val="20"/>
                <w:szCs w:val="20"/>
                <w:color w:val="auto"/>
              </w:rPr>
            </w:pPr>
            <w:r>
              <w:rPr>
                <w:rFonts w:ascii="Times New Roman" w:cs="Times New Roman" w:eastAsia="Times New Roman" w:hAnsi="Times New Roman"/>
                <w:sz w:val="11"/>
                <w:szCs w:val="11"/>
                <w:b w:val="1"/>
                <w:bCs w:val="1"/>
                <w:color w:val="auto"/>
                <w:w w:val="85"/>
              </w:rPr>
              <w:t>38,364</w:t>
            </w: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— </w:t>
            </w:r>
          </w:p>
        </w:tc>
        <w:tc>
          <w:tcPr>
            <w:tcW w:w="780" w:type="dxa"/>
            <w:vAlign w:val="bottom"/>
            <w:gridSpan w:val="3"/>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b w:val="1"/>
                <w:bCs w:val="1"/>
                <w:color w:val="auto"/>
              </w:rPr>
              <w:t>(2,516,808)</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b w:val="1"/>
                <w:bCs w:val="1"/>
                <w:color w:val="auto"/>
              </w:rPr>
              <w:t>— </w:t>
            </w:r>
          </w:p>
        </w:tc>
        <w:tc>
          <w:tcPr>
            <w:tcW w:w="72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b w:val="1"/>
                <w:bCs w:val="1"/>
                <w:color w:val="auto"/>
              </w:rPr>
              <w:t>(2,478,444)</w:t>
            </w:r>
          </w:p>
        </w:tc>
        <w:tc>
          <w:tcPr>
            <w:tcW w:w="0" w:type="dxa"/>
            <w:vAlign w:val="bottom"/>
          </w:tcPr>
          <w:p>
            <w:pPr>
              <w:spacing w:after="0"/>
              <w:rPr>
                <w:sz w:val="1"/>
                <w:szCs w:val="1"/>
                <w:color w:val="auto"/>
              </w:rPr>
            </w:pPr>
          </w:p>
        </w:tc>
      </w:tr>
      <w:tr>
        <w:trPr>
          <w:trHeight w:val="115"/>
        </w:trPr>
        <w:tc>
          <w:tcPr>
            <w:tcW w:w="142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Share-based compensation</w:t>
            </w:r>
          </w:p>
        </w:tc>
        <w:tc>
          <w:tcPr>
            <w:tcW w:w="58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1,187,867</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expenses</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87"/>
              </w:rPr>
              <w:t>7(i)</w:t>
            </w: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— </w:t>
            </w:r>
          </w:p>
        </w:tc>
        <w:tc>
          <w:tcPr>
            <w:tcW w:w="540" w:type="dxa"/>
            <w:vAlign w:val="bottom"/>
          </w:tcPr>
          <w:p>
            <w:pPr>
              <w:ind w:left="380"/>
              <w:spacing w:after="0"/>
              <w:rPr>
                <w:sz w:val="20"/>
                <w:szCs w:val="20"/>
                <w:color w:val="auto"/>
              </w:rPr>
            </w:pPr>
            <w:r>
              <w:rPr>
                <w:rFonts w:ascii="Times New Roman" w:cs="Times New Roman" w:eastAsia="Times New Roman" w:hAnsi="Times New Roman"/>
                <w:sz w:val="11"/>
                <w:szCs w:val="11"/>
                <w:color w:val="auto"/>
                <w:w w:val="84"/>
              </w:rPr>
              <w:t>— </w:t>
            </w:r>
          </w:p>
        </w:tc>
        <w:tc>
          <w:tcPr>
            <w:tcW w:w="80" w:type="dxa"/>
            <w:vAlign w:val="bottom"/>
          </w:tcPr>
          <w:p>
            <w:pPr>
              <w:spacing w:after="0"/>
              <w:rPr>
                <w:sz w:val="11"/>
                <w:szCs w:val="11"/>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1,187,867</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80" w:type="dxa"/>
            <w:vAlign w:val="bottom"/>
          </w:tcPr>
          <w:p>
            <w:pPr>
              <w:spacing w:after="0"/>
              <w:rPr>
                <w:sz w:val="11"/>
                <w:szCs w:val="11"/>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— </w:t>
            </w: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42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Issuance of ordinary shares to</w:t>
            </w:r>
          </w:p>
        </w:tc>
        <w:tc>
          <w:tcPr>
            <w:tcW w:w="5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42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1"/>
                <w:szCs w:val="11"/>
                <w:color w:val="auto"/>
              </w:rPr>
              <w:t>settle vested restricted share</w:t>
            </w:r>
          </w:p>
        </w:tc>
        <w:tc>
          <w:tcPr>
            <w:tcW w:w="5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— </w:t>
            </w:r>
          </w:p>
        </w:tc>
        <w:tc>
          <w:tcPr>
            <w:tcW w:w="0" w:type="dxa"/>
            <w:vAlign w:val="bottom"/>
          </w:tcPr>
          <w:p>
            <w:pPr>
              <w:spacing w:after="0"/>
              <w:rPr>
                <w:sz w:val="1"/>
                <w:szCs w:val="1"/>
                <w:color w:val="auto"/>
              </w:rPr>
            </w:pPr>
          </w:p>
        </w:tc>
      </w:tr>
      <w:tr>
        <w:trPr>
          <w:trHeight w:val="135"/>
        </w:trPr>
        <w:tc>
          <w:tcPr>
            <w:tcW w:w="1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units (“RSUs”)</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29(a)(vi)</w:t>
            </w:r>
          </w:p>
        </w:tc>
        <w:tc>
          <w:tcPr>
            <w:tcW w:w="6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— </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w w:val="84"/>
              </w:rPr>
              <w:t>— 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(6)</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— </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— </w:t>
            </w:r>
          </w:p>
        </w:tc>
        <w:tc>
          <w:tcPr>
            <w:tcW w:w="7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42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Withholding of vested RSUs to</w:t>
            </w: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4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satisfy income tax</w:t>
            </w: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w w:val="99"/>
              </w:rPr>
              <w:t>requirements upon settlement</w:t>
            </w: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(394,195)</w:t>
            </w:r>
          </w:p>
        </w:tc>
        <w:tc>
          <w:tcPr>
            <w:tcW w:w="0" w:type="dxa"/>
            <w:vAlign w:val="bottom"/>
          </w:tcPr>
          <w:p>
            <w:pPr>
              <w:spacing w:after="0"/>
              <w:rPr>
                <w:sz w:val="1"/>
                <w:szCs w:val="1"/>
                <w:color w:val="auto"/>
              </w:rPr>
            </w:pPr>
          </w:p>
        </w:tc>
      </w:tr>
      <w:tr>
        <w:trPr>
          <w:trHeight w:val="135"/>
        </w:trPr>
        <w:tc>
          <w:tcPr>
            <w:tcW w:w="14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of vested RSUs</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34(c)</w:t>
            </w: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— </w:t>
            </w:r>
          </w:p>
        </w:tc>
        <w:tc>
          <w:tcPr>
            <w:tcW w:w="540" w:type="dxa"/>
            <w:vAlign w:val="bottom"/>
          </w:tcPr>
          <w:p>
            <w:pPr>
              <w:ind w:left="380"/>
              <w:spacing w:after="0"/>
              <w:rPr>
                <w:sz w:val="20"/>
                <w:szCs w:val="20"/>
                <w:color w:val="auto"/>
              </w:rPr>
            </w:pPr>
            <w:r>
              <w:rPr>
                <w:rFonts w:ascii="Times New Roman" w:cs="Times New Roman" w:eastAsia="Times New Roman" w:hAnsi="Times New Roman"/>
                <w:sz w:val="11"/>
                <w:szCs w:val="11"/>
                <w:color w:val="auto"/>
                <w:w w:val="84"/>
              </w:rPr>
              <w:t>— </w:t>
            </w:r>
          </w:p>
        </w:tc>
        <w:tc>
          <w:tcPr>
            <w:tcW w:w="80" w:type="dxa"/>
            <w:vAlign w:val="bottom"/>
          </w:tcPr>
          <w:p>
            <w:pPr>
              <w:spacing w:after="0"/>
              <w:rPr>
                <w:sz w:val="11"/>
                <w:szCs w:val="11"/>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(394,195)</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80" w:type="dxa"/>
            <w:vAlign w:val="bottom"/>
          </w:tcPr>
          <w:p>
            <w:pPr>
              <w:spacing w:after="0"/>
              <w:rPr>
                <w:sz w:val="11"/>
                <w:szCs w:val="11"/>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— </w:t>
            </w: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42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Bonus element in issuance of</w:t>
            </w:r>
          </w:p>
        </w:tc>
        <w:tc>
          <w:tcPr>
            <w:tcW w:w="5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42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1"/>
                <w:szCs w:val="11"/>
                <w:color w:val="auto"/>
              </w:rPr>
              <w:t>ordinary shares to Series D</w:t>
            </w:r>
          </w:p>
        </w:tc>
        <w:tc>
          <w:tcPr>
            <w:tcW w:w="5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2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1"/>
                <w:szCs w:val="11"/>
                <w:color w:val="auto"/>
              </w:rPr>
              <w:t>and Series D+ preferred</w:t>
            </w:r>
          </w:p>
        </w:tc>
        <w:tc>
          <w:tcPr>
            <w:tcW w:w="5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shareholders</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29(a)(vii)</w:t>
            </w:r>
          </w:p>
        </w:tc>
        <w:tc>
          <w:tcPr>
            <w:tcW w:w="6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— </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w w:val="84"/>
              </w:rPr>
              <w:t>— 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— </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— </w:t>
            </w:r>
          </w:p>
        </w:tc>
        <w:tc>
          <w:tcPr>
            <w:tcW w:w="6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42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Cancellation of other financial</w:t>
            </w: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4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instruments issued to an</w:t>
            </w: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4,528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investor</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21(e)(vi)</w:t>
            </w: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— </w:t>
            </w:r>
          </w:p>
        </w:tc>
        <w:tc>
          <w:tcPr>
            <w:tcW w:w="540" w:type="dxa"/>
            <w:vAlign w:val="bottom"/>
          </w:tcPr>
          <w:p>
            <w:pPr>
              <w:ind w:left="380"/>
              <w:spacing w:after="0"/>
              <w:rPr>
                <w:sz w:val="20"/>
                <w:szCs w:val="20"/>
                <w:color w:val="auto"/>
              </w:rPr>
            </w:pPr>
            <w:r>
              <w:rPr>
                <w:rFonts w:ascii="Times New Roman" w:cs="Times New Roman" w:eastAsia="Times New Roman" w:hAnsi="Times New Roman"/>
                <w:sz w:val="11"/>
                <w:szCs w:val="11"/>
                <w:color w:val="auto"/>
                <w:w w:val="84"/>
              </w:rPr>
              <w:t>— </w:t>
            </w:r>
          </w:p>
        </w:tc>
        <w:tc>
          <w:tcPr>
            <w:tcW w:w="80" w:type="dxa"/>
            <w:vAlign w:val="bottom"/>
          </w:tcPr>
          <w:p>
            <w:pPr>
              <w:spacing w:after="0"/>
              <w:rPr>
                <w:sz w:val="11"/>
                <w:szCs w:val="11"/>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— </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4,528</w:t>
            </w:r>
          </w:p>
        </w:tc>
        <w:tc>
          <w:tcPr>
            <w:tcW w:w="80" w:type="dxa"/>
            <w:vAlign w:val="bottom"/>
          </w:tcPr>
          <w:p>
            <w:pPr>
              <w:spacing w:after="0"/>
              <w:rPr>
                <w:sz w:val="11"/>
                <w:szCs w:val="11"/>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— </w:t>
            </w: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4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Cancellation of treasury shares</w:t>
            </w:r>
          </w:p>
        </w:tc>
        <w:tc>
          <w:tcPr>
            <w:tcW w:w="58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4"/>
              </w:rPr>
              <w:t>29(c)</w:t>
            </w:r>
          </w:p>
        </w:tc>
        <w:tc>
          <w:tcPr>
            <w:tcW w:w="660" w:type="dxa"/>
            <w:vAlign w:val="bottom"/>
            <w:gridSpan w:val="3"/>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w:t>
            </w:r>
          </w:p>
        </w:tc>
        <w:tc>
          <w:tcPr>
            <w:tcW w:w="540" w:type="dxa"/>
            <w:vAlign w:val="bottom"/>
            <w:shd w:val="clear" w:color="auto" w:fill="CCEEFF"/>
          </w:tcPr>
          <w:p>
            <w:pPr>
              <w:ind w:left="380"/>
              <w:spacing w:after="0" w:line="122" w:lineRule="exact"/>
              <w:rPr>
                <w:sz w:val="20"/>
                <w:szCs w:val="20"/>
                <w:color w:val="auto"/>
              </w:rPr>
            </w:pPr>
            <w:r>
              <w:rPr>
                <w:rFonts w:ascii="Times New Roman" w:cs="Times New Roman" w:eastAsia="Times New Roman" w:hAnsi="Times New Roman"/>
                <w:sz w:val="11"/>
                <w:szCs w:val="11"/>
                <w:color w:val="auto"/>
                <w:w w:val="84"/>
              </w:rPr>
              <w:t>— </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(151,667)</w:t>
            </w:r>
          </w:p>
        </w:tc>
        <w:tc>
          <w:tcPr>
            <w:tcW w:w="78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— </w:t>
            </w:r>
          </w:p>
        </w:tc>
        <w:tc>
          <w:tcPr>
            <w:tcW w:w="780" w:type="dxa"/>
            <w:vAlign w:val="bottom"/>
            <w:gridSpan w:val="2"/>
            <w:shd w:val="clear" w:color="auto" w:fill="CCEEFF"/>
          </w:tcPr>
          <w:p>
            <w:pPr>
              <w:ind w:left="500"/>
              <w:spacing w:after="0" w:line="122" w:lineRule="exact"/>
              <w:rPr>
                <w:sz w:val="20"/>
                <w:szCs w:val="20"/>
                <w:color w:val="auto"/>
              </w:rPr>
            </w:pPr>
            <w:r>
              <w:rPr>
                <w:rFonts w:ascii="Times New Roman" w:cs="Times New Roman" w:eastAsia="Times New Roman" w:hAnsi="Times New Roman"/>
                <w:sz w:val="11"/>
                <w:szCs w:val="11"/>
                <w:color w:val="auto"/>
              </w:rPr>
              <w:t>— </w:t>
            </w:r>
          </w:p>
        </w:tc>
        <w:tc>
          <w:tcPr>
            <w:tcW w:w="7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— </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ind w:left="420"/>
              <w:spacing w:after="0" w:line="122" w:lineRule="exact"/>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151,668</w:t>
            </w:r>
          </w:p>
        </w:tc>
        <w:tc>
          <w:tcPr>
            <w:tcW w:w="72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b w:val="1"/>
                <w:bCs w:val="1"/>
                <w:color w:val="auto"/>
              </w:rPr>
              <w:t>— </w:t>
            </w:r>
          </w:p>
        </w:tc>
        <w:tc>
          <w:tcPr>
            <w:tcW w:w="0" w:type="dxa"/>
            <w:vAlign w:val="bottom"/>
          </w:tcPr>
          <w:p>
            <w:pPr>
              <w:spacing w:after="0"/>
              <w:rPr>
                <w:sz w:val="1"/>
                <w:szCs w:val="1"/>
                <w:color w:val="auto"/>
              </w:rPr>
            </w:pPr>
          </w:p>
        </w:tc>
      </w:tr>
      <w:tr>
        <w:trPr>
          <w:trHeight w:val="115"/>
        </w:trPr>
        <w:tc>
          <w:tcPr>
            <w:tcW w:w="142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Issuance of Class A ordinary</w:t>
            </w:r>
          </w:p>
        </w:tc>
        <w:tc>
          <w:tcPr>
            <w:tcW w:w="58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4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shares relating to initial</w:t>
            </w: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public offering and exercise</w:t>
            </w: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of over-allotment option, net</w:t>
            </w: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of commissions and other</w:t>
            </w: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3,149,264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listing expenses</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29(a)(ix)</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1"/>
                <w:szCs w:val="11"/>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1"/>
                <w:szCs w:val="11"/>
                <w:color w:val="auto"/>
                <w:w w:val="84"/>
              </w:rPr>
              <w:t>— </w:t>
            </w:r>
          </w:p>
        </w:tc>
        <w:tc>
          <w:tcPr>
            <w:tcW w:w="80" w:type="dxa"/>
            <w:vAlign w:val="bottom"/>
          </w:tcPr>
          <w:p>
            <w:pPr>
              <w:spacing w:after="0"/>
              <w:rPr>
                <w:sz w:val="11"/>
                <w:szCs w:val="11"/>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3,149,258</w:t>
            </w:r>
          </w:p>
        </w:tc>
        <w:tc>
          <w:tcPr>
            <w:tcW w:w="12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— </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80" w:type="dxa"/>
            <w:vAlign w:val="bottom"/>
          </w:tcPr>
          <w:p>
            <w:pPr>
              <w:spacing w:after="0"/>
              <w:rPr>
                <w:sz w:val="11"/>
                <w:szCs w:val="11"/>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— </w:t>
            </w: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42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Re-designation before the</w:t>
            </w:r>
          </w:p>
        </w:tc>
        <w:tc>
          <w:tcPr>
            <w:tcW w:w="5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— </w:t>
            </w:r>
          </w:p>
        </w:tc>
        <w:tc>
          <w:tcPr>
            <w:tcW w:w="0" w:type="dxa"/>
            <w:vAlign w:val="bottom"/>
          </w:tcPr>
          <w:p>
            <w:pPr>
              <w:spacing w:after="0"/>
              <w:rPr>
                <w:sz w:val="1"/>
                <w:szCs w:val="1"/>
                <w:color w:val="auto"/>
              </w:rPr>
            </w:pPr>
          </w:p>
        </w:tc>
      </w:tr>
      <w:tr>
        <w:trPr>
          <w:trHeight w:val="135"/>
        </w:trPr>
        <w:tc>
          <w:tcPr>
            <w:tcW w:w="1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completion of the IPO</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29(a)(viii)</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(15)</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— </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— </w:t>
            </w:r>
          </w:p>
        </w:tc>
        <w:tc>
          <w:tcPr>
            <w:tcW w:w="7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42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Conversion of preferred shares</w:t>
            </w: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4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into Class A and Class B</w:t>
            </w: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8,648,916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ordinary shares</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29(a)(x)</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(5)</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(4)</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(6)</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8,648,893</w:t>
            </w:r>
          </w:p>
        </w:tc>
        <w:tc>
          <w:tcPr>
            <w:tcW w:w="12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— </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80" w:type="dxa"/>
            <w:vAlign w:val="bottom"/>
          </w:tcPr>
          <w:p>
            <w:pPr>
              <w:spacing w:after="0"/>
              <w:rPr>
                <w:sz w:val="11"/>
                <w:szCs w:val="11"/>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— </w:t>
            </w: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4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54</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4</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b w:val="1"/>
                <w:bCs w:val="1"/>
                <w:color w:val="auto"/>
              </w:rPr>
              <w:t>(8)</w:t>
            </w:r>
          </w:p>
        </w:tc>
        <w:tc>
          <w:tcPr>
            <w:tcW w:w="66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b w:val="1"/>
                <w:bCs w:val="1"/>
                <w:color w:val="auto"/>
              </w:rPr>
              <w:t>(5)</w:t>
            </w:r>
          </w:p>
        </w:tc>
        <w:tc>
          <w:tcPr>
            <w:tcW w:w="66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b w:val="1"/>
                <w:bCs w:val="1"/>
                <w:color w:val="auto"/>
              </w:rPr>
              <w:t>(4)</w:t>
            </w:r>
          </w:p>
        </w:tc>
        <w:tc>
          <w:tcPr>
            <w:tcW w:w="66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b w:val="1"/>
                <w:bCs w:val="1"/>
                <w:color w:val="auto"/>
              </w:rPr>
              <w:t>(6)</w:t>
            </w:r>
          </w:p>
        </w:tc>
        <w:tc>
          <w:tcPr>
            <w:tcW w:w="660" w:type="dxa"/>
            <w:vAlign w:val="bottom"/>
            <w:gridSpan w:val="2"/>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1"/>
                <w:szCs w:val="11"/>
                <w:b w:val="1"/>
                <w:bCs w:val="1"/>
                <w:color w:val="auto"/>
              </w:rPr>
              <w:t>11,646,478</w:t>
            </w:r>
          </w:p>
        </w:tc>
        <w:tc>
          <w:tcPr>
            <w:tcW w:w="780" w:type="dxa"/>
            <w:vAlign w:val="bottom"/>
            <w:gridSpan w:val="2"/>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1"/>
                <w:szCs w:val="11"/>
                <w:b w:val="1"/>
                <w:bCs w:val="1"/>
                <w:color w:val="auto"/>
              </w:rPr>
              <w:t>793,672</w:t>
            </w:r>
          </w:p>
        </w:tc>
        <w:tc>
          <w:tcPr>
            <w:tcW w:w="780" w:type="dxa"/>
            <w:vAlign w:val="bottom"/>
            <w:gridSpan w:val="2"/>
            <w:shd w:val="clear" w:color="auto" w:fill="CCEEFF"/>
          </w:tcPr>
          <w:p>
            <w:pPr>
              <w:ind w:left="500"/>
              <w:spacing w:after="0" w:line="122" w:lineRule="exact"/>
              <w:rPr>
                <w:sz w:val="20"/>
                <w:szCs w:val="20"/>
                <w:color w:val="auto"/>
              </w:rPr>
            </w:pPr>
            <w:r>
              <w:rPr>
                <w:rFonts w:ascii="Times New Roman" w:cs="Times New Roman" w:eastAsia="Times New Roman" w:hAnsi="Times New Roman"/>
                <w:sz w:val="11"/>
                <w:szCs w:val="11"/>
                <w:b w:val="1"/>
                <w:bCs w:val="1"/>
                <w:color w:val="auto"/>
              </w:rPr>
              <w:t>— </w:t>
            </w:r>
          </w:p>
        </w:tc>
        <w:tc>
          <w:tcPr>
            <w:tcW w:w="7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4,528</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ind w:left="420"/>
              <w:spacing w:after="0" w:line="122" w:lineRule="exact"/>
              <w:rPr>
                <w:sz w:val="20"/>
                <w:szCs w:val="20"/>
                <w:color w:val="auto"/>
              </w:rPr>
            </w:pPr>
            <w:r>
              <w:rPr>
                <w:rFonts w:ascii="Times New Roman" w:cs="Times New Roman" w:eastAsia="Times New Roman" w:hAnsi="Times New Roman"/>
                <w:sz w:val="11"/>
                <w:szCs w:val="11"/>
                <w:b w:val="1"/>
                <w:bCs w:val="1"/>
                <w:color w:val="auto"/>
              </w:rPr>
              <w:t>— </w:t>
            </w:r>
          </w:p>
        </w:tc>
        <w:tc>
          <w:tcPr>
            <w:tcW w:w="660" w:type="dxa"/>
            <w:vAlign w:val="bottom"/>
            <w:gridSpan w:val="2"/>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1"/>
                <w:szCs w:val="11"/>
                <w:b w:val="1"/>
                <w:bCs w:val="1"/>
                <w:color w:val="auto"/>
              </w:rPr>
              <w:t>151,668</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12,596,381</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4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Balance as of December 31,</w:t>
            </w:r>
          </w:p>
        </w:tc>
        <w:tc>
          <w:tcPr>
            <w:tcW w:w="5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142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42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Pr>
          <w:p>
            <w:pPr>
              <w:spacing w:after="0"/>
              <w:rPr>
                <w:sz w:val="11"/>
                <w:szCs w:val="11"/>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54</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w:t>
            </w:r>
          </w:p>
        </w:tc>
        <w:tc>
          <w:tcPr>
            <w:tcW w:w="80" w:type="dxa"/>
            <w:vAlign w:val="bottom"/>
          </w:tcPr>
          <w:p>
            <w:pPr>
              <w:spacing w:after="0"/>
              <w:rPr>
                <w:sz w:val="11"/>
                <w:szCs w:val="11"/>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— </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— </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— </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12,750,598</w:t>
            </w:r>
          </w:p>
        </w:tc>
        <w:tc>
          <w:tcPr>
            <w:tcW w:w="1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2,124,150</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(196,283)</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1,018,848</w:t>
            </w: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(8,631,352)</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7,066,019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Represents amounts less than RMB1,000.</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40"/>
          </w:cols>
          <w:pgMar w:left="320" w:top="482" w:right="4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(Expressed in thousands of RMB)</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240" w:type="dxa"/>
            <w:vAlign w:val="bottom"/>
          </w:tcPr>
          <w:p>
            <w:pPr>
              <w:spacing w:after="0"/>
              <w:rPr>
                <w:sz w:val="15"/>
                <w:szCs w:val="15"/>
                <w:color w:val="auto"/>
              </w:rPr>
            </w:pP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i w:val="1"/>
                <w:iCs w:val="1"/>
                <w:color w:val="auto"/>
              </w:rPr>
              <w:t>Note</w:t>
            </w:r>
          </w:p>
        </w:tc>
        <w:tc>
          <w:tcPr>
            <w:tcW w:w="3060" w:type="dxa"/>
            <w:vAlign w:val="bottom"/>
            <w:gridSpan w:val="7"/>
          </w:tcPr>
          <w:p>
            <w:pPr>
              <w:jc w:val="right"/>
              <w:ind w:right="62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c>
          <w:tcPr>
            <w:tcW w:w="0" w:type="dxa"/>
            <w:vAlign w:val="bottom"/>
          </w:tcPr>
          <w:p>
            <w:pPr>
              <w:spacing w:after="0"/>
              <w:rPr>
                <w:sz w:val="1"/>
                <w:szCs w:val="1"/>
                <w:color w:val="auto"/>
              </w:rPr>
            </w:pPr>
          </w:p>
        </w:tc>
      </w:tr>
      <w:tr>
        <w:trPr>
          <w:trHeight w:val="119"/>
        </w:trPr>
        <w:tc>
          <w:tcPr>
            <w:tcW w:w="72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40" w:type="dxa"/>
            <w:vAlign w:val="bottom"/>
            <w:tcBorders>
              <w:top w:val="single" w:sz="8" w:color="auto"/>
            </w:tcBorders>
          </w:tcPr>
          <w:p>
            <w:pPr>
              <w:jc w:val="right"/>
              <w:ind w:right="194"/>
              <w:spacing w:after="0" w:line="119" w:lineRule="exact"/>
              <w:rPr>
                <w:sz w:val="20"/>
                <w:szCs w:val="20"/>
                <w:color w:val="auto"/>
              </w:rPr>
            </w:pPr>
            <w:r>
              <w:rPr>
                <w:rFonts w:ascii="Times New Roman" w:cs="Times New Roman" w:eastAsia="Times New Roman" w:hAnsi="Times New Roman"/>
                <w:sz w:val="13"/>
                <w:szCs w:val="13"/>
                <w:i w:val="1"/>
                <w:iCs w:val="1"/>
                <w:color w:val="auto"/>
              </w:rPr>
              <w:t>2022</w:t>
            </w: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193"/>
              <w:spacing w:after="0" w:line="119" w:lineRule="exact"/>
              <w:rPr>
                <w:sz w:val="20"/>
                <w:szCs w:val="20"/>
                <w:color w:val="auto"/>
              </w:rPr>
            </w:pPr>
            <w:r>
              <w:rPr>
                <w:rFonts w:ascii="Times New Roman" w:cs="Times New Roman" w:eastAsia="Times New Roman" w:hAnsi="Times New Roman"/>
                <w:sz w:val="13"/>
                <w:szCs w:val="13"/>
                <w:i w:val="1"/>
                <w:iCs w:val="1"/>
                <w:color w:val="auto"/>
              </w:rPr>
              <w:t>2023</w:t>
            </w:r>
          </w:p>
        </w:tc>
        <w:tc>
          <w:tcPr>
            <w:tcW w:w="2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193"/>
              <w:spacing w:after="0" w:line="119" w:lineRule="exact"/>
              <w:rPr>
                <w:sz w:val="20"/>
                <w:szCs w:val="20"/>
                <w:color w:val="auto"/>
              </w:rPr>
            </w:pPr>
            <w:r>
              <w:rPr>
                <w:rFonts w:ascii="Times New Roman" w:cs="Times New Roman" w:eastAsia="Times New Roman" w:hAnsi="Times New Roman"/>
                <w:sz w:val="13"/>
                <w:szCs w:val="13"/>
                <w:i w:val="1"/>
                <w:iCs w:val="1"/>
                <w:color w:val="auto"/>
              </w:rPr>
              <w:t>2024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RMB’000</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RMB’000</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operations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21(b)</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(670,381)</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(472,024)</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(589,804)</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paid</w:t>
            </w:r>
          </w:p>
        </w:tc>
        <w:tc>
          <w:tcPr>
            <w:tcW w:w="7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(2,866)</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(3,791)</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72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(670,381)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(474,890)</w:t>
            </w:r>
          </w:p>
        </w:tc>
        <w:tc>
          <w:tcPr>
            <w:tcW w:w="20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(593,595)</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purchase of property and equipment</w:t>
            </w:r>
          </w:p>
        </w:tc>
        <w:tc>
          <w:tcPr>
            <w:tcW w:w="7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(36,650)</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for purchase of intangible assets</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(304)</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(1,504)</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disposal of property, equipment and intangible assets</w:t>
            </w:r>
          </w:p>
        </w:tc>
        <w:tc>
          <w:tcPr>
            <w:tcW w:w="72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2,166</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1,903</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1,060</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time deposits</w:t>
            </w:r>
          </w:p>
        </w:tc>
        <w:tc>
          <w:tcPr>
            <w:tcW w:w="7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(1,487,859)</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(2,915,337)</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(3,257,020)</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maturity of time deposits</w:t>
            </w:r>
          </w:p>
        </w:tc>
        <w:tc>
          <w:tcPr>
            <w:tcW w:w="72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477,360</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1,454,366</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5,156,836</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for purchase of financial assets at FVTPL</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31(e)</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(2,041,173)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(1,965,328)</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(1,807,527)</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sales of financial assets at FVTPL</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31(e)</w:t>
            </w: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929,785</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2,925,265</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324,791</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for loans to employees</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06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(10,859)</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(14,236)</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collection of a loan to an employee</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0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7,109</w:t>
            </w:r>
          </w:p>
        </w:tc>
        <w:tc>
          <w:tcPr>
            <w:tcW w:w="0" w:type="dxa"/>
            <w:vAlign w:val="bottom"/>
          </w:tcPr>
          <w:p>
            <w:pPr>
              <w:spacing w:after="0"/>
              <w:rPr>
                <w:sz w:val="1"/>
                <w:szCs w:val="1"/>
                <w:color w:val="auto"/>
              </w:rPr>
            </w:pPr>
          </w:p>
        </w:tc>
      </w:tr>
      <w:tr>
        <w:trPr>
          <w:trHeight w:val="223"/>
        </w:trPr>
        <w:tc>
          <w:tcPr>
            <w:tcW w:w="7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in)/generated from investing activities</w:t>
            </w:r>
          </w:p>
        </w:tc>
        <w:tc>
          <w:tcPr>
            <w:tcW w:w="7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(2,202,414</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shd w:val="clear" w:color="auto" w:fill="CCEEFF"/>
              </w:rPr>
              <w:t>)</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(546,944)</w:t>
            </w:r>
          </w:p>
        </w:tc>
        <w:tc>
          <w:tcPr>
            <w:tcW w:w="2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325,505</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40"/>
          </w:cols>
          <w:pgMar w:left="320" w:top="482" w:right="4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(Expressed in thousands of RMB)</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060" w:type="dxa"/>
            <w:vAlign w:val="bottom"/>
          </w:tcPr>
          <w:p>
            <w:pPr>
              <w:spacing w:after="0"/>
              <w:rPr>
                <w:sz w:val="15"/>
                <w:szCs w:val="15"/>
                <w:color w:val="auto"/>
              </w:rPr>
            </w:pPr>
          </w:p>
        </w:tc>
        <w:tc>
          <w:tcPr>
            <w:tcW w:w="1020" w:type="dxa"/>
            <w:vAlign w:val="bottom"/>
            <w:vMerge w:val="restart"/>
          </w:tcPr>
          <w:p>
            <w:pPr>
              <w:ind w:left="360"/>
              <w:spacing w:after="0"/>
              <w:rPr>
                <w:sz w:val="20"/>
                <w:szCs w:val="20"/>
                <w:color w:val="auto"/>
              </w:rPr>
            </w:pPr>
            <w:r>
              <w:rPr>
                <w:rFonts w:ascii="Times New Roman" w:cs="Times New Roman" w:eastAsia="Times New Roman" w:hAnsi="Times New Roman"/>
                <w:sz w:val="14"/>
                <w:szCs w:val="14"/>
                <w:i w:val="1"/>
                <w:iCs w:val="1"/>
                <w:color w:val="auto"/>
              </w:rPr>
              <w:t>Note</w:t>
            </w:r>
          </w:p>
        </w:tc>
        <w:tc>
          <w:tcPr>
            <w:tcW w:w="2940" w:type="dxa"/>
            <w:vAlign w:val="bottom"/>
            <w:gridSpan w:val="7"/>
          </w:tcPr>
          <w:p>
            <w:pPr>
              <w:jc w:val="right"/>
              <w:ind w:right="56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c>
          <w:tcPr>
            <w:tcW w:w="0" w:type="dxa"/>
            <w:vAlign w:val="bottom"/>
          </w:tcPr>
          <w:p>
            <w:pPr>
              <w:spacing w:after="0"/>
              <w:rPr>
                <w:sz w:val="1"/>
                <w:szCs w:val="1"/>
                <w:color w:val="auto"/>
              </w:rPr>
            </w:pPr>
          </w:p>
        </w:tc>
      </w:tr>
      <w:tr>
        <w:trPr>
          <w:trHeight w:val="119"/>
        </w:trPr>
        <w:tc>
          <w:tcPr>
            <w:tcW w:w="706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780" w:type="dxa"/>
            <w:vAlign w:val="bottom"/>
            <w:tcBorders>
              <w:top w:val="single" w:sz="8" w:color="auto"/>
            </w:tcBorders>
          </w:tcPr>
          <w:p>
            <w:pPr>
              <w:jc w:val="right"/>
              <w:ind w:right="152"/>
              <w:spacing w:after="0" w:line="119" w:lineRule="exact"/>
              <w:rPr>
                <w:sz w:val="20"/>
                <w:szCs w:val="20"/>
                <w:color w:val="auto"/>
              </w:rPr>
            </w:pPr>
            <w:r>
              <w:rPr>
                <w:rFonts w:ascii="Times New Roman" w:cs="Times New Roman" w:eastAsia="Times New Roman" w:hAnsi="Times New Roman"/>
                <w:sz w:val="13"/>
                <w:szCs w:val="13"/>
                <w:i w:val="1"/>
                <w:iCs w:val="1"/>
                <w:color w:val="auto"/>
              </w:rPr>
              <w:t>2022</w:t>
            </w: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172"/>
              <w:spacing w:after="0" w:line="119" w:lineRule="exact"/>
              <w:rPr>
                <w:sz w:val="20"/>
                <w:szCs w:val="20"/>
                <w:color w:val="auto"/>
              </w:rPr>
            </w:pPr>
            <w:r>
              <w:rPr>
                <w:rFonts w:ascii="Times New Roman" w:cs="Times New Roman" w:eastAsia="Times New Roman" w:hAnsi="Times New Roman"/>
                <w:sz w:val="13"/>
                <w:szCs w:val="13"/>
                <w:i w:val="1"/>
                <w:iCs w:val="1"/>
                <w:color w:val="auto"/>
              </w:rPr>
              <w:t>2023</w:t>
            </w: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172"/>
              <w:spacing w:after="0" w:line="119" w:lineRule="exact"/>
              <w:rPr>
                <w:sz w:val="20"/>
                <w:szCs w:val="20"/>
                <w:color w:val="auto"/>
              </w:rPr>
            </w:pPr>
            <w:r>
              <w:rPr>
                <w:rFonts w:ascii="Times New Roman" w:cs="Times New Roman" w:eastAsia="Times New Roman" w:hAnsi="Times New Roman"/>
                <w:sz w:val="13"/>
                <w:szCs w:val="13"/>
                <w:i w:val="1"/>
                <w:iCs w:val="1"/>
                <w:color w:val="auto"/>
              </w:rPr>
              <w:t>2024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RMB’000</w:t>
            </w: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RMB’000</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ordinary shares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29(a)</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13,442</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42,519</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7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initial public offering and exercise of the over-allotment option, net of</w:t>
            </w:r>
          </w:p>
        </w:tc>
        <w:tc>
          <w:tcPr>
            <w:tcW w:w="10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commissions</w:t>
            </w:r>
          </w:p>
        </w:tc>
        <w:tc>
          <w:tcPr>
            <w:tcW w:w="102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3,170,810</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non-redeemable preferred shares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29(a)</w:t>
            </w: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sales of treasury shares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29(c)</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6,480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7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Proceeds from issuance of preferred shares and other financial instruments subject to redemption</w:t>
            </w: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other preferential rights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21(c)</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2,163,410</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485,262</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financial liabilities measured at FVTPL</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21(c)</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143,829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Payment of capital element of lease liabilities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21(c)</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(34,448)</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(38,163)</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(44,976)</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interest element of lease liabilities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21(c)</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(3,574)</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(2,853)</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(2,276)</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Payment of listing expenses relating to the initial public offering</w:t>
            </w:r>
          </w:p>
        </w:tc>
        <w:tc>
          <w:tcPr>
            <w:tcW w:w="102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(284)</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(720)</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(4,342)</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repurchase of redeemable preferred shares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23(b) 29(c)</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(59,825)</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Payment for repurchase of ordinary shares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29(c)</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(44,442)</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7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Repayment of subscription price for the financial instruments subject to redemption and other</w:t>
            </w:r>
          </w:p>
        </w:tc>
        <w:tc>
          <w:tcPr>
            <w:tcW w:w="10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preferential rights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23(a)</w:t>
            </w: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(39,122)</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receipts of subscription price for the convertible redeemable preferred shares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23(a)</w:t>
            </w: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19,319</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withholding tax arising from the settlement of vested RSUs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34(c)</w:t>
            </w: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(394,195)</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bank loans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21(c)</w:t>
            </w: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80,000</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interest of bank loans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21(c)</w:t>
            </w: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Advances to a management personnel</w:t>
            </w:r>
          </w:p>
        </w:tc>
        <w:tc>
          <w:tcPr>
            <w:tcW w:w="102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(1,425)</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collection of the advances to a management personnel</w:t>
            </w:r>
          </w:p>
        </w:tc>
        <w:tc>
          <w:tcPr>
            <w:tcW w:w="10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1,425</w:t>
            </w:r>
          </w:p>
        </w:tc>
        <w:tc>
          <w:tcPr>
            <w:tcW w:w="0" w:type="dxa"/>
            <w:vAlign w:val="bottom"/>
          </w:tcPr>
          <w:p>
            <w:pPr>
              <w:spacing w:after="0"/>
              <w:rPr>
                <w:sz w:val="1"/>
                <w:szCs w:val="1"/>
                <w:color w:val="auto"/>
              </w:rPr>
            </w:pPr>
          </w:p>
        </w:tc>
      </w:tr>
      <w:tr>
        <w:trPr>
          <w:trHeight w:val="223"/>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generated from financing activities</w:t>
            </w:r>
          </w:p>
        </w:tc>
        <w:tc>
          <w:tcPr>
            <w:tcW w:w="10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2,184,588</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446,954</w:t>
            </w:r>
          </w:p>
        </w:tc>
        <w:tc>
          <w:tcPr>
            <w:tcW w:w="2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2,823,875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(decrease)/increase in cash and cash equivalents</w:t>
            </w:r>
          </w:p>
        </w:tc>
        <w:tc>
          <w:tcPr>
            <w:tcW w:w="10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(688,207)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(574,880)</w:t>
            </w:r>
          </w:p>
        </w:tc>
        <w:tc>
          <w:tcPr>
            <w:tcW w:w="2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2,555,785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as of January 1</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21(a)</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2,725,568</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2,233,691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1,661,152</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exchange rate changes</w:t>
            </w:r>
          </w:p>
        </w:tc>
        <w:tc>
          <w:tcPr>
            <w:tcW w:w="10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196,330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51,363</w:t>
            </w:r>
          </w:p>
        </w:tc>
        <w:tc>
          <w:tcPr>
            <w:tcW w:w="0" w:type="dxa"/>
            <w:vAlign w:val="bottom"/>
          </w:tcPr>
          <w:p>
            <w:pPr>
              <w:spacing w:after="0"/>
              <w:rPr>
                <w:sz w:val="1"/>
                <w:szCs w:val="1"/>
                <w:color w:val="auto"/>
              </w:rPr>
            </w:pPr>
          </w:p>
        </w:tc>
      </w:tr>
      <w:tr>
        <w:trPr>
          <w:trHeight w:val="223"/>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as of December 31</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21(a)</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2,233,691</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1,661,152</w:t>
            </w:r>
          </w:p>
        </w:tc>
        <w:tc>
          <w:tcPr>
            <w:tcW w:w="2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4,268,300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40"/>
          </w:cols>
          <w:pgMar w:left="320" w:top="482" w:right="4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(Expressed in thousands of RMB, unless otherwise indicated)</w:t>
      </w:r>
    </w:p>
    <w:p>
      <w:pPr>
        <w:spacing w:after="0" w:line="351" w:lineRule="exact"/>
        <w:rPr>
          <w:sz w:val="20"/>
          <w:szCs w:val="20"/>
          <w:color w:val="auto"/>
        </w:rPr>
      </w:pPr>
    </w:p>
    <w:p>
      <w:pPr>
        <w:ind w:left="540" w:hanging="424"/>
        <w:spacing w:after="0"/>
        <w:tabs>
          <w:tab w:leader="none" w:pos="54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information and basis of presentation</w:t>
      </w:r>
    </w:p>
    <w:p>
      <w:pPr>
        <w:spacing w:after="0" w:line="131" w:lineRule="exact"/>
        <w:rPr>
          <w:sz w:val="20"/>
          <w:szCs w:val="20"/>
          <w:color w:val="auto"/>
        </w:rPr>
      </w:pPr>
    </w:p>
    <w:p>
      <w:pPr>
        <w:ind w:left="1080" w:hanging="532"/>
        <w:spacing w:after="0"/>
        <w:tabs>
          <w:tab w:leader="none" w:pos="1080" w:val="left"/>
        </w:tabs>
        <w:numPr>
          <w:ilvl w:val="0"/>
          <w:numId w:val="1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General information</w:t>
      </w:r>
    </w:p>
    <w:p>
      <w:pPr>
        <w:spacing w:after="0" w:line="121" w:lineRule="exact"/>
        <w:rPr>
          <w:sz w:val="20"/>
          <w:szCs w:val="20"/>
          <w:color w:val="auto"/>
        </w:rPr>
      </w:pPr>
    </w:p>
    <w:p>
      <w:pPr>
        <w:ind w:left="560" w:right="80"/>
        <w:spacing w:after="0" w:line="261" w:lineRule="auto"/>
        <w:rPr>
          <w:sz w:val="20"/>
          <w:szCs w:val="20"/>
          <w:color w:val="auto"/>
        </w:rPr>
      </w:pPr>
      <w:r>
        <w:rPr>
          <w:rFonts w:ascii="Times New Roman" w:cs="Times New Roman" w:eastAsia="Times New Roman" w:hAnsi="Times New Roman"/>
          <w:sz w:val="18"/>
          <w:szCs w:val="18"/>
          <w:color w:val="auto"/>
        </w:rPr>
        <w:t>WeRide Inc. (the “Company”), an exempted company with limited liability, was incorporated in the Cayman Islands under the Companies Act, Cap. 22 (Law 3 of 1961, as consolidated and revised) of the Cayman Islands on March 13, 2017. The Company’s American Depositary Shares (“ADSs”) have been listed on the Nasdaq Stock Market since October 25, 2024 and the Company completed its initial public offering (“IPO”) on October 28, 2024. Each ADS of the Company represents three ordinary shares.</w:t>
      </w:r>
    </w:p>
    <w:p>
      <w:pPr>
        <w:spacing w:after="0" w:line="72" w:lineRule="exact"/>
        <w:rPr>
          <w:sz w:val="20"/>
          <w:szCs w:val="20"/>
          <w:color w:val="auto"/>
        </w:rPr>
      </w:pPr>
    </w:p>
    <w:p>
      <w:pPr>
        <w:ind w:left="560"/>
        <w:spacing w:after="0" w:line="266" w:lineRule="auto"/>
        <w:rPr>
          <w:sz w:val="20"/>
          <w:szCs w:val="20"/>
          <w:color w:val="auto"/>
        </w:rPr>
      </w:pPr>
      <w:r>
        <w:rPr>
          <w:rFonts w:ascii="Times New Roman" w:cs="Times New Roman" w:eastAsia="Times New Roman" w:hAnsi="Times New Roman"/>
          <w:sz w:val="18"/>
          <w:szCs w:val="18"/>
          <w:color w:val="auto"/>
        </w:rPr>
        <w:t>The Company is an investment holding company. The Company, through its wholly-owned subsidiaries (collectively referred to as the “Group”), is principally engaged in providing autonomous driving products and services. The Group’s principal operations and geographic markets are in the People’s Republic of China (the “PRC”).</w:t>
      </w:r>
    </w:p>
    <w:p>
      <w:pPr>
        <w:spacing w:after="0" w:line="320" w:lineRule="exact"/>
        <w:rPr>
          <w:sz w:val="20"/>
          <w:szCs w:val="20"/>
          <w:color w:val="auto"/>
        </w:rPr>
      </w:pPr>
    </w:p>
    <w:p>
      <w:pPr>
        <w:ind w:left="1080" w:hanging="532"/>
        <w:spacing w:after="0"/>
        <w:tabs>
          <w:tab w:leader="none" w:pos="1080" w:val="left"/>
        </w:tabs>
        <w:numPr>
          <w:ilvl w:val="0"/>
          <w:numId w:val="1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VIE reorganization</w:t>
      </w:r>
    </w:p>
    <w:p>
      <w:pPr>
        <w:spacing w:after="0" w:line="229" w:lineRule="exact"/>
        <w:rPr>
          <w:sz w:val="20"/>
          <w:szCs w:val="20"/>
          <w:color w:val="auto"/>
        </w:rPr>
      </w:pPr>
    </w:p>
    <w:p>
      <w:pPr>
        <w:ind w:left="560" w:right="120"/>
        <w:spacing w:after="0" w:line="255" w:lineRule="auto"/>
        <w:rPr>
          <w:sz w:val="20"/>
          <w:szCs w:val="20"/>
          <w:color w:val="auto"/>
        </w:rPr>
      </w:pPr>
      <w:r>
        <w:rPr>
          <w:rFonts w:ascii="Times New Roman" w:cs="Times New Roman" w:eastAsia="Times New Roman" w:hAnsi="Times New Roman"/>
          <w:sz w:val="18"/>
          <w:szCs w:val="18"/>
          <w:color w:val="auto"/>
        </w:rPr>
        <w:t>Historically, the Company conducted its surveying and mapping in internet mapping service category and held the relevant license through Guangzhou Jingqi Technology Co., Ltd. (“Guangzhou Jingqi” or the former “VIE”) and its subsidiaries prior to March 2023. The Company had control over the former VIE via a series of contractual arrangements (“VIE Arrangements”). The directors of the Company consider that the VIE Arrangements were in compliance with the relevant PRC laws and regulations and were legally binding and enforceable. In March 2023, the Group acquired 100% equity interest of the former VIE and its subsidiaries at the consideration of RMB0.6 million and the previous VIE Arrangements were terminated. Since March 2023, the Company controls the former VIE and its subsidiaries through legal ownership interests and the former VIE and its subsidiaries accounted for as consolidated subsidiaries of the Company.</w:t>
      </w:r>
    </w:p>
    <w:p>
      <w:pPr>
        <w:spacing w:after="0" w:line="333" w:lineRule="exact"/>
        <w:rPr>
          <w:sz w:val="20"/>
          <w:szCs w:val="20"/>
          <w:color w:val="auto"/>
        </w:rPr>
      </w:pPr>
    </w:p>
    <w:p>
      <w:pPr>
        <w:ind w:left="1080" w:hanging="532"/>
        <w:spacing w:after="0"/>
        <w:tabs>
          <w:tab w:leader="none" w:pos="1080" w:val="left"/>
        </w:tabs>
        <w:numPr>
          <w:ilvl w:val="0"/>
          <w:numId w:val="1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Former VIE</w:t>
      </w:r>
    </w:p>
    <w:p>
      <w:pPr>
        <w:spacing w:after="0" w:line="121" w:lineRule="exact"/>
        <w:rPr>
          <w:sz w:val="20"/>
          <w:szCs w:val="20"/>
          <w:color w:val="auto"/>
        </w:rPr>
      </w:pPr>
    </w:p>
    <w:p>
      <w:pPr>
        <w:ind w:left="560" w:right="180"/>
        <w:spacing w:after="0" w:line="282" w:lineRule="auto"/>
        <w:rPr>
          <w:sz w:val="20"/>
          <w:szCs w:val="20"/>
          <w:color w:val="auto"/>
        </w:rPr>
      </w:pPr>
      <w:r>
        <w:rPr>
          <w:rFonts w:ascii="Times New Roman" w:cs="Times New Roman" w:eastAsia="Times New Roman" w:hAnsi="Times New Roman"/>
          <w:sz w:val="18"/>
          <w:szCs w:val="18"/>
          <w:color w:val="auto"/>
        </w:rPr>
        <w:t>Prior to the Reorganization as described in Note 1(b), the Group was engaged in surveying and mapping businesses through the former VIE and its subsidiaries.</w:t>
      </w:r>
    </w:p>
    <w:p>
      <w:pPr>
        <w:spacing w:after="0" w:line="54" w:lineRule="exact"/>
        <w:rPr>
          <w:sz w:val="20"/>
          <w:szCs w:val="20"/>
          <w:color w:val="auto"/>
        </w:rPr>
      </w:pPr>
    </w:p>
    <w:p>
      <w:pPr>
        <w:ind w:left="560" w:right="80"/>
        <w:spacing w:after="0" w:line="253" w:lineRule="auto"/>
        <w:rPr>
          <w:sz w:val="20"/>
          <w:szCs w:val="20"/>
          <w:color w:val="auto"/>
        </w:rPr>
      </w:pPr>
      <w:r>
        <w:rPr>
          <w:rFonts w:ascii="Times New Roman" w:cs="Times New Roman" w:eastAsia="Times New Roman" w:hAnsi="Times New Roman"/>
          <w:sz w:val="18"/>
          <w:szCs w:val="18"/>
          <w:color w:val="auto"/>
        </w:rPr>
        <w:t>The recognized and unrecognized revenue-producing assets that were held by the former VIE primarily consisted of property and equipment, assembled workforce and the Internet Content Provider (“ICP”) licenses. The equity interests of Guangzhou Jingqi were legally held by three individuals, including 1) Dr. Tony Xu Han, the co-founder and controlling shareholder, chairman of the Board of Directors and Chief Executive Officer (“CEO”); 2) Mr. Li Zhang, the former Chief Operation Officer (“former COO”); and 3) Mr. Hua Zhong, the senior Vice President of Engineering. All the individual shareholders of the former VIE were collectively referred to as “Nominee Shareholders” and acted as Nominee Shareholders of Guangzhou Jingqi on behalf of Guangzhou Wenyuan Zhixing Technology Co., Ltd. (“Guangzhou Wenyuan”), the Company’s wholly owned subsidiary (“WFOE”). VIE Agreements, including Powers of Attorney, Exclusive Technology Consulting and Service Agreement, Equity Interest Pledge Agreement, Exclusive Option Agreement and Spousal Consent Letters, were entered into among the WFOE, the former VIE and the Nominee Shareholders. Pursuant to the VIE Agreements, Nominee Shareholders had granted all their legal rights, including voting rights and disposition rights of their equity interests in the former VIE, to the WFOE. The Nominee Shareholders did not participate significantly in income and loss and did not have the power to direct the activities of the former VIE that most significantly impact their returns. Accordingly, the former VIE was considered as variable interest entity.</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00"/>
          </w:cols>
          <w:pgMar w:left="320" w:top="482" w:right="47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right="60"/>
        <w:spacing w:after="0" w:line="266" w:lineRule="auto"/>
        <w:rPr>
          <w:sz w:val="20"/>
          <w:szCs w:val="20"/>
          <w:color w:val="auto"/>
        </w:rPr>
      </w:pPr>
      <w:r>
        <w:rPr>
          <w:rFonts w:ascii="Times New Roman" w:cs="Times New Roman" w:eastAsia="Times New Roman" w:hAnsi="Times New Roman"/>
          <w:sz w:val="18"/>
          <w:szCs w:val="18"/>
          <w:color w:val="auto"/>
        </w:rPr>
        <w:t>Under the VIE Agreements, the Company had the power to direct the management, financial and operating policies of the former VIE, had exposure or rights to variable returns from its involvement with the former VIE, and had the ability to use its power over the former VIE to affect the amount of the returns. As a result, the former VIE had been accounted for as consolidated subsidiary of the Company.</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principal terms of the VIE Agreements were further described below.</w:t>
      </w:r>
    </w:p>
    <w:p>
      <w:pPr>
        <w:spacing w:after="0" w:line="374" w:lineRule="exact"/>
        <w:rPr>
          <w:sz w:val="20"/>
          <w:szCs w:val="20"/>
          <w:color w:val="auto"/>
        </w:rPr>
      </w:pPr>
    </w:p>
    <w:p>
      <w:pPr>
        <w:ind w:left="1080" w:hanging="532"/>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Powers of Attorney</w:t>
      </w:r>
    </w:p>
    <w:p>
      <w:pPr>
        <w:spacing w:after="0" w:line="117" w:lineRule="exact"/>
        <w:rPr>
          <w:sz w:val="20"/>
          <w:szCs w:val="20"/>
          <w:color w:val="auto"/>
        </w:rPr>
      </w:pPr>
    </w:p>
    <w:p>
      <w:pPr>
        <w:ind w:left="560"/>
        <w:spacing w:after="0" w:line="255" w:lineRule="auto"/>
        <w:rPr>
          <w:sz w:val="20"/>
          <w:szCs w:val="20"/>
          <w:color w:val="auto"/>
        </w:rPr>
      </w:pPr>
      <w:r>
        <w:rPr>
          <w:rFonts w:ascii="Times New Roman" w:cs="Times New Roman" w:eastAsia="Times New Roman" w:hAnsi="Times New Roman"/>
          <w:sz w:val="18"/>
          <w:szCs w:val="18"/>
          <w:color w:val="auto"/>
        </w:rPr>
        <w:t>Pursuant to the powers of attorney executed by the Nominee Shareholders of the former VIE, each of the Nominee Shareholders of the former VIE irrevocably authorized the WFOE to act as their attorney-in-fact to exercise all of the rights as a shareholder, including, but not limited to, the right to (i) attend shareholders’ meeting and sign the relevant resolutions on behalf of the shareholder, (ii) exercise all shareholder’s rights under PRC laws and the articles of association of the former VIE, such as the voting right, the rights to sale, transfer, pledge and dispose of all or part of the shareholder’s equity interest in the former VIE, and (iii) designate and appoint the former VIE’s legal representative, chairman of the board of directors, director, general manager and other senior management members on behalf of the shareholder. The powers of attorney remained effective until such shareholder ceased to be a shareholder of the former VIE.</w:t>
      </w:r>
    </w:p>
    <w:p>
      <w:pPr>
        <w:spacing w:after="0" w:line="337" w:lineRule="exact"/>
        <w:rPr>
          <w:sz w:val="20"/>
          <w:szCs w:val="20"/>
          <w:color w:val="auto"/>
        </w:rPr>
      </w:pPr>
    </w:p>
    <w:p>
      <w:pPr>
        <w:ind w:left="1080" w:hanging="532"/>
        <w:spacing w:after="0"/>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Interest Pledge Agreements</w:t>
      </w:r>
    </w:p>
    <w:p>
      <w:pPr>
        <w:spacing w:after="0" w:line="117" w:lineRule="exact"/>
        <w:rPr>
          <w:sz w:val="20"/>
          <w:szCs w:val="20"/>
          <w:color w:val="auto"/>
        </w:rPr>
      </w:pPr>
    </w:p>
    <w:p>
      <w:pPr>
        <w:ind w:left="560" w:right="40"/>
        <w:spacing w:after="0" w:line="256" w:lineRule="auto"/>
        <w:rPr>
          <w:sz w:val="20"/>
          <w:szCs w:val="20"/>
          <w:color w:val="auto"/>
        </w:rPr>
      </w:pPr>
      <w:r>
        <w:rPr>
          <w:rFonts w:ascii="Times New Roman" w:cs="Times New Roman" w:eastAsia="Times New Roman" w:hAnsi="Times New Roman"/>
          <w:sz w:val="18"/>
          <w:szCs w:val="18"/>
          <w:color w:val="auto"/>
        </w:rPr>
        <w:t>Pursuant to equity interest pledge agreement, the Nominee Shareholders of the former VIE had pledged 100% equity interests in the former VIE to the WFOE to guarantee the performance of the obligations by the former VIE and the Nominee Shareholders under the exclusive technology consulting and service agreement, the exclusive option agreement and the powers of attorney. If events of default occur, the WFOE, as the pledgee, to the extent permitted by PRC laws, may exercise the right to enforce the pledge, provided that a written notice is delivered. The Nominee Shareholders of the former VIE also covenanted that, without the prior written consent of the WFOE, they shall not transfer the pledged equity interests, create or allow any new pledge or other encumbrance of other type on the pledged equity interests.</w:t>
      </w:r>
    </w:p>
    <w:p>
      <w:pPr>
        <w:spacing w:after="0" w:line="336" w:lineRule="exact"/>
        <w:rPr>
          <w:sz w:val="20"/>
          <w:szCs w:val="20"/>
          <w:color w:val="auto"/>
        </w:rPr>
      </w:pPr>
    </w:p>
    <w:p>
      <w:pPr>
        <w:ind w:left="1080" w:hanging="532"/>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Spousal Consent</w:t>
      </w:r>
    </w:p>
    <w:p>
      <w:pPr>
        <w:spacing w:after="0" w:line="117" w:lineRule="exact"/>
        <w:rPr>
          <w:sz w:val="20"/>
          <w:szCs w:val="20"/>
          <w:color w:val="auto"/>
        </w:rPr>
      </w:pPr>
    </w:p>
    <w:p>
      <w:pPr>
        <w:ind w:left="560" w:right="20"/>
        <w:spacing w:after="0" w:line="255" w:lineRule="auto"/>
        <w:rPr>
          <w:sz w:val="20"/>
          <w:szCs w:val="20"/>
          <w:color w:val="auto"/>
        </w:rPr>
      </w:pPr>
      <w:r>
        <w:rPr>
          <w:rFonts w:ascii="Times New Roman" w:cs="Times New Roman" w:eastAsia="Times New Roman" w:hAnsi="Times New Roman"/>
          <w:sz w:val="18"/>
          <w:szCs w:val="18"/>
          <w:color w:val="auto"/>
        </w:rPr>
        <w:t>Pursuant to the spousal consent letters, each of the spouses of the applicable Nominee Shareholders of the former VIE acknowledged and confirmed the execution of the relevant equity interest pledge agreement, exclusive option agreement and powers of attorney, and unconditionally and irrevocably agreed that the equity interest in the former VIE held by and registered in the name of their respective spouse would be disposed of pursuant to these agreements. In addition, each of them agreed not to assert any rights over the equity interest in the former VIE held by their respective spouses. In addition, in the event that any of them obtained any equity interest in the former VIE held by their respective spouses for any reason, such spouses agreed to be bound by similar obligations and agreed to enter into similar contractual arrangements, as amended and restated from time to time.</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080"/>
          </w:cols>
          <w:pgMar w:left="320" w:top="482" w:right="49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Technology Consulting and Service Agreement</w:t>
      </w:r>
    </w:p>
    <w:p>
      <w:pPr>
        <w:spacing w:after="0" w:line="117" w:lineRule="exact"/>
        <w:rPr>
          <w:sz w:val="20"/>
          <w:szCs w:val="20"/>
          <w:color w:val="auto"/>
        </w:rPr>
      </w:pPr>
    </w:p>
    <w:p>
      <w:pPr>
        <w:ind w:left="560"/>
        <w:spacing w:after="0" w:line="253" w:lineRule="auto"/>
        <w:rPr>
          <w:sz w:val="20"/>
          <w:szCs w:val="20"/>
          <w:color w:val="auto"/>
        </w:rPr>
      </w:pPr>
      <w:r>
        <w:rPr>
          <w:rFonts w:ascii="Times New Roman" w:cs="Times New Roman" w:eastAsia="Times New Roman" w:hAnsi="Times New Roman"/>
          <w:sz w:val="18"/>
          <w:szCs w:val="18"/>
          <w:color w:val="auto"/>
        </w:rPr>
        <w:t>Pursuant to the exclusive technology consulting and service agreement, the WFOE had the exclusive right to provide the former VIE with technology consulting and services, including but not limited to technology research and development, technology application and implementation, staff training and technology consultations. Without the WFOE’s prior written consents, the former VIE may not accept the same or similar service contemplated by the agreement provided by any third party during the term of the agreement. The former VIE agreed to pay the WFOE consulting and service fees at the total amount of the pre-tax profit, after deducting the necessary expenses, costs for business operations generated by the former VIE, or an amount that is adjusted in accordance with the WFOE’s sole discretion based on the services and technologies provided by the former VIE, the operating conditions and the plans of business development of the former VIE. To guarantee the former VIE’s performance, the Nominee Shareholders of the former VIE had pledged all of their equity interests in the former VIE to the WFOE pursuant to the equity interest pledge agreement. The exclusive technology consulting and service agreement had a term of ten years upon the date of execution, which would be automatically extended for another ten years upon the date of expiration, unless terminated in writing by the WFOE.</w:t>
      </w:r>
    </w:p>
    <w:p>
      <w:pPr>
        <w:spacing w:after="0" w:line="343" w:lineRule="exact"/>
        <w:rPr>
          <w:sz w:val="20"/>
          <w:szCs w:val="20"/>
          <w:color w:val="auto"/>
        </w:rPr>
      </w:pPr>
    </w:p>
    <w:p>
      <w:pPr>
        <w:ind w:left="1080" w:hanging="532"/>
        <w:spacing w:after="0"/>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Option Agreement</w:t>
      </w:r>
    </w:p>
    <w:p>
      <w:pPr>
        <w:spacing w:after="0" w:line="117" w:lineRule="exact"/>
        <w:rPr>
          <w:sz w:val="20"/>
          <w:szCs w:val="20"/>
          <w:color w:val="auto"/>
        </w:rPr>
      </w:pPr>
    </w:p>
    <w:p>
      <w:pPr>
        <w:ind w:left="560"/>
        <w:spacing w:after="0" w:line="253" w:lineRule="auto"/>
        <w:rPr>
          <w:sz w:val="20"/>
          <w:szCs w:val="20"/>
          <w:color w:val="auto"/>
        </w:rPr>
      </w:pPr>
      <w:r>
        <w:rPr>
          <w:rFonts w:ascii="Times New Roman" w:cs="Times New Roman" w:eastAsia="Times New Roman" w:hAnsi="Times New Roman"/>
          <w:sz w:val="18"/>
          <w:szCs w:val="18"/>
          <w:color w:val="auto"/>
        </w:rPr>
        <w:t>Pursuant to the exclusive option agreement, each of the Nominee Shareholders of the former VIE had irrevocably granted the WFOE, or any person or persons designated by the WFOE, an exclusive option to purchase all or part of the equity interests in the former VIE held by the Nominee Shareholders. In addition, the former VIE had granted each of the Nominee Shareholders of the former VIE an exclusive option to purchase all or a part of the assets held by the former VIE. The WFOE or persons designated by the WFOE may exercise such options to purchase equity interests in the former VIE at the lowest price permitted under PRC laws, or assets of the former VIE at the lower of the net book value and the lowest price permitted under PRC laws. The Nominee Shareholders further undertook that, without the prior written consent of the WFOE, the former VIE would not, among other things, (i) supplement, change or amend the former VIE’s articles of association, (ii) increase or decrease the former VIE’s registered capital or change its structure of registered capital, (iii) sell, transfer, mortgage, dispose of, or allow any new pledge or other encumbrance of other types on any assets of the former VIE and any legal or beneficial interests in the business or revenues of the former VIE, (iv) enter into any material contracts, except in the ordinary course of business, or (v) merge or consolidate the former VIE with any other entity, acquire any other entity, or provide investment to any other entity. The exclusive option agreement would remain effective until all of the equity interests or assets of the former VIE have been transferred to the WFOE and/or their designated person.</w:t>
      </w:r>
    </w:p>
    <w:p>
      <w:pPr>
        <w:spacing w:after="0" w:line="190" w:lineRule="exact"/>
        <w:rPr>
          <w:sz w:val="20"/>
          <w:szCs w:val="20"/>
          <w:color w:val="auto"/>
        </w:rPr>
      </w:pPr>
    </w:p>
    <w:p>
      <w:pPr>
        <w:ind w:left="560" w:right="60"/>
        <w:spacing w:after="0" w:line="258" w:lineRule="auto"/>
        <w:rPr>
          <w:sz w:val="20"/>
          <w:szCs w:val="20"/>
          <w:color w:val="auto"/>
        </w:rPr>
      </w:pPr>
      <w:r>
        <w:rPr>
          <w:rFonts w:ascii="Times New Roman" w:cs="Times New Roman" w:eastAsia="Times New Roman" w:hAnsi="Times New Roman"/>
          <w:sz w:val="18"/>
          <w:szCs w:val="18"/>
          <w:color w:val="auto"/>
        </w:rPr>
        <w:t>The Group relied on the VIE Agreements to operate and control the former VIE. All the former VIE Agreements were governed by the PRC laws and provided for the resolution of disputes through arbitration in China. Accordingly, these agreements would be interpreted in accordance with the PRC laws and any disputes would be resolved in accordance with the PRC legal procedures. In the opinion of management, taking into account the legal opinion obtained from the Group’s PRC legal counsel, the contractual arrangements described above were valid, binding and enforceable upon each party to such arrangements in accordance with its terms and applicable PRC laws.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00"/>
          </w:cols>
          <w:pgMar w:left="320" w:top="482" w:right="47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Summary financial information of the Group’s former VIE, inclusive of former VIE’s subsidiaries</w:t>
      </w:r>
    </w:p>
    <w:p>
      <w:pPr>
        <w:spacing w:after="0" w:line="121" w:lineRule="exact"/>
        <w:rPr>
          <w:sz w:val="20"/>
          <w:szCs w:val="20"/>
          <w:color w:val="auto"/>
        </w:rPr>
      </w:pPr>
    </w:p>
    <w:p>
      <w:pPr>
        <w:ind w:left="560" w:right="720"/>
        <w:spacing w:after="0" w:line="282" w:lineRule="auto"/>
        <w:rPr>
          <w:sz w:val="20"/>
          <w:szCs w:val="20"/>
          <w:color w:val="auto"/>
        </w:rPr>
      </w:pPr>
      <w:r>
        <w:rPr>
          <w:rFonts w:ascii="Times New Roman" w:cs="Times New Roman" w:eastAsia="Times New Roman" w:hAnsi="Times New Roman"/>
          <w:sz w:val="18"/>
          <w:szCs w:val="18"/>
          <w:color w:val="auto"/>
        </w:rPr>
        <w:t>The Group’s involvement with the former VIE under the VIE Agreements affected the Group’s consolidated financial position, results of operations and cash flows as indicated below.</w:t>
      </w:r>
    </w:p>
    <w:p>
      <w:pPr>
        <w:spacing w:after="0" w:line="162" w:lineRule="exact"/>
        <w:rPr>
          <w:sz w:val="20"/>
          <w:szCs w:val="20"/>
          <w:color w:val="auto"/>
        </w:rPr>
      </w:pPr>
    </w:p>
    <w:p>
      <w:pPr>
        <w:ind w:left="560" w:right="680"/>
        <w:spacing w:after="0" w:line="282" w:lineRule="auto"/>
        <w:rPr>
          <w:sz w:val="20"/>
          <w:szCs w:val="20"/>
          <w:color w:val="auto"/>
        </w:rPr>
      </w:pPr>
      <w:r>
        <w:rPr>
          <w:rFonts w:ascii="Times New Roman" w:cs="Times New Roman" w:eastAsia="Times New Roman" w:hAnsi="Times New Roman"/>
          <w:sz w:val="18"/>
          <w:szCs w:val="18"/>
          <w:color w:val="auto"/>
        </w:rPr>
        <w:t>The following consolidated revenue, net loss and cash flow information for the year ended December 31, 2022, have been included in the accompanying consolidated financial statements.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i w:val="1"/>
                <w:iCs w:val="1"/>
                <w:color w:val="auto"/>
              </w:rPr>
              <w:t>For the year ended</w:t>
            </w:r>
          </w:p>
        </w:tc>
      </w:tr>
      <w:tr>
        <w:trPr>
          <w:trHeight w:val="173"/>
        </w:trPr>
        <w:tc>
          <w:tcPr>
            <w:tcW w:w="374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rPr>
              <w:t>December 31, 2022</w:t>
            </w:r>
          </w:p>
        </w:tc>
      </w:tr>
      <w:tr>
        <w:trPr>
          <w:trHeight w:val="155"/>
        </w:trPr>
        <w:tc>
          <w:tcPr>
            <w:tcW w:w="374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114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RMB’000</w:t>
            </w:r>
          </w:p>
        </w:tc>
        <w:tc>
          <w:tcPr>
            <w:tcW w:w="120" w:type="dxa"/>
            <w:vAlign w:val="bottom"/>
          </w:tcPr>
          <w:p>
            <w:pPr>
              <w:spacing w:after="0"/>
              <w:rPr>
                <w:sz w:val="13"/>
                <w:szCs w:val="13"/>
                <w:color w:val="auto"/>
              </w:rPr>
            </w:pPr>
          </w:p>
        </w:tc>
      </w:tr>
      <w:tr>
        <w:trPr>
          <w:trHeight w:val="23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6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181,539</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6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(188,961)</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6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(68,652)</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(15,876)</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6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(638,252)</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w:t>
            </w:r>
          </w:p>
        </w:tc>
        <w:tc>
          <w:tcPr>
            <w:tcW w:w="6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(722,780)</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the beginning of the year</w:t>
            </w:r>
          </w:p>
        </w:tc>
        <w:tc>
          <w:tcPr>
            <w:tcW w:w="6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764,207</w:t>
            </w: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Cash at the end of the year</w:t>
            </w:r>
          </w:p>
        </w:tc>
        <w:tc>
          <w:tcPr>
            <w:tcW w:w="6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41,427</w:t>
            </w:r>
          </w:p>
        </w:tc>
      </w:tr>
      <w:tr>
        <w:trPr>
          <w:trHeight w:val="346"/>
        </w:trPr>
        <w:tc>
          <w:tcPr>
            <w:tcW w:w="3740" w:type="dxa"/>
            <w:vAlign w:val="bottom"/>
          </w:tcPr>
          <w:p>
            <w:pPr>
              <w:spacing w:after="0"/>
              <w:rPr>
                <w:sz w:val="24"/>
                <w:szCs w:val="24"/>
                <w:color w:val="auto"/>
              </w:rPr>
            </w:pPr>
          </w:p>
        </w:tc>
        <w:tc>
          <w:tcPr>
            <w:tcW w:w="6840" w:type="dxa"/>
            <w:vAlign w:val="bottom"/>
            <w:gridSpan w:val="3"/>
          </w:tcPr>
          <w:p>
            <w:pPr>
              <w:jc w:val="right"/>
              <w:ind w:right="5340"/>
              <w:spacing w:after="0"/>
              <w:rPr>
                <w:sz w:val="20"/>
                <w:szCs w:val="20"/>
                <w:color w:val="auto"/>
              </w:rPr>
            </w:pPr>
            <w:r>
              <w:rPr>
                <w:rFonts w:ascii="Times New Roman" w:cs="Times New Roman" w:eastAsia="Times New Roman" w:hAnsi="Times New Roman"/>
                <w:sz w:val="18"/>
                <w:szCs w:val="18"/>
                <w:color w:val="auto"/>
              </w:rPr>
              <w:t>F-15</w:t>
            </w:r>
          </w:p>
        </w:tc>
      </w:tr>
    </w:tbl>
    <w:p>
      <w:pPr>
        <w:sectPr>
          <w:pgSz w:w="11900" w:h="16838" w:orient="portrait"/>
          <w:cols w:equalWidth="0" w:num="1">
            <w:col w:w="11140"/>
          </w:cols>
          <w:pgMar w:left="320" w:top="482" w:right="4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right="540"/>
        <w:spacing w:after="0" w:line="282" w:lineRule="auto"/>
        <w:rPr>
          <w:sz w:val="20"/>
          <w:szCs w:val="20"/>
          <w:color w:val="auto"/>
        </w:rPr>
      </w:pPr>
      <w:r>
        <w:rPr>
          <w:rFonts w:ascii="Times New Roman" w:cs="Times New Roman" w:eastAsia="Times New Roman" w:hAnsi="Times New Roman"/>
          <w:sz w:val="18"/>
          <w:szCs w:val="18"/>
          <w:color w:val="auto"/>
        </w:rPr>
        <w:t>During the year presented, the Company and its wholly-owned subsidiaries provided financial support to the former VIE that they were not previously contractually required to provide in the form of advances.</w:t>
      </w:r>
    </w:p>
    <w:p>
      <w:pPr>
        <w:spacing w:after="0" w:line="306" w:lineRule="exact"/>
        <w:rPr>
          <w:sz w:val="20"/>
          <w:szCs w:val="20"/>
          <w:color w:val="auto"/>
        </w:rPr>
      </w:pPr>
    </w:p>
    <w:p>
      <w:pPr>
        <w:ind w:left="1080" w:hanging="532"/>
        <w:spacing w:after="0"/>
        <w:tabs>
          <w:tab w:leader="none" w:pos="1080" w:val="left"/>
        </w:tabs>
        <w:numPr>
          <w:ilvl w:val="0"/>
          <w:numId w:val="1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preparation and presentation</w:t>
      </w:r>
    </w:p>
    <w:p>
      <w:pPr>
        <w:spacing w:after="0" w:line="121"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color w:val="auto"/>
        </w:rPr>
        <w:t>The Group has adopted December 31 as its financial year end date. These consolidated financial statements have been prepared in accordance with all applicable International Financial Reporting Standards Accounting Standards (“IFRS” or “IFRS Accounting Standards”) as issued by the International Accounting Standards Board (“IASB”). These consolidated financial statements were approved and authorised for issue by the Board of Directors on March 25, 2025. Material accounting policies adopted by the Group are disclosed in Note 2.</w:t>
      </w:r>
    </w:p>
    <w:p>
      <w:pPr>
        <w:spacing w:after="0" w:line="72"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The IASB has issued a number of new and revised IFRS Accounting Standards that are first effective or available for early adoption for the annual accounting periods beginning on January 1, 2024. Note 1(e) provides information on any changes in accounting policies resulting from initial application of these developments to the extent that they are relevant to the Group for the year ended December 31, 2024 reflected in these consolidated financial statements. The new and revised accounting standards and interpretations issued but not yet effective for the accounting period beginning on January 1, 2024 are set out in Note 36.</w:t>
      </w:r>
    </w:p>
    <w:p>
      <w:pPr>
        <w:spacing w:after="0" w:line="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consolidated financial statements for the years presented comprise the Company, its subsidiaries and/or former VIE and its subsidiaries.</w:t>
      </w:r>
    </w:p>
    <w:p>
      <w:pPr>
        <w:spacing w:after="0" w:line="117" w:lineRule="exact"/>
        <w:rPr>
          <w:sz w:val="20"/>
          <w:szCs w:val="20"/>
          <w:color w:val="auto"/>
        </w:rPr>
      </w:pPr>
    </w:p>
    <w:p>
      <w:pPr>
        <w:ind w:left="560" w:right="420"/>
        <w:spacing w:after="0" w:line="282" w:lineRule="auto"/>
        <w:rPr>
          <w:sz w:val="20"/>
          <w:szCs w:val="20"/>
          <w:color w:val="auto"/>
        </w:rPr>
      </w:pPr>
      <w:r>
        <w:rPr>
          <w:rFonts w:ascii="Times New Roman" w:cs="Times New Roman" w:eastAsia="Times New Roman" w:hAnsi="Times New Roman"/>
          <w:sz w:val="18"/>
          <w:szCs w:val="18"/>
          <w:color w:val="auto"/>
        </w:rPr>
        <w:t>The measurement basis used in the preparation of these consolidated financial statements is the historical cost basis except that the following assets and liabilities are stated at their fair value as explained in the accounting policies set out below:</w:t>
      </w:r>
    </w:p>
    <w:p>
      <w:pPr>
        <w:spacing w:after="0" w:line="67" w:lineRule="exact"/>
        <w:rPr>
          <w:sz w:val="20"/>
          <w:szCs w:val="20"/>
          <w:color w:val="auto"/>
        </w:rPr>
      </w:pPr>
    </w:p>
    <w:p>
      <w:pPr>
        <w:ind w:left="1080" w:hanging="532"/>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investments in securities (see Note 2(g));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liabilities measured at FVTPL (see Note (2(s)).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20"/>
          </w:cols>
          <w:pgMar w:left="320" w:top="482" w:right="4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right="100"/>
        <w:spacing w:after="0" w:line="258"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in conformity with IFRS Accounting Standards requires management to make judgments, estimates and assumptions that affect the application of policies and reported amounts of assets, liabilities, income and expenses. The estimates and associated assumptions are based on historical experience and various other factors that are believed to be reasonable under the circumstances, the results of which form the basis of making the judgments about carrying values of assets and liabilities that are not readily apparent from other sources. Actual results may differ from these estimates.</w:t>
      </w:r>
    </w:p>
    <w:p>
      <w:pPr>
        <w:spacing w:after="0" w:line="75" w:lineRule="exact"/>
        <w:rPr>
          <w:sz w:val="20"/>
          <w:szCs w:val="20"/>
          <w:color w:val="auto"/>
        </w:rPr>
      </w:pPr>
    </w:p>
    <w:p>
      <w:pPr>
        <w:ind w:left="560" w:right="160"/>
        <w:spacing w:after="0" w:line="266" w:lineRule="auto"/>
        <w:rPr>
          <w:sz w:val="20"/>
          <w:szCs w:val="20"/>
          <w:color w:val="auto"/>
        </w:rPr>
      </w:pPr>
      <w:r>
        <w:rPr>
          <w:rFonts w:ascii="Times New Roman" w:cs="Times New Roman" w:eastAsia="Times New Roman" w:hAnsi="Times New Roman"/>
          <w:sz w:val="18"/>
          <w:szCs w:val="18"/>
          <w:color w:val="auto"/>
        </w:rPr>
        <w:t>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68" w:lineRule="exact"/>
        <w:rPr>
          <w:sz w:val="20"/>
          <w:szCs w:val="20"/>
          <w:color w:val="auto"/>
        </w:rPr>
      </w:pPr>
    </w:p>
    <w:p>
      <w:pPr>
        <w:ind w:left="560" w:right="520"/>
        <w:spacing w:after="0" w:line="282" w:lineRule="auto"/>
        <w:rPr>
          <w:sz w:val="20"/>
          <w:szCs w:val="20"/>
          <w:color w:val="auto"/>
        </w:rPr>
      </w:pPr>
      <w:r>
        <w:rPr>
          <w:rFonts w:ascii="Times New Roman" w:cs="Times New Roman" w:eastAsia="Times New Roman" w:hAnsi="Times New Roman"/>
          <w:sz w:val="18"/>
          <w:szCs w:val="18"/>
          <w:color w:val="auto"/>
        </w:rPr>
        <w:t>Judgments made by management in the application of IFRS Accounting Standards that have significant effect on the consolidated financial statements and major sources of estimation uncertainty are discussed in Note 3.</w:t>
      </w:r>
    </w:p>
    <w:p>
      <w:pPr>
        <w:spacing w:after="0" w:line="306" w:lineRule="exact"/>
        <w:rPr>
          <w:sz w:val="20"/>
          <w:szCs w:val="20"/>
          <w:color w:val="auto"/>
        </w:rPr>
      </w:pPr>
    </w:p>
    <w:p>
      <w:pPr>
        <w:ind w:left="540" w:hanging="424"/>
        <w:spacing w:after="0"/>
        <w:tabs>
          <w:tab w:leader="none" w:pos="540" w:val="left"/>
        </w:tabs>
        <w:numPr>
          <w:ilvl w:val="0"/>
          <w:numId w:val="1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Changes in accounting policies</w:t>
      </w:r>
    </w:p>
    <w:p>
      <w:pPr>
        <w:spacing w:after="0" w:line="121" w:lineRule="exact"/>
        <w:rPr>
          <w:rFonts w:ascii="Times New Roman" w:cs="Times New Roman" w:eastAsia="Times New Roman" w:hAnsi="Times New Roman"/>
          <w:sz w:val="18"/>
          <w:szCs w:val="18"/>
          <w:b w:val="1"/>
          <w:bCs w:val="1"/>
          <w:i w:val="1"/>
          <w:iCs w:val="1"/>
          <w:color w:val="auto"/>
        </w:rPr>
      </w:pPr>
    </w:p>
    <w:p>
      <w:pPr>
        <w:ind w:left="560" w:right="38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IASB has issued the following amendments to IFRS Accounting Standards that are first effective for the accounting period beginning on January 1, 2024 and the Group has applied these amendments to these consolidated financial statements for the current year:</w:t>
      </w:r>
    </w:p>
    <w:p>
      <w:pPr>
        <w:spacing w:after="0" w:line="65" w:lineRule="exact"/>
        <w:rPr>
          <w:rFonts w:ascii="Times New Roman" w:cs="Times New Roman" w:eastAsia="Times New Roman" w:hAnsi="Times New Roman"/>
          <w:sz w:val="18"/>
          <w:szCs w:val="18"/>
          <w:b w:val="1"/>
          <w:bCs w:val="1"/>
          <w:i w:val="1"/>
          <w:iCs w:val="1"/>
          <w:color w:val="auto"/>
        </w:rPr>
      </w:pPr>
    </w:p>
    <w:p>
      <w:pPr>
        <w:ind w:left="1080" w:hanging="424"/>
        <w:spacing w:after="0"/>
        <w:tabs>
          <w:tab w:leader="none" w:pos="10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Amendments to IFRS 16, </w:t>
      </w:r>
      <w:r>
        <w:rPr>
          <w:rFonts w:ascii="Times New Roman" w:cs="Times New Roman" w:eastAsia="Times New Roman" w:hAnsi="Times New Roman"/>
          <w:sz w:val="18"/>
          <w:szCs w:val="18"/>
          <w:i w:val="1"/>
          <w:iCs w:val="1"/>
          <w:color w:val="auto"/>
        </w:rPr>
        <w:t>Lease Liability in a Sale and Leaseback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Amendments to IAS 7, </w:t>
      </w:r>
      <w:r>
        <w:rPr>
          <w:rFonts w:ascii="Times New Roman" w:cs="Times New Roman" w:eastAsia="Times New Roman" w:hAnsi="Times New Roman"/>
          <w:sz w:val="18"/>
          <w:szCs w:val="18"/>
          <w:i w:val="1"/>
          <w:iCs w:val="1"/>
          <w:color w:val="auto"/>
        </w:rPr>
        <w:t>Statement</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i w:val="1"/>
          <w:iCs w:val="1"/>
          <w:color w:val="auto"/>
        </w:rPr>
        <w:t>cash flows and IFRS 7, Financial instruments: Disclosures – Supplier finance arrangements</w:t>
      </w:r>
    </w:p>
    <w:p>
      <w:pPr>
        <w:spacing w:after="0" w:line="119" w:lineRule="exact"/>
        <w:rPr>
          <w:sz w:val="20"/>
          <w:szCs w:val="20"/>
          <w:color w:val="auto"/>
        </w:rPr>
      </w:pPr>
    </w:p>
    <w:p>
      <w:pPr>
        <w:ind w:left="560" w:right="160"/>
        <w:spacing w:after="0" w:line="282" w:lineRule="auto"/>
        <w:rPr>
          <w:sz w:val="20"/>
          <w:szCs w:val="20"/>
          <w:color w:val="auto"/>
        </w:rPr>
      </w:pPr>
      <w:r>
        <w:rPr>
          <w:rFonts w:ascii="Times New Roman" w:cs="Times New Roman" w:eastAsia="Times New Roman" w:hAnsi="Times New Roman"/>
          <w:sz w:val="18"/>
          <w:szCs w:val="18"/>
          <w:color w:val="auto"/>
        </w:rPr>
        <w:t>None of these developments have had a material effect on how the Group’s results and financial position for the accounting period beginning on January 1, 2024 have been prepared or presented.</w:t>
      </w:r>
    </w:p>
    <w:p>
      <w:pPr>
        <w:spacing w:after="0" w:line="306" w:lineRule="exact"/>
        <w:rPr>
          <w:sz w:val="20"/>
          <w:szCs w:val="20"/>
          <w:color w:val="auto"/>
        </w:rPr>
      </w:pPr>
    </w:p>
    <w:p>
      <w:pPr>
        <w:ind w:left="540" w:hanging="424"/>
        <w:spacing w:after="0"/>
        <w:tabs>
          <w:tab w:leader="none" w:pos="54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accounting policies</w:t>
      </w:r>
    </w:p>
    <w:p>
      <w:pPr>
        <w:spacing w:after="0" w:line="131" w:lineRule="exact"/>
        <w:rPr>
          <w:sz w:val="20"/>
          <w:szCs w:val="20"/>
          <w:color w:val="auto"/>
        </w:rPr>
      </w:pPr>
    </w:p>
    <w:p>
      <w:pPr>
        <w:ind w:left="540" w:hanging="424"/>
        <w:spacing w:after="0"/>
        <w:tabs>
          <w:tab w:leader="none" w:pos="540" w:val="left"/>
        </w:tabs>
        <w:numPr>
          <w:ilvl w:val="0"/>
          <w:numId w:val="1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Subsidiaries</w:t>
      </w:r>
    </w:p>
    <w:p>
      <w:pPr>
        <w:spacing w:after="0" w:line="121" w:lineRule="exact"/>
        <w:rPr>
          <w:rFonts w:ascii="Times New Roman" w:cs="Times New Roman" w:eastAsia="Times New Roman" w:hAnsi="Times New Roman"/>
          <w:sz w:val="18"/>
          <w:szCs w:val="18"/>
          <w:b w:val="1"/>
          <w:bCs w:val="1"/>
          <w:i w:val="1"/>
          <w:iCs w:val="1"/>
          <w:color w:val="auto"/>
        </w:rPr>
      </w:pPr>
    </w:p>
    <w:p>
      <w:pPr>
        <w:ind w:left="56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Subsidiaries are entities controlled by the Group. The Group controls an entity when it is exposed, or has rights, to variable returns from its involvement with the entity and has the ability to affect those returns through its power over the entity. The financial statements of subsidiaries are included in the consolidated financial statements from the date on which control commences until the date on which control ceases.</w:t>
      </w:r>
    </w:p>
    <w:p>
      <w:pPr>
        <w:spacing w:after="0" w:line="67" w:lineRule="exact"/>
        <w:rPr>
          <w:rFonts w:ascii="Times New Roman" w:cs="Times New Roman" w:eastAsia="Times New Roman" w:hAnsi="Times New Roman"/>
          <w:sz w:val="18"/>
          <w:szCs w:val="18"/>
          <w:b w:val="1"/>
          <w:bCs w:val="1"/>
          <w:i w:val="1"/>
          <w:iCs w:val="1"/>
          <w:color w:val="auto"/>
        </w:rPr>
      </w:pPr>
    </w:p>
    <w:p>
      <w:pPr>
        <w:ind w:left="560" w:right="24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Intra-group balances and transactions, and any unrealized income and expenses (except for foreign currency transaction gains or losses) arising from intra-group transactions, are eliminated. Unrealized losses resulting from intra-group transactions are eliminated in the same way as unrealized gains, but only to the extent that there is no evidence of impairment.</w:t>
      </w:r>
    </w:p>
    <w:p>
      <w:pPr>
        <w:spacing w:after="0" w:line="67" w:lineRule="exact"/>
        <w:rPr>
          <w:rFonts w:ascii="Times New Roman" w:cs="Times New Roman" w:eastAsia="Times New Roman" w:hAnsi="Times New Roman"/>
          <w:sz w:val="18"/>
          <w:szCs w:val="18"/>
          <w:b w:val="1"/>
          <w:bCs w:val="1"/>
          <w:i w:val="1"/>
          <w:iCs w:val="1"/>
          <w:color w:val="auto"/>
        </w:rPr>
      </w:pPr>
    </w:p>
    <w:p>
      <w:pPr>
        <w:ind w:left="5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Changes in the Group’s interests in a subsidiary that do not result in a loss of control are accounted for as equity transactions.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00"/>
          </w:cols>
          <w:pgMar w:left="320" w:top="482" w:right="47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right="100"/>
        <w:spacing w:after="0" w:line="312" w:lineRule="auto"/>
        <w:rPr>
          <w:sz w:val="20"/>
          <w:szCs w:val="20"/>
          <w:color w:val="auto"/>
        </w:rPr>
      </w:pPr>
      <w:r>
        <w:rPr>
          <w:rFonts w:ascii="Times New Roman" w:cs="Times New Roman" w:eastAsia="Times New Roman" w:hAnsi="Times New Roman"/>
          <w:sz w:val="17"/>
          <w:szCs w:val="17"/>
          <w:color w:val="auto"/>
        </w:rPr>
        <w:t>When the Group loses control of a subsidiary, it derecognizes the assets and liabilities of the subsidiary and other components of equity. Any resulting gain or loss is recognized in profit or loss. Any interest retained in that former subsidiary is measured at fair value when control is lost.</w:t>
      </w:r>
    </w:p>
    <w:p>
      <w:pPr>
        <w:spacing w:after="0" w:line="32" w:lineRule="exact"/>
        <w:rPr>
          <w:sz w:val="20"/>
          <w:szCs w:val="20"/>
          <w:color w:val="auto"/>
        </w:rPr>
      </w:pPr>
    </w:p>
    <w:p>
      <w:pPr>
        <w:jc w:val="both"/>
        <w:ind w:left="560"/>
        <w:spacing w:after="0" w:line="266" w:lineRule="auto"/>
        <w:rPr>
          <w:sz w:val="20"/>
          <w:szCs w:val="20"/>
          <w:color w:val="auto"/>
        </w:rPr>
      </w:pPr>
      <w:r>
        <w:rPr>
          <w:rFonts w:ascii="Times New Roman" w:cs="Times New Roman" w:eastAsia="Times New Roman" w:hAnsi="Times New Roman"/>
          <w:sz w:val="18"/>
          <w:szCs w:val="18"/>
          <w:color w:val="auto"/>
        </w:rPr>
        <w:t>In the Company’s statement of financial position, an investment in a subsidiary is accounted for using the equity method. It is initially recognized at cost, which includes transaction costs. Subsequently, the Company’s statement of financial position includes the Company’s share of the profit or loss and other comprehensive income (“OCI”) of the subsidiary, until the date on which the control is lost.</w:t>
      </w:r>
    </w:p>
    <w:p>
      <w:pPr>
        <w:spacing w:after="0" w:line="68" w:lineRule="exact"/>
        <w:rPr>
          <w:sz w:val="20"/>
          <w:szCs w:val="20"/>
          <w:color w:val="auto"/>
        </w:rPr>
      </w:pPr>
    </w:p>
    <w:p>
      <w:pPr>
        <w:jc w:val="both"/>
        <w:ind w:left="560" w:right="240"/>
        <w:spacing w:after="0" w:line="258" w:lineRule="auto"/>
        <w:rPr>
          <w:sz w:val="20"/>
          <w:szCs w:val="20"/>
          <w:color w:val="auto"/>
        </w:rPr>
      </w:pPr>
      <w:r>
        <w:rPr>
          <w:rFonts w:ascii="Times New Roman" w:cs="Times New Roman" w:eastAsia="Times New Roman" w:hAnsi="Times New Roman"/>
          <w:sz w:val="18"/>
          <w:szCs w:val="18"/>
          <w:color w:val="auto"/>
        </w:rPr>
        <w:t>When the Company’s share of losses exceeds its interest in the subsidiary, the Company’s interest is reduced to nil and recognition of further losses is discontinued except to the extent that the Company has incurred legal or constructive obligations or made payments on behalf of the subsidiary. For this purpose, the Company’s interest is the carrying amount of the investment under the equity method, together with any other long-term interests that in substance form part of the Company’s net investment in the subsidiary, after applying the ECL model to such other long-term interests where applicable (see Note 2(h)(i)).</w:t>
      </w:r>
    </w:p>
    <w:p>
      <w:pPr>
        <w:spacing w:after="0" w:line="328" w:lineRule="exact"/>
        <w:rPr>
          <w:sz w:val="20"/>
          <w:szCs w:val="20"/>
          <w:color w:val="auto"/>
        </w:rPr>
      </w:pPr>
    </w:p>
    <w:p>
      <w:pPr>
        <w:ind w:left="540" w:hanging="424"/>
        <w:spacing w:after="0"/>
        <w:tabs>
          <w:tab w:leader="none" w:pos="540" w:val="left"/>
        </w:tabs>
        <w:numPr>
          <w:ilvl w:val="0"/>
          <w:numId w:val="1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Business combination</w:t>
      </w:r>
    </w:p>
    <w:p>
      <w:pPr>
        <w:spacing w:after="0" w:line="229" w:lineRule="exact"/>
        <w:rPr>
          <w:rFonts w:ascii="Times New Roman" w:cs="Times New Roman" w:eastAsia="Times New Roman" w:hAnsi="Times New Roman"/>
          <w:sz w:val="18"/>
          <w:szCs w:val="18"/>
          <w:b w:val="1"/>
          <w:bCs w:val="1"/>
          <w:i w:val="1"/>
          <w:iCs w:val="1"/>
          <w:color w:val="auto"/>
        </w:rPr>
      </w:pPr>
    </w:p>
    <w:p>
      <w:pPr>
        <w:ind w:left="560" w:right="10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Group accounts for business combinations using the acquisition method when control is transferred to the Group. The consideration transferred in the acquisition is generally measured at fair value, as are the identifiable net assets acquired. Any goodwill that arises is tested annually for impairment (see Note 2(c)). Any gain on a bargain purchase is recognized in profit or loss immediately. Transaction costs are expensed as incurred, except if related to the issue of debt or equity securities. The consideration transferred does not include amounts related to the settlement of pre-existing relationships. Such amounts are generally recognized in profit or loss.</w:t>
      </w:r>
    </w:p>
    <w:p>
      <w:pPr>
        <w:spacing w:after="0" w:line="327" w:lineRule="exact"/>
        <w:rPr>
          <w:rFonts w:ascii="Times New Roman" w:cs="Times New Roman" w:eastAsia="Times New Roman" w:hAnsi="Times New Roman"/>
          <w:sz w:val="18"/>
          <w:szCs w:val="18"/>
          <w:b w:val="1"/>
          <w:bCs w:val="1"/>
          <w:i w:val="1"/>
          <w:iCs w:val="1"/>
          <w:color w:val="auto"/>
        </w:rPr>
      </w:pPr>
    </w:p>
    <w:p>
      <w:pPr>
        <w:ind w:left="540" w:hanging="424"/>
        <w:spacing w:after="0"/>
        <w:tabs>
          <w:tab w:leader="none" w:pos="540" w:val="left"/>
        </w:tabs>
        <w:numPr>
          <w:ilvl w:val="0"/>
          <w:numId w:val="1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rFonts w:ascii="Times New Roman" w:cs="Times New Roman" w:eastAsia="Times New Roman" w:hAnsi="Times New Roman"/>
          <w:sz w:val="18"/>
          <w:szCs w:val="18"/>
          <w:b w:val="1"/>
          <w:bCs w:val="1"/>
          <w:i w:val="1"/>
          <w:iCs w:val="1"/>
          <w:color w:val="auto"/>
        </w:rPr>
      </w:pPr>
    </w:p>
    <w:p>
      <w:pPr>
        <w:ind w:left="560" w:right="46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Goodwill arising on acquisition of businesses is measured at cost less accumulated impairment losses and is tested annually for impairment (see Note 2(h)(ii)).</w:t>
      </w:r>
    </w:p>
    <w:p>
      <w:pPr>
        <w:spacing w:after="0" w:line="306" w:lineRule="exact"/>
        <w:rPr>
          <w:rFonts w:ascii="Times New Roman" w:cs="Times New Roman" w:eastAsia="Times New Roman" w:hAnsi="Times New Roman"/>
          <w:sz w:val="18"/>
          <w:szCs w:val="18"/>
          <w:b w:val="1"/>
          <w:bCs w:val="1"/>
          <w:i w:val="1"/>
          <w:iCs w:val="1"/>
          <w:color w:val="auto"/>
        </w:rPr>
      </w:pPr>
    </w:p>
    <w:p>
      <w:pPr>
        <w:ind w:left="540" w:hanging="424"/>
        <w:spacing w:after="0"/>
        <w:tabs>
          <w:tab w:leader="none" w:pos="540" w:val="left"/>
        </w:tabs>
        <w:numPr>
          <w:ilvl w:val="0"/>
          <w:numId w:val="1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rFonts w:ascii="Times New Roman" w:cs="Times New Roman" w:eastAsia="Times New Roman" w:hAnsi="Times New Roman"/>
          <w:sz w:val="18"/>
          <w:szCs w:val="18"/>
          <w:b w:val="1"/>
          <w:bCs w:val="1"/>
          <w:i w:val="1"/>
          <w:iCs w:val="1"/>
          <w:color w:val="auto"/>
        </w:rPr>
      </w:pPr>
    </w:p>
    <w:p>
      <w:pPr>
        <w:ind w:left="5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Property and equipment are stated at cost less accumulated depreciation and impairment losses (see Note 2(h)(ii)).</w:t>
      </w:r>
    </w:p>
    <w:p>
      <w:pPr>
        <w:spacing w:after="0" w:line="117" w:lineRule="exact"/>
        <w:rPr>
          <w:rFonts w:ascii="Times New Roman" w:cs="Times New Roman" w:eastAsia="Times New Roman" w:hAnsi="Times New Roman"/>
          <w:sz w:val="18"/>
          <w:szCs w:val="18"/>
          <w:b w:val="1"/>
          <w:bCs w:val="1"/>
          <w:i w:val="1"/>
          <w:iCs w:val="1"/>
          <w:color w:val="auto"/>
        </w:rPr>
      </w:pPr>
    </w:p>
    <w:p>
      <w:pPr>
        <w:ind w:left="560" w:right="32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Gains or losses arising from the retirement or disposal of an item of property and equipment are determined as the difference between the net disposal proceeds and the carrying amount of the item and are recognized in profit or loss on the date of retirement or disposal.</w:t>
      </w:r>
    </w:p>
    <w:p>
      <w:pPr>
        <w:spacing w:after="0" w:line="53" w:lineRule="exact"/>
        <w:rPr>
          <w:rFonts w:ascii="Times New Roman" w:cs="Times New Roman" w:eastAsia="Times New Roman" w:hAnsi="Times New Roman"/>
          <w:sz w:val="18"/>
          <w:szCs w:val="18"/>
          <w:b w:val="1"/>
          <w:bCs w:val="1"/>
          <w:i w:val="1"/>
          <w:iCs w:val="1"/>
          <w:color w:val="auto"/>
        </w:rPr>
      </w:pPr>
    </w:p>
    <w:p>
      <w:pPr>
        <w:ind w:left="560" w:right="16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Depreciation is calculated to write-off the cost of items of property and equipment, less their estimated residual value, if any, using the straight-line method over their estimated useful lives as follows:</w:t>
      </w:r>
    </w:p>
    <w:p>
      <w:pPr>
        <w:spacing w:after="0" w:line="67"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 Leasehold improvement</w:t>
            </w:r>
          </w:p>
        </w:tc>
        <w:tc>
          <w:tcPr>
            <w:tcW w:w="5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Over the shorter of the useful lives of the assets</w:t>
            </w:r>
          </w:p>
        </w:tc>
      </w:tr>
      <w:tr>
        <w:trPr>
          <w:trHeight w:val="216"/>
        </w:trPr>
        <w:tc>
          <w:tcPr>
            <w:tcW w:w="4960" w:type="dxa"/>
            <w:vAlign w:val="bottom"/>
          </w:tcPr>
          <w:p>
            <w:pPr>
              <w:spacing w:after="0"/>
              <w:rPr>
                <w:sz w:val="18"/>
                <w:szCs w:val="18"/>
                <w:color w:val="auto"/>
              </w:rPr>
            </w:pPr>
          </w:p>
        </w:tc>
        <w:tc>
          <w:tcPr>
            <w:tcW w:w="5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or lease terms of the associated properties</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 Machinery</w:t>
            </w:r>
          </w:p>
        </w:tc>
        <w:tc>
          <w:tcPr>
            <w:tcW w:w="5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years</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 Motor vehicles</w:t>
            </w:r>
          </w:p>
        </w:tc>
        <w:tc>
          <w:tcPr>
            <w:tcW w:w="5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 Office equipment and electronic equipment</w:t>
            </w:r>
          </w:p>
        </w:tc>
        <w:tc>
          <w:tcPr>
            <w:tcW w:w="5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years</w:t>
            </w:r>
          </w:p>
        </w:tc>
      </w:tr>
    </w:tbl>
    <w:p>
      <w:pPr>
        <w:spacing w:after="0" w:line="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Depreciation methods, useful lives and residual values are reviewed annually and adjusted if appropriate.</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040"/>
          </w:cols>
          <w:pgMar w:left="320" w:top="482" w:right="5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1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Leased assets</w:t>
      </w:r>
    </w:p>
    <w:p>
      <w:pPr>
        <w:spacing w:after="0" w:line="121" w:lineRule="exact"/>
        <w:rPr>
          <w:rFonts w:ascii="Times New Roman" w:cs="Times New Roman" w:eastAsia="Times New Roman" w:hAnsi="Times New Roman"/>
          <w:sz w:val="18"/>
          <w:szCs w:val="18"/>
          <w:b w:val="1"/>
          <w:bCs w:val="1"/>
          <w:i w:val="1"/>
          <w:iCs w:val="1"/>
          <w:color w:val="auto"/>
        </w:rPr>
      </w:pPr>
    </w:p>
    <w:p>
      <w:pPr>
        <w:ind w:left="560" w:right="6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At inception of a contract, the Group assesses whether the contract is, or contains, a lease. This is the case if the contract conveys the right to control the use of an identified asset for a period of time in exchange for consideration. Control is conveyed where the customer has both the right to direct the use of the identified asset and to obtain substantially all of the economic benefits from that use.</w:t>
      </w:r>
    </w:p>
    <w:p>
      <w:pPr>
        <w:spacing w:after="0" w:line="279" w:lineRule="exact"/>
        <w:rPr>
          <w:rFonts w:ascii="Times New Roman" w:cs="Times New Roman" w:eastAsia="Times New Roman" w:hAnsi="Times New Roman"/>
          <w:sz w:val="18"/>
          <w:szCs w:val="18"/>
          <w:b w:val="1"/>
          <w:bCs w:val="1"/>
          <w:i w:val="1"/>
          <w:iCs w:val="1"/>
          <w:color w:val="auto"/>
        </w:rPr>
      </w:pPr>
    </w:p>
    <w:p>
      <w:pPr>
        <w:ind w:left="5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As a lessee</w:t>
      </w:r>
    </w:p>
    <w:p>
      <w:pPr>
        <w:spacing w:after="0" w:line="121" w:lineRule="exact"/>
        <w:rPr>
          <w:rFonts w:ascii="Times New Roman" w:cs="Times New Roman" w:eastAsia="Times New Roman" w:hAnsi="Times New Roman"/>
          <w:sz w:val="18"/>
          <w:szCs w:val="18"/>
          <w:b w:val="1"/>
          <w:bCs w:val="1"/>
          <w:i w:val="1"/>
          <w:iCs w:val="1"/>
          <w:color w:val="auto"/>
        </w:rPr>
      </w:pPr>
    </w:p>
    <w:p>
      <w:pPr>
        <w:ind w:left="560" w:right="34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Where the contract contains lease component(s) and non-lease component(s), the Group has elected not to separate non-lease components and accounts for each lease component and any associated non-lease components as a single lease component for all leases.</w:t>
      </w:r>
    </w:p>
    <w:p>
      <w:pPr>
        <w:spacing w:after="0" w:line="53" w:lineRule="exact"/>
        <w:rPr>
          <w:rFonts w:ascii="Times New Roman" w:cs="Times New Roman" w:eastAsia="Times New Roman" w:hAnsi="Times New Roman"/>
          <w:sz w:val="18"/>
          <w:szCs w:val="18"/>
          <w:b w:val="1"/>
          <w:bCs w:val="1"/>
          <w:i w:val="1"/>
          <w:iCs w:val="1"/>
          <w:color w:val="auto"/>
        </w:rPr>
      </w:pPr>
    </w:p>
    <w:p>
      <w:pPr>
        <w:ind w:left="560" w:right="2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At the lease commencement date, the Group recognizes a right-of-use asset and a lease liability, except for short-term leases that have a lease term of 12 months or less and leases of low-value assets. When the Group enters into a lease in respect of a low-value asset, the Group decides whether to capitalize the lease on a lease-by-lease basis. The lease payments associated with those leases which are not capitalized are recognized as an expense on a systematic basis over the lease term.</w:t>
      </w:r>
    </w:p>
    <w:p>
      <w:pPr>
        <w:spacing w:after="0" w:line="71" w:lineRule="exact"/>
        <w:rPr>
          <w:rFonts w:ascii="Times New Roman" w:cs="Times New Roman" w:eastAsia="Times New Roman" w:hAnsi="Times New Roman"/>
          <w:sz w:val="18"/>
          <w:szCs w:val="18"/>
          <w:b w:val="1"/>
          <w:bCs w:val="1"/>
          <w:i w:val="1"/>
          <w:iCs w:val="1"/>
          <w:color w:val="auto"/>
        </w:rPr>
      </w:pPr>
    </w:p>
    <w:p>
      <w:pPr>
        <w:ind w:left="560" w:right="10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Where the lease is capitalized, the lease liability is initially recognized at the present value of the lease payments payable over the lease term, discounted using the interest rate implicit in the lease or, if that rate cannot be readily determined, using a relevant incremental borrowing rate. After initial recognition, the lease liability is measured at amortized cost and interest expense is calculated using the effective interest method. Variable lease payments that do not depend on an index or rate are not included in the measurement of the lease liability and hence are charged to profit or loss in the accounting period in which they are incurred.</w:t>
      </w:r>
    </w:p>
    <w:p>
      <w:pPr>
        <w:spacing w:after="0" w:line="75" w:lineRule="exact"/>
        <w:rPr>
          <w:rFonts w:ascii="Times New Roman" w:cs="Times New Roman" w:eastAsia="Times New Roman" w:hAnsi="Times New Roman"/>
          <w:sz w:val="18"/>
          <w:szCs w:val="18"/>
          <w:b w:val="1"/>
          <w:bCs w:val="1"/>
          <w:i w:val="1"/>
          <w:iCs w:val="1"/>
          <w:color w:val="auto"/>
        </w:rPr>
      </w:pPr>
    </w:p>
    <w:p>
      <w:pPr>
        <w:ind w:left="560" w:right="8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right-of-use asset recognized when a lease is capitalized is initially measured at cost, which comprises the initial amount of the lease liability plus any lease payments made at or before the commencement date, and any initial direct costs incurred. Where applicable, the cost of the right-of-use assets also includes an estimate of costs to dismantle and remove the underlying asset or to restore the underlying asset or the site on which it is located, discounted to their present value, less any lease incentives received. The right-of-use asset is subsequently stated at cost less accumulated depreciation and impairment losses (see Note 2(h)(ii)). Depreciation is calculated to write-off the cost using the straight-line method over their estimated useful lives using shorter of the useful lives of the underlying assets or lease terms.</w:t>
      </w:r>
    </w:p>
    <w:p>
      <w:pPr>
        <w:spacing w:after="0" w:line="79" w:lineRule="exact"/>
        <w:rPr>
          <w:rFonts w:ascii="Times New Roman" w:cs="Times New Roman" w:eastAsia="Times New Roman" w:hAnsi="Times New Roman"/>
          <w:sz w:val="18"/>
          <w:szCs w:val="18"/>
          <w:b w:val="1"/>
          <w:bCs w:val="1"/>
          <w:i w:val="1"/>
          <w:iCs w:val="1"/>
          <w:color w:val="auto"/>
        </w:rPr>
      </w:pPr>
    </w:p>
    <w:p>
      <w:pPr>
        <w:ind w:left="56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initial fair value of refundable rental deposits is accounted for separately from the right-of-use assets in accordance with the accounting policy applicable to investments in debt securities carried at amortized cost. Any difference between the initial fair value and the nominal value of the deposits is accounted for as additional lease payments made and is included in the cost of right-of-use assets.</w:t>
      </w:r>
    </w:p>
    <w:p>
      <w:pPr>
        <w:spacing w:after="0" w:line="67" w:lineRule="exact"/>
        <w:rPr>
          <w:rFonts w:ascii="Times New Roman" w:cs="Times New Roman" w:eastAsia="Times New Roman" w:hAnsi="Times New Roman"/>
          <w:sz w:val="18"/>
          <w:szCs w:val="18"/>
          <w:b w:val="1"/>
          <w:bCs w:val="1"/>
          <w:i w:val="1"/>
          <w:iCs w:val="1"/>
          <w:color w:val="auto"/>
        </w:rPr>
      </w:pPr>
    </w:p>
    <w:p>
      <w:pPr>
        <w:ind w:left="560" w:right="2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lease liability is remeasured when there is a change in future lease payments arising from a change in an index or rate, or there is a change in the Group’s estimate of the amount expected to be payable under a residual value guarantee, or there is a change arising from the reassessment of whether the Group will be reasonably certain to exercise a purchase, extension or termination option. When the lease liability is remeasured in this way, a corresponding adjustment is made to the carrying amount of the right-of-use asset or is recorded in profit or loss if the carrying amount of the right-of-use asset has been reduced to zero.</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20"/>
          </w:cols>
          <w:pgMar w:left="320" w:top="482" w:right="4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right="140"/>
        <w:spacing w:after="0" w:line="266" w:lineRule="auto"/>
        <w:rPr>
          <w:sz w:val="20"/>
          <w:szCs w:val="20"/>
          <w:color w:val="auto"/>
        </w:rPr>
      </w:pPr>
      <w:r>
        <w:rPr>
          <w:rFonts w:ascii="Times New Roman" w:cs="Times New Roman" w:eastAsia="Times New Roman" w:hAnsi="Times New Roman"/>
          <w:sz w:val="18"/>
          <w:szCs w:val="18"/>
          <w:color w:val="auto"/>
        </w:rPr>
        <w:t>The lease liability is also remeasured when there is a change in the scope of a lease or the consideration for a lease that is not originally provided for in the lease contract that is not accounted for as a separate lease. In this case the lease liability is remeasured based on the revised lease payments and lease term using a revised discount rate at the effective date of the modification.</w:t>
      </w:r>
    </w:p>
    <w:p>
      <w:pPr>
        <w:spacing w:after="0" w:line="68" w:lineRule="exact"/>
        <w:rPr>
          <w:sz w:val="20"/>
          <w:szCs w:val="20"/>
          <w:color w:val="auto"/>
        </w:rPr>
      </w:pPr>
    </w:p>
    <w:p>
      <w:pPr>
        <w:ind w:left="560" w:right="260"/>
        <w:spacing w:after="0" w:line="266" w:lineRule="auto"/>
        <w:rPr>
          <w:sz w:val="20"/>
          <w:szCs w:val="20"/>
          <w:color w:val="auto"/>
        </w:rPr>
      </w:pPr>
      <w:r>
        <w:rPr>
          <w:rFonts w:ascii="Times New Roman" w:cs="Times New Roman" w:eastAsia="Times New Roman" w:hAnsi="Times New Roman"/>
          <w:sz w:val="18"/>
          <w:szCs w:val="18"/>
          <w:color w:val="auto"/>
        </w:rPr>
        <w:t>In the consolidated statements of financial position, the current portion of long-term lease liabilities is determined as the present value of contractual payments that are due to be settled within twelve months after the years presented. The Group presents right-of-use assets and lease liabilities separately in the consolidated statements of financial position.</w:t>
      </w:r>
    </w:p>
    <w:p>
      <w:pPr>
        <w:spacing w:after="0" w:line="320" w:lineRule="exact"/>
        <w:rPr>
          <w:sz w:val="20"/>
          <w:szCs w:val="20"/>
          <w:color w:val="auto"/>
        </w:rPr>
      </w:pPr>
    </w:p>
    <w:p>
      <w:pPr>
        <w:ind w:left="540" w:hanging="424"/>
        <w:spacing w:after="0"/>
        <w:tabs>
          <w:tab w:leader="none" w:pos="540" w:val="left"/>
        </w:tabs>
        <w:numPr>
          <w:ilvl w:val="0"/>
          <w:numId w:val="1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Intangible assets (other than goodwill)</w:t>
      </w:r>
    </w:p>
    <w:p>
      <w:pPr>
        <w:spacing w:after="0" w:line="121" w:lineRule="exact"/>
        <w:rPr>
          <w:rFonts w:ascii="Times New Roman" w:cs="Times New Roman" w:eastAsia="Times New Roman" w:hAnsi="Times New Roman"/>
          <w:sz w:val="18"/>
          <w:szCs w:val="18"/>
          <w:b w:val="1"/>
          <w:bCs w:val="1"/>
          <w:i w:val="1"/>
          <w:iCs w:val="1"/>
          <w:color w:val="auto"/>
        </w:rPr>
      </w:pPr>
    </w:p>
    <w:p>
      <w:pPr>
        <w:jc w:val="both"/>
        <w:ind w:left="560"/>
        <w:spacing w:after="0" w:line="28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7"/>
          <w:szCs w:val="17"/>
          <w:color w:val="auto"/>
        </w:rPr>
        <w:t>Expenditure on research activities is recognized in profit or loss as incurred. Development expenditure is capitalized only if the expenditure can be measured reliably, the product or process is technically and commercially feasible, future economic benefits are probable and the Group intends to and has sufficient resources to complete development and to use or sell the resulting asset. Otherwise, it is recognized in profit or loss as incurred. Capitalized development expenditure is subsequently measured at cost less accumulated amortization and any accumulated impairment losses.</w:t>
      </w:r>
    </w:p>
    <w:p>
      <w:pPr>
        <w:spacing w:after="0" w:line="56" w:lineRule="exact"/>
        <w:rPr>
          <w:rFonts w:ascii="Times New Roman" w:cs="Times New Roman" w:eastAsia="Times New Roman" w:hAnsi="Times New Roman"/>
          <w:sz w:val="18"/>
          <w:szCs w:val="18"/>
          <w:b w:val="1"/>
          <w:bCs w:val="1"/>
          <w:i w:val="1"/>
          <w:iCs w:val="1"/>
          <w:color w:val="auto"/>
        </w:rPr>
      </w:pPr>
    </w:p>
    <w:p>
      <w:pPr>
        <w:ind w:left="560" w:right="4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Other intangible assets, including patents and software, that are acquired by the Group and have finite useful lives are measured at cost less accumulated amortization and any accumulated impairment losses (see Note 2(h)(ii)). Expenditure on internally generated goodwill and brands, is recognized in profit or loss as incurred.</w:t>
      </w:r>
    </w:p>
    <w:p>
      <w:pPr>
        <w:spacing w:after="0" w:line="67" w:lineRule="exact"/>
        <w:rPr>
          <w:rFonts w:ascii="Times New Roman" w:cs="Times New Roman" w:eastAsia="Times New Roman" w:hAnsi="Times New Roman"/>
          <w:sz w:val="18"/>
          <w:szCs w:val="18"/>
          <w:b w:val="1"/>
          <w:bCs w:val="1"/>
          <w:i w:val="1"/>
          <w:iCs w:val="1"/>
          <w:color w:val="auto"/>
        </w:rPr>
      </w:pPr>
    </w:p>
    <w:p>
      <w:pPr>
        <w:ind w:left="560" w:right="30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Amortization is calculated to write off the cost of intangible assets less their estimated residual values using the straight-line method over their estimated useful lives, if any, and is generally recognized in profit or loss.</w:t>
      </w:r>
    </w:p>
    <w:p>
      <w:pPr>
        <w:spacing w:after="0" w:line="53" w:lineRule="exact"/>
        <w:rPr>
          <w:rFonts w:ascii="Times New Roman" w:cs="Times New Roman" w:eastAsia="Times New Roman" w:hAnsi="Times New Roman"/>
          <w:sz w:val="18"/>
          <w:szCs w:val="18"/>
          <w:b w:val="1"/>
          <w:bCs w:val="1"/>
          <w:i w:val="1"/>
          <w:iCs w:val="1"/>
          <w:color w:val="auto"/>
        </w:rPr>
      </w:pPr>
    </w:p>
    <w:p>
      <w:pPr>
        <w:ind w:left="5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estimated useful lives for the current and comparative periods are as follows:</w:t>
      </w:r>
    </w:p>
    <w:p>
      <w:pPr>
        <w:sectPr>
          <w:pgSz w:w="11900" w:h="16838" w:orient="portrait"/>
          <w:cols w:equalWidth="0" w:num="1">
            <w:col w:w="11120"/>
          </w:cols>
          <w:pgMar w:left="320" w:top="482" w:right="459" w:bottom="1440" w:gutter="0" w:footer="0" w:header="0"/>
        </w:sectPr>
      </w:pPr>
    </w:p>
    <w:p>
      <w:pPr>
        <w:spacing w:after="0" w:line="2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Software</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Patent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5-10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years</w:t>
      </w:r>
    </w:p>
    <w:p>
      <w:pPr>
        <w:spacing w:after="0" w:line="99" w:lineRule="exact"/>
        <w:rPr>
          <w:sz w:val="20"/>
          <w:szCs w:val="20"/>
          <w:color w:val="auto"/>
        </w:rPr>
      </w:pPr>
    </w:p>
    <w:p>
      <w:pPr>
        <w:sectPr>
          <w:pgSz w:w="11900" w:h="16838" w:orient="portrait"/>
          <w:cols w:equalWidth="0" w:num="2">
            <w:col w:w="9160" w:space="720"/>
            <w:col w:w="1240"/>
          </w:cols>
          <w:pgMar w:left="320" w:top="482" w:right="45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7"/>
          <w:szCs w:val="17"/>
          <w:color w:val="auto"/>
        </w:rPr>
        <w:t>Amortization methods, useful lives and residual values are reviewed annually and adjusted if appropriate.</w:t>
      </w:r>
    </w:p>
    <w:p>
      <w:pPr>
        <w:sectPr>
          <w:pgSz w:w="11900" w:h="16838" w:orient="portrait"/>
          <w:cols w:equalWidth="0" w:num="1">
            <w:col w:w="11120"/>
          </w:cols>
          <w:pgMar w:left="320" w:top="482" w:right="459" w:bottom="1440" w:gutter="0" w:footer="0" w:header="0"/>
          <w:type w:val="continuous"/>
        </w:sectPr>
      </w:pPr>
    </w:p>
    <w:p>
      <w:pPr>
        <w:spacing w:after="0" w:line="129" w:lineRule="exact"/>
        <w:rPr>
          <w:sz w:val="20"/>
          <w:szCs w:val="20"/>
          <w:color w:val="auto"/>
        </w:rPr>
      </w:pPr>
    </w:p>
    <w:p>
      <w:pPr>
        <w:ind w:left="560" w:right="200"/>
        <w:spacing w:after="0" w:line="282" w:lineRule="auto"/>
        <w:rPr>
          <w:sz w:val="20"/>
          <w:szCs w:val="20"/>
          <w:color w:val="auto"/>
        </w:rPr>
      </w:pPr>
      <w:r>
        <w:rPr>
          <w:rFonts w:ascii="Times New Roman" w:cs="Times New Roman" w:eastAsia="Times New Roman" w:hAnsi="Times New Roman"/>
          <w:sz w:val="18"/>
          <w:szCs w:val="18"/>
          <w:color w:val="auto"/>
        </w:rPr>
        <w:t>The useful life of patent is determined based on the period of validity of patent protected by the relevant laws after considering the period of the economic benefits to the Group, technical obsolescence and estimates of useful lives of similar assets.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20"/>
          </w:cols>
          <w:pgMar w:left="320" w:top="482" w:right="459" w:bottom="1440" w:gutter="0" w:footer="0" w:header="0"/>
          <w:type w:val="continuous"/>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13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Other investments in securities</w:t>
      </w:r>
    </w:p>
    <w:p>
      <w:pPr>
        <w:spacing w:after="0" w:line="121" w:lineRule="exact"/>
        <w:rPr>
          <w:rFonts w:ascii="Times New Roman" w:cs="Times New Roman" w:eastAsia="Times New Roman" w:hAnsi="Times New Roman"/>
          <w:sz w:val="18"/>
          <w:szCs w:val="18"/>
          <w:b w:val="1"/>
          <w:bCs w:val="1"/>
          <w:i w:val="1"/>
          <w:iCs w:val="1"/>
          <w:color w:val="auto"/>
        </w:rPr>
      </w:pPr>
    </w:p>
    <w:p>
      <w:pPr>
        <w:ind w:left="5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Group’s policies for investments in securities, other than investments in subsidiaries, are set out below.</w:t>
      </w:r>
    </w:p>
    <w:p>
      <w:pPr>
        <w:spacing w:after="0" w:line="117" w:lineRule="exact"/>
        <w:rPr>
          <w:rFonts w:ascii="Times New Roman" w:cs="Times New Roman" w:eastAsia="Times New Roman" w:hAnsi="Times New Roman"/>
          <w:sz w:val="18"/>
          <w:szCs w:val="18"/>
          <w:b w:val="1"/>
          <w:bCs w:val="1"/>
          <w:i w:val="1"/>
          <w:iCs w:val="1"/>
          <w:color w:val="auto"/>
        </w:rPr>
      </w:pPr>
    </w:p>
    <w:p>
      <w:pPr>
        <w:ind w:left="560" w:right="6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investments are initially stated at fair value plus directly attributable transaction costs, except for those investments measured at FVTPL for which transaction costs are recognized directly in profit or loss. These investments are subsequently accounted for as follows, depending on their classification:</w:t>
      </w:r>
    </w:p>
    <w:p>
      <w:pPr>
        <w:spacing w:after="0" w:line="324" w:lineRule="exact"/>
        <w:rPr>
          <w:sz w:val="20"/>
          <w:szCs w:val="20"/>
          <w:color w:val="auto"/>
        </w:rPr>
      </w:pPr>
    </w:p>
    <w:p>
      <w:pPr>
        <w:ind w:left="1080" w:hanging="532"/>
        <w:spacing w:after="0"/>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Non-equity investments</w:t>
      </w:r>
    </w:p>
    <w:p>
      <w:pPr>
        <w:spacing w:after="0" w:line="117" w:lineRule="exact"/>
        <w:rPr>
          <w:sz w:val="20"/>
          <w:szCs w:val="20"/>
          <w:color w:val="auto"/>
        </w:rPr>
      </w:pPr>
    </w:p>
    <w:p>
      <w:pPr>
        <w:ind w:left="560" w:right="60"/>
        <w:spacing w:after="0" w:line="258" w:lineRule="auto"/>
        <w:rPr>
          <w:sz w:val="20"/>
          <w:szCs w:val="20"/>
          <w:color w:val="auto"/>
        </w:rPr>
      </w:pPr>
      <w:r>
        <w:rPr>
          <w:rFonts w:ascii="Times New Roman" w:cs="Times New Roman" w:eastAsia="Times New Roman" w:hAnsi="Times New Roman"/>
          <w:sz w:val="18"/>
          <w:szCs w:val="18"/>
          <w:color w:val="auto"/>
        </w:rPr>
        <w:t>Non-equity investments held by the Group are investments in certain wealth management products managed by the banks that do not meet the criteria for being measured at amortized cost or FVOCI (recycling) and are classified into FVTPL. On initial recognition, the Group may irrevocably designate a financial asset that otherwise meets the requirements to be measured at amortized cost or at FVOCI as at FVTPL if doing so eliminates or significantly reduces an accounting mismatch that would otherwise arise. Changes in the fair value of the investments are recognized in profit or loss as “fair value changes of financial assets at FVTPL”.</w:t>
      </w:r>
    </w:p>
    <w:p>
      <w:pPr>
        <w:spacing w:after="0" w:line="332" w:lineRule="exact"/>
        <w:rPr>
          <w:sz w:val="20"/>
          <w:szCs w:val="20"/>
          <w:color w:val="auto"/>
        </w:rPr>
      </w:pPr>
    </w:p>
    <w:p>
      <w:pPr>
        <w:ind w:left="1080" w:hanging="532"/>
        <w:spacing w:after="0"/>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investments</w:t>
      </w:r>
    </w:p>
    <w:p>
      <w:pPr>
        <w:spacing w:after="0" w:line="117" w:lineRule="exact"/>
        <w:rPr>
          <w:sz w:val="20"/>
          <w:szCs w:val="20"/>
          <w:color w:val="auto"/>
        </w:rPr>
      </w:pPr>
    </w:p>
    <w:p>
      <w:pPr>
        <w:ind w:left="560"/>
        <w:spacing w:after="0" w:line="256" w:lineRule="auto"/>
        <w:rPr>
          <w:sz w:val="20"/>
          <w:szCs w:val="20"/>
          <w:color w:val="auto"/>
        </w:rPr>
      </w:pPr>
      <w:r>
        <w:rPr>
          <w:rFonts w:ascii="Times New Roman" w:cs="Times New Roman" w:eastAsia="Times New Roman" w:hAnsi="Times New Roman"/>
          <w:sz w:val="18"/>
          <w:szCs w:val="18"/>
          <w:color w:val="auto"/>
        </w:rPr>
        <w:t>An investment in equity securities is classified as financial assets at FVTPL, unless the investment is not held for trading purposes and on initial recognition the Group makes an irrevocable election to designate the investment at FVOCI (non-recycling) such that subsequent changes in fair value are recognized in OCI. Such elections are made on an instrument-by-instrument basis, but may only be made if the investment meets the definition of equity from the issuer’s perspective. If such election is made for a particular investment, at the time of disposal, the amount accumulated in the fair value reserve (non-recycling) is transferred to retained earnings and not recycled through profit or loss. Dividends from an investment in equity securities, irrespective of whether classified as at FVTPL or FVOCI, are recognized in profit or loss.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060"/>
          </w:cols>
          <w:pgMar w:left="320" w:top="482" w:right="51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13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Credit losses and impairment of assets</w:t>
      </w:r>
    </w:p>
    <w:p>
      <w:pPr>
        <w:spacing w:after="0" w:line="135" w:lineRule="exact"/>
        <w:rPr>
          <w:sz w:val="20"/>
          <w:szCs w:val="20"/>
          <w:color w:val="auto"/>
        </w:rPr>
      </w:pPr>
    </w:p>
    <w:p>
      <w:pPr>
        <w:ind w:left="1080" w:hanging="532"/>
        <w:spacing w:after="0"/>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losses from financial instruments and contract assets</w:t>
      </w:r>
    </w:p>
    <w:p>
      <w:pPr>
        <w:spacing w:after="0" w:line="117" w:lineRule="exact"/>
        <w:rPr>
          <w:sz w:val="20"/>
          <w:szCs w:val="20"/>
          <w:color w:val="auto"/>
        </w:rPr>
      </w:pPr>
    </w:p>
    <w:p>
      <w:pPr>
        <w:ind w:left="560" w:right="160"/>
        <w:spacing w:after="0" w:line="266" w:lineRule="auto"/>
        <w:rPr>
          <w:sz w:val="20"/>
          <w:szCs w:val="20"/>
          <w:color w:val="auto"/>
        </w:rPr>
      </w:pPr>
      <w:r>
        <w:rPr>
          <w:rFonts w:ascii="Times New Roman" w:cs="Times New Roman" w:eastAsia="Times New Roman" w:hAnsi="Times New Roman"/>
          <w:sz w:val="18"/>
          <w:szCs w:val="18"/>
          <w:color w:val="auto"/>
        </w:rPr>
        <w:t>The Group recognizes a loss allowance for expected credit losses (“ECLs”) on financial assets measured at amortized cost (including cash, cash equivalents, restricted cash, time deposits, trade receivables, amount due from related parties, receivables from payments made on behalf of customers, receivables from loans to employees and other receivables) and contract assets.</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Measurement of ECLs</w:t>
      </w:r>
    </w:p>
    <w:p>
      <w:pPr>
        <w:spacing w:after="0" w:line="119" w:lineRule="exact"/>
        <w:rPr>
          <w:sz w:val="20"/>
          <w:szCs w:val="20"/>
          <w:color w:val="auto"/>
        </w:rPr>
      </w:pPr>
    </w:p>
    <w:p>
      <w:pPr>
        <w:ind w:left="560" w:right="100"/>
        <w:spacing w:after="0" w:line="282" w:lineRule="auto"/>
        <w:rPr>
          <w:sz w:val="20"/>
          <w:szCs w:val="20"/>
          <w:color w:val="auto"/>
        </w:rPr>
      </w:pPr>
      <w:r>
        <w:rPr>
          <w:rFonts w:ascii="Times New Roman" w:cs="Times New Roman" w:eastAsia="Times New Roman" w:hAnsi="Times New Roman"/>
          <w:sz w:val="18"/>
          <w:szCs w:val="18"/>
          <w:color w:val="auto"/>
        </w:rPr>
        <w:t>ECLs are a probability-weighted estimate of credit losses. Credit losses are measured as the present value of all expected cash shortfalls between the contractual and expected amounts.</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expected cash shortfalls are discounted using the following rates if the effect is material:</w:t>
      </w:r>
    </w:p>
    <w:p>
      <w:pPr>
        <w:spacing w:after="0" w:line="131" w:lineRule="exact"/>
        <w:rPr>
          <w:sz w:val="20"/>
          <w:szCs w:val="20"/>
          <w:color w:val="auto"/>
        </w:rPr>
      </w:pPr>
    </w:p>
    <w:p>
      <w:pPr>
        <w:ind w:left="1080" w:hanging="532"/>
        <w:spacing w:after="0"/>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fixed-rate financial assets: trade receivables, amount due from related parties, receivables from payments made on behalf of customers,</w:t>
      </w:r>
    </w:p>
    <w:p>
      <w:pPr>
        <w:spacing w:after="0" w:line="27" w:lineRule="exact"/>
        <w:rPr>
          <w:rFonts w:ascii="Times New Roman" w:cs="Times New Roman" w:eastAsia="Times New Roman" w:hAnsi="Times New Roman"/>
          <w:sz w:val="18"/>
          <w:szCs w:val="18"/>
          <w:color w:val="auto"/>
        </w:rPr>
      </w:pPr>
    </w:p>
    <w:p>
      <w:pPr>
        <w:ind w:left="1080" w:right="2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from loans to employees, other receivables and contract assets: effective interest rate determined at initial recognition or an approximation thereof;</w:t>
      </w:r>
    </w:p>
    <w:p>
      <w:pPr>
        <w:spacing w:after="0" w:line="8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variable-rate financial assets: current effective interest rate;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maximum period considered when estimating ECLs is the maximum contractual period over which the Group is exposed to credit risk.</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ECLs are measured on either of the following bases:</w:t>
      </w:r>
    </w:p>
    <w:p>
      <w:pPr>
        <w:sectPr>
          <w:pgSz w:w="11900" w:h="16838" w:orient="portrait"/>
          <w:cols w:equalWidth="0" w:num="1">
            <w:col w:w="11080"/>
          </w:cols>
          <w:pgMar w:left="320" w:top="482" w:right="499" w:bottom="1440" w:gutter="0" w:footer="0" w:header="0"/>
        </w:sectPr>
      </w:pPr>
    </w:p>
    <w:p>
      <w:pPr>
        <w:spacing w:after="0" w:line="1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 12-month ECLs: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these are the portion of ECLs that result from default events that are possible within the 12 months after the reporting date (or a shorter period if the expected life of the instrument is less than 12 months); and</w:t>
      </w:r>
    </w:p>
    <w:p>
      <w:pPr>
        <w:spacing w:after="0" w:line="54" w:lineRule="exact"/>
        <w:rPr>
          <w:sz w:val="20"/>
          <w:szCs w:val="20"/>
          <w:color w:val="auto"/>
        </w:rPr>
      </w:pPr>
    </w:p>
    <w:p>
      <w:pPr>
        <w:sectPr>
          <w:pgSz w:w="11900" w:h="16838" w:orient="portrait"/>
          <w:cols w:equalWidth="0" w:num="3">
            <w:col w:w="640" w:space="140"/>
            <w:col w:w="1300" w:space="280"/>
            <w:col w:w="8720"/>
          </w:cols>
          <w:pgMar w:left="320" w:top="482" w:right="49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 lifetime ECLs:</w:t>
      </w:r>
    </w:p>
    <w:p>
      <w:pPr>
        <w:spacing w:after="0" w:line="20" w:lineRule="exact"/>
        <w:rPr>
          <w:sz w:val="20"/>
          <w:szCs w:val="20"/>
          <w:color w:val="auto"/>
        </w:rPr>
      </w:pPr>
      <w:r>
        <w:rPr>
          <w:sz w:val="20"/>
          <w:szCs w:val="20"/>
          <w:color w:val="auto"/>
        </w:rPr>
        <w:br w:type="column"/>
      </w:r>
    </w:p>
    <w:p>
      <w:pPr>
        <w:ind w:right="380"/>
        <w:spacing w:after="0" w:line="282" w:lineRule="auto"/>
        <w:rPr>
          <w:sz w:val="20"/>
          <w:szCs w:val="20"/>
          <w:color w:val="auto"/>
        </w:rPr>
      </w:pPr>
      <w:r>
        <w:rPr>
          <w:rFonts w:ascii="Times New Roman" w:cs="Times New Roman" w:eastAsia="Times New Roman" w:hAnsi="Times New Roman"/>
          <w:sz w:val="18"/>
          <w:szCs w:val="18"/>
          <w:color w:val="auto"/>
        </w:rPr>
        <w:t>these are the ECLs that result from all possible default events over the expected lives of the items to which the ECL model applies.</w:t>
      </w:r>
    </w:p>
    <w:p>
      <w:pPr>
        <w:spacing w:after="0" w:line="54" w:lineRule="exact"/>
        <w:rPr>
          <w:sz w:val="20"/>
          <w:szCs w:val="20"/>
          <w:color w:val="auto"/>
        </w:rPr>
      </w:pPr>
    </w:p>
    <w:p>
      <w:pPr>
        <w:sectPr>
          <w:pgSz w:w="11900" w:h="16838" w:orient="portrait"/>
          <w:cols w:equalWidth="0" w:num="3">
            <w:col w:w="640" w:space="140"/>
            <w:col w:w="1160" w:space="420"/>
            <w:col w:w="8720"/>
          </w:cols>
          <w:pgMar w:left="320" w:top="482" w:right="49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8"/>
          <w:szCs w:val="18"/>
          <w:color w:val="auto"/>
        </w:rPr>
        <w:t>The Group measures loss allowances at an amount equal to lifetime ECLs except for the following, which are measured at 12-months ECLs:</w:t>
      </w:r>
    </w:p>
    <w:p>
      <w:pPr>
        <w:spacing w:after="0" w:line="131" w:lineRule="exact"/>
        <w:rPr>
          <w:sz w:val="20"/>
          <w:szCs w:val="20"/>
          <w:color w:val="auto"/>
        </w:rPr>
      </w:pPr>
    </w:p>
    <w:p>
      <w:pPr>
        <w:ind w:left="1080" w:hanging="532"/>
        <w:spacing w:after="0"/>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instruments that are determined to have low credit risk at the reporting date; and</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financial instruments for which credit risk (i.e. the risk of default occurring over the expected life of the financial instrument) has not increased significantly since initial recognition.</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Loss allowances for trade receivables and contract assets are always measured at an amount equal to lifetime ECLs.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080"/>
          </w:cols>
          <w:pgMar w:left="320" w:top="482" w:right="499" w:bottom="1440" w:gutter="0" w:footer="0" w:header="0"/>
          <w:type w:val="continuous"/>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Significant increases in credit risk</w:t>
      </w:r>
    </w:p>
    <w:p>
      <w:pPr>
        <w:spacing w:after="0" w:line="119" w:lineRule="exact"/>
        <w:rPr>
          <w:sz w:val="20"/>
          <w:szCs w:val="20"/>
          <w:color w:val="auto"/>
        </w:rPr>
      </w:pPr>
    </w:p>
    <w:p>
      <w:pPr>
        <w:ind w:left="560" w:right="40"/>
        <w:spacing w:after="0" w:line="261" w:lineRule="auto"/>
        <w:rPr>
          <w:sz w:val="20"/>
          <w:szCs w:val="20"/>
          <w:color w:val="auto"/>
        </w:rPr>
      </w:pPr>
      <w:r>
        <w:rPr>
          <w:rFonts w:ascii="Times New Roman" w:cs="Times New Roman" w:eastAsia="Times New Roman" w:hAnsi="Times New Roman"/>
          <w:sz w:val="18"/>
          <w:szCs w:val="18"/>
          <w:color w:val="auto"/>
        </w:rPr>
        <w:t>When determining whether the credit risk of a financial has increased significantly since initial recognition and when measuring ECLs, the Group considers reasonable and supportable information that is relevant and available without undue cost or effort. This includes both quantitative and qualitative information and analysis, based on the Group’s historical experience and informed credit assessment, that includes forward-looking information.</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Group assumes that the credit risk on a financial asset has increased significantly if it is more than 30 days past due.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Group considers a financial asset to be in default when:</w:t>
      </w:r>
    </w:p>
    <w:p>
      <w:pPr>
        <w:spacing w:after="0" w:line="131" w:lineRule="exact"/>
        <w:rPr>
          <w:sz w:val="20"/>
          <w:szCs w:val="20"/>
          <w:color w:val="auto"/>
        </w:rPr>
      </w:pPr>
    </w:p>
    <w:p>
      <w:pPr>
        <w:ind w:left="1080" w:right="160" w:hanging="532"/>
        <w:spacing w:after="0" w:line="282" w:lineRule="auto"/>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debtor is unlikely to pay its credit obligations to the Group in full, without recourse by the Group to actions such as realizing security (if any is held);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asset is 90 days past due.</w:t>
      </w:r>
    </w:p>
    <w:p>
      <w:pPr>
        <w:spacing w:after="0" w:line="117" w:lineRule="exact"/>
        <w:rPr>
          <w:sz w:val="20"/>
          <w:szCs w:val="20"/>
          <w:color w:val="auto"/>
        </w:rPr>
      </w:pPr>
    </w:p>
    <w:p>
      <w:pPr>
        <w:ind w:left="560" w:right="100"/>
        <w:spacing w:after="0" w:line="266" w:lineRule="auto"/>
        <w:rPr>
          <w:sz w:val="20"/>
          <w:szCs w:val="20"/>
          <w:color w:val="auto"/>
        </w:rPr>
      </w:pPr>
      <w:r>
        <w:rPr>
          <w:rFonts w:ascii="Times New Roman" w:cs="Times New Roman" w:eastAsia="Times New Roman" w:hAnsi="Times New Roman"/>
          <w:sz w:val="18"/>
          <w:szCs w:val="18"/>
          <w:color w:val="auto"/>
        </w:rPr>
        <w:t>ECLs are remeasured at each reporting date to reflect changes in the financial instrument’s credit risk since initial recognition. Any change in the ECL amount is recognized as an impairment gain or loss in profit or loss. The Group recognizes an impairment gain or loss for all financial instruments with a corresponding adjustment to their carrying amount through a loss allowance account.</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Credit-impaired financial assets</w:t>
      </w:r>
    </w:p>
    <w:p>
      <w:pPr>
        <w:spacing w:after="0" w:line="119" w:lineRule="exact"/>
        <w:rPr>
          <w:sz w:val="20"/>
          <w:szCs w:val="20"/>
          <w:color w:val="auto"/>
        </w:rPr>
      </w:pPr>
    </w:p>
    <w:p>
      <w:pPr>
        <w:ind w:left="560" w:right="400"/>
        <w:spacing w:after="0" w:line="282" w:lineRule="auto"/>
        <w:rPr>
          <w:sz w:val="20"/>
          <w:szCs w:val="20"/>
          <w:color w:val="auto"/>
        </w:rPr>
      </w:pPr>
      <w:r>
        <w:rPr>
          <w:rFonts w:ascii="Times New Roman" w:cs="Times New Roman" w:eastAsia="Times New Roman" w:hAnsi="Times New Roman"/>
          <w:sz w:val="18"/>
          <w:szCs w:val="18"/>
          <w:color w:val="auto"/>
        </w:rPr>
        <w:t>At each reporting date, the Group assesses whether a financial asset is credit-impaired. A financial asset is credit-impaired when one or more events that have a detrimental impact on the estimated future cash flows of the financial asset have occurred.</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Evidence that a financial asset is credit-impaired includes the following observable events:</w:t>
      </w:r>
    </w:p>
    <w:p>
      <w:pPr>
        <w:spacing w:after="0" w:line="131" w:lineRule="exact"/>
        <w:rPr>
          <w:sz w:val="20"/>
          <w:szCs w:val="20"/>
          <w:color w:val="auto"/>
        </w:rPr>
      </w:pPr>
    </w:p>
    <w:p>
      <w:pPr>
        <w:ind w:left="1080" w:hanging="532"/>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financial difficulties of the debtor;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contract, such as a default or past due event;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probable that the debtor will enter bankruptcy or other financial reorganization;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disappearance of an active market for a security because of financial difficulties of the issuer.</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Write-off policy</w:t>
      </w:r>
    </w:p>
    <w:p>
      <w:pPr>
        <w:spacing w:after="0" w:line="119" w:lineRule="exact"/>
        <w:rPr>
          <w:sz w:val="20"/>
          <w:szCs w:val="20"/>
          <w:color w:val="auto"/>
        </w:rPr>
      </w:pPr>
    </w:p>
    <w:p>
      <w:pPr>
        <w:jc w:val="both"/>
        <w:ind w:left="560" w:right="300"/>
        <w:spacing w:after="0" w:line="266" w:lineRule="auto"/>
        <w:rPr>
          <w:sz w:val="20"/>
          <w:szCs w:val="20"/>
          <w:color w:val="auto"/>
        </w:rPr>
      </w:pPr>
      <w:r>
        <w:rPr>
          <w:rFonts w:ascii="Times New Roman" w:cs="Times New Roman" w:eastAsia="Times New Roman" w:hAnsi="Times New Roman"/>
          <w:sz w:val="18"/>
          <w:szCs w:val="18"/>
          <w:color w:val="auto"/>
        </w:rPr>
        <w:t>The gross carrying amount of a financial asset or contract asset is written off to the extent that there is no realistic prospect of recovery. This is generally the case when the asset becomes past due or when the Group otherwise determines that the debtor does not have assets or sources of income that could generate sufficient cash flows to repay the amounts subject to the write-off.</w:t>
      </w:r>
    </w:p>
    <w:p>
      <w:pPr>
        <w:spacing w:after="0" w:line="68"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Subsequent recoveries of an asset that was previously written off are recognized as a reversal of impairment in profit or loss in the period in which the recovery occurs.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00"/>
          </w:cols>
          <w:pgMar w:left="320" w:top="482" w:right="47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other non-current assets</w:t>
      </w:r>
    </w:p>
    <w:p>
      <w:pPr>
        <w:spacing w:after="0" w:line="117" w:lineRule="exact"/>
        <w:rPr>
          <w:sz w:val="20"/>
          <w:szCs w:val="20"/>
          <w:color w:val="auto"/>
        </w:rPr>
      </w:pPr>
    </w:p>
    <w:p>
      <w:pPr>
        <w:jc w:val="both"/>
        <w:ind w:left="560" w:right="40"/>
        <w:spacing w:after="0" w:line="266" w:lineRule="auto"/>
        <w:rPr>
          <w:sz w:val="20"/>
          <w:szCs w:val="20"/>
          <w:color w:val="auto"/>
        </w:rPr>
      </w:pPr>
      <w:r>
        <w:rPr>
          <w:rFonts w:ascii="Times New Roman" w:cs="Times New Roman" w:eastAsia="Times New Roman" w:hAnsi="Times New Roman"/>
          <w:sz w:val="18"/>
          <w:szCs w:val="18"/>
          <w:color w:val="auto"/>
        </w:rPr>
        <w:t>At each reporting date, the Group reviews the carrying amounts of its non-financial assets (other than inventories, contract assets and deferred tax assets) to determine whether there is any indication of impairment. If any such indication exists, then the asset’s recoverable amount is estimated. Goodwill is tested annually for impairment.</w:t>
      </w:r>
    </w:p>
    <w:p>
      <w:pPr>
        <w:spacing w:after="0" w:line="68" w:lineRule="exact"/>
        <w:rPr>
          <w:sz w:val="20"/>
          <w:szCs w:val="20"/>
          <w:color w:val="auto"/>
        </w:rPr>
      </w:pPr>
    </w:p>
    <w:p>
      <w:pPr>
        <w:jc w:val="both"/>
        <w:ind w:left="560" w:right="420"/>
        <w:spacing w:after="0" w:line="266" w:lineRule="auto"/>
        <w:rPr>
          <w:sz w:val="20"/>
          <w:szCs w:val="20"/>
          <w:color w:val="auto"/>
        </w:rPr>
      </w:pPr>
      <w:r>
        <w:rPr>
          <w:rFonts w:ascii="Times New Roman" w:cs="Times New Roman" w:eastAsia="Times New Roman" w:hAnsi="Times New Roman"/>
          <w:sz w:val="18"/>
          <w:szCs w:val="18"/>
          <w:color w:val="auto"/>
        </w:rPr>
        <w:t>For impairment testing, assets are grouped together into the smallest group of assets that generates cash inflows from continuing use that are largely independent of the cash inflows of other assets or cash-generating units (“CGU”s). Goodwill arising from a business combination is allocated to CGUs or groups of CGUs that are expected to benefit from the synergies of the combination.</w:t>
      </w:r>
    </w:p>
    <w:p>
      <w:pPr>
        <w:spacing w:after="0" w:line="68" w:lineRule="exact"/>
        <w:rPr>
          <w:sz w:val="20"/>
          <w:szCs w:val="20"/>
          <w:color w:val="auto"/>
        </w:rPr>
      </w:pPr>
    </w:p>
    <w:p>
      <w:pPr>
        <w:ind w:left="560" w:right="180"/>
        <w:spacing w:after="0" w:line="266" w:lineRule="auto"/>
        <w:rPr>
          <w:sz w:val="20"/>
          <w:szCs w:val="20"/>
          <w:color w:val="auto"/>
        </w:rPr>
      </w:pPr>
      <w:r>
        <w:rPr>
          <w:rFonts w:ascii="Times New Roman" w:cs="Times New Roman" w:eastAsia="Times New Roman" w:hAnsi="Times New Roman"/>
          <w:sz w:val="18"/>
          <w:szCs w:val="18"/>
          <w:color w:val="auto"/>
        </w:rPr>
        <w:t>The recoverable amount of an asset or CGU is the greater of its value in use and its fair value less costs of disposal. Value in use is based on the estimated future cash flows, discounted to their present value using a pre-tax discount rate that reflects current market assessments of the time value of money and the risks specific to the asset or CGU.</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 impairment loss is recognized if the carrying amount of an asset or CGU exceeds its recoverable amount.</w:t>
      </w:r>
    </w:p>
    <w:p>
      <w:pPr>
        <w:spacing w:after="0" w:line="117" w:lineRule="exact"/>
        <w:rPr>
          <w:sz w:val="20"/>
          <w:szCs w:val="20"/>
          <w:color w:val="auto"/>
        </w:rPr>
      </w:pPr>
    </w:p>
    <w:p>
      <w:pPr>
        <w:ind w:left="560" w:right="200"/>
        <w:spacing w:after="0" w:line="282" w:lineRule="auto"/>
        <w:rPr>
          <w:sz w:val="20"/>
          <w:szCs w:val="20"/>
          <w:color w:val="auto"/>
        </w:rPr>
      </w:pPr>
      <w:r>
        <w:rPr>
          <w:rFonts w:ascii="Times New Roman" w:cs="Times New Roman" w:eastAsia="Times New Roman" w:hAnsi="Times New Roman"/>
          <w:sz w:val="18"/>
          <w:szCs w:val="18"/>
          <w:color w:val="auto"/>
        </w:rPr>
        <w:t>Impairment losses are recognized in profit or loss. They are allocated first to reduce the carrying amount of any goodwill allocated to the CGU, and then to reduce the carrying amounts of the other assets in the CGU on a pro rata basis.</w:t>
      </w:r>
    </w:p>
    <w:p>
      <w:pPr>
        <w:spacing w:after="0" w:line="54" w:lineRule="exact"/>
        <w:rPr>
          <w:sz w:val="20"/>
          <w:szCs w:val="20"/>
          <w:color w:val="auto"/>
        </w:rPr>
      </w:pPr>
    </w:p>
    <w:p>
      <w:pPr>
        <w:ind w:left="560"/>
        <w:spacing w:after="0" w:line="266" w:lineRule="auto"/>
        <w:rPr>
          <w:sz w:val="20"/>
          <w:szCs w:val="20"/>
          <w:color w:val="auto"/>
        </w:rPr>
      </w:pPr>
      <w:r>
        <w:rPr>
          <w:rFonts w:ascii="Times New Roman" w:cs="Times New Roman" w:eastAsia="Times New Roman" w:hAnsi="Times New Roman"/>
          <w:sz w:val="18"/>
          <w:szCs w:val="18"/>
          <w:color w:val="auto"/>
        </w:rPr>
        <w:t>An impairment loss in respect of goodwill is not reversed. For other assets, an impairment loss is reversed only to the extent that the resulting carrying amount does not exceed the carrying amount that would have been determined, net of depreciation or amortization, if no impairment loss had been recognized.</w:t>
      </w:r>
    </w:p>
    <w:p>
      <w:pPr>
        <w:spacing w:after="0" w:line="320" w:lineRule="exact"/>
        <w:rPr>
          <w:sz w:val="20"/>
          <w:szCs w:val="20"/>
          <w:color w:val="auto"/>
        </w:rPr>
      </w:pPr>
    </w:p>
    <w:p>
      <w:pPr>
        <w:ind w:left="540" w:hanging="424"/>
        <w:spacing w:after="0"/>
        <w:tabs>
          <w:tab w:leader="none" w:pos="540" w:val="left"/>
        </w:tabs>
        <w:numPr>
          <w:ilvl w:val="0"/>
          <w:numId w:val="14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rFonts w:ascii="Times New Roman" w:cs="Times New Roman" w:eastAsia="Times New Roman" w:hAnsi="Times New Roman"/>
          <w:sz w:val="18"/>
          <w:szCs w:val="18"/>
          <w:b w:val="1"/>
          <w:bCs w:val="1"/>
          <w:i w:val="1"/>
          <w:iCs w:val="1"/>
          <w:color w:val="auto"/>
        </w:rPr>
      </w:pPr>
    </w:p>
    <w:p>
      <w:pPr>
        <w:ind w:left="560" w:right="54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Inventories are assets which are held for sale in the ordinary course of business, in the process of production for such sale or in the form of materials or supplies to be consumed in the production process or in the rendering of services.</w:t>
      </w:r>
    </w:p>
    <w:p>
      <w:pPr>
        <w:spacing w:after="0" w:line="53" w:lineRule="exact"/>
        <w:rPr>
          <w:rFonts w:ascii="Times New Roman" w:cs="Times New Roman" w:eastAsia="Times New Roman" w:hAnsi="Times New Roman"/>
          <w:sz w:val="18"/>
          <w:szCs w:val="18"/>
          <w:b w:val="1"/>
          <w:bCs w:val="1"/>
          <w:i w:val="1"/>
          <w:iCs w:val="1"/>
          <w:color w:val="auto"/>
        </w:rPr>
      </w:pPr>
    </w:p>
    <w:p>
      <w:pPr>
        <w:ind w:left="560" w:right="12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Inventories are carried at the lower of cost and net realisable value. Cost is calculated using the weighted average cost method and comprises the purchase cost of goods after deducting discounts from suppliers. Net realisable value is the estimated selling price in the ordinary course of business less the estimated costs of completion and the estimated cost necessary to make the sale.</w:t>
      </w:r>
    </w:p>
    <w:p>
      <w:pPr>
        <w:spacing w:after="0" w:line="67" w:lineRule="exact"/>
        <w:rPr>
          <w:rFonts w:ascii="Times New Roman" w:cs="Times New Roman" w:eastAsia="Times New Roman" w:hAnsi="Times New Roman"/>
          <w:sz w:val="18"/>
          <w:szCs w:val="18"/>
          <w:b w:val="1"/>
          <w:bCs w:val="1"/>
          <w:i w:val="1"/>
          <w:iCs w:val="1"/>
          <w:color w:val="auto"/>
        </w:rPr>
      </w:pPr>
    </w:p>
    <w:p>
      <w:pPr>
        <w:jc w:val="both"/>
        <w:ind w:left="560" w:right="6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When inventories are sold, the carrying amount of those inventories is recognized as cost of revenue in the period in which the related revenue is recognized. The amount of any write-down of inventories to net realisable value and all losses of inventories are recognized as cost of revenue in the period the write-down or loss occurs. The amount of any reversal of any write-down of inventories is recognized as a reduction in the amount of inventories recognized as cost of revenue in the period in which the reversal occurs.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080"/>
          </w:cols>
          <w:pgMar w:left="320" w:top="482" w:right="49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14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rFonts w:ascii="Times New Roman" w:cs="Times New Roman" w:eastAsia="Times New Roman" w:hAnsi="Times New Roman"/>
          <w:sz w:val="18"/>
          <w:szCs w:val="18"/>
          <w:b w:val="1"/>
          <w:bCs w:val="1"/>
          <w:i w:val="1"/>
          <w:iCs w:val="1"/>
          <w:color w:val="auto"/>
        </w:rPr>
      </w:pPr>
    </w:p>
    <w:p>
      <w:pPr>
        <w:ind w:left="56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Bank balances that are restricted as to withdrawal or for use or pledged as security is reported separately on the face of the consolidated statements of financial position.</w:t>
      </w:r>
    </w:p>
    <w:p>
      <w:pPr>
        <w:spacing w:after="0" w:line="53" w:lineRule="exact"/>
        <w:rPr>
          <w:rFonts w:ascii="Times New Roman" w:cs="Times New Roman" w:eastAsia="Times New Roman" w:hAnsi="Times New Roman"/>
          <w:sz w:val="18"/>
          <w:szCs w:val="18"/>
          <w:b w:val="1"/>
          <w:bCs w:val="1"/>
          <w:i w:val="1"/>
          <w:iCs w:val="1"/>
          <w:color w:val="auto"/>
        </w:rPr>
      </w:pPr>
    </w:p>
    <w:p>
      <w:pPr>
        <w:ind w:left="5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Group’s restricted cash includes secured deposit held in designated bank accounts for the payment of the rentals and credit card.</w:t>
      </w:r>
    </w:p>
    <w:p>
      <w:pPr>
        <w:spacing w:after="0" w:line="369" w:lineRule="exact"/>
        <w:rPr>
          <w:rFonts w:ascii="Times New Roman" w:cs="Times New Roman" w:eastAsia="Times New Roman" w:hAnsi="Times New Roman"/>
          <w:sz w:val="18"/>
          <w:szCs w:val="18"/>
          <w:b w:val="1"/>
          <w:bCs w:val="1"/>
          <w:i w:val="1"/>
          <w:iCs w:val="1"/>
          <w:color w:val="auto"/>
        </w:rPr>
      </w:pPr>
    </w:p>
    <w:p>
      <w:pPr>
        <w:ind w:left="540" w:hanging="424"/>
        <w:spacing w:after="0"/>
        <w:tabs>
          <w:tab w:leader="none" w:pos="540" w:val="left"/>
        </w:tabs>
        <w:numPr>
          <w:ilvl w:val="0"/>
          <w:numId w:val="14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Cash, cash equivalents and time deposits</w:t>
      </w:r>
    </w:p>
    <w:p>
      <w:pPr>
        <w:spacing w:after="0" w:line="121" w:lineRule="exact"/>
        <w:rPr>
          <w:rFonts w:ascii="Times New Roman" w:cs="Times New Roman" w:eastAsia="Times New Roman" w:hAnsi="Times New Roman"/>
          <w:sz w:val="18"/>
          <w:szCs w:val="18"/>
          <w:b w:val="1"/>
          <w:bCs w:val="1"/>
          <w:i w:val="1"/>
          <w:iCs w:val="1"/>
          <w:color w:val="auto"/>
        </w:rPr>
      </w:pPr>
    </w:p>
    <w:p>
      <w:pPr>
        <w:ind w:left="560" w:right="4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Cash and cash equivalents comprise cash at bank and on hand, demand deposits with banks and other financial institutions, and short-term, highly liquid investments that are readily convertible into known amounts of cash and which are subject to an insignificant risk of changes in value, having been within three months of maturity at acquisition.</w:t>
      </w:r>
    </w:p>
    <w:p>
      <w:pPr>
        <w:spacing w:after="0" w:line="67" w:lineRule="exact"/>
        <w:rPr>
          <w:rFonts w:ascii="Times New Roman" w:cs="Times New Roman" w:eastAsia="Times New Roman" w:hAnsi="Times New Roman"/>
          <w:sz w:val="18"/>
          <w:szCs w:val="18"/>
          <w:b w:val="1"/>
          <w:bCs w:val="1"/>
          <w:i w:val="1"/>
          <w:iCs w:val="1"/>
          <w:color w:val="auto"/>
        </w:rPr>
      </w:pPr>
    </w:p>
    <w:p>
      <w:pPr>
        <w:ind w:left="560" w:right="32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Time deposits, which mature within one year at the end of each reporting period, represent interest-bearing certificates of deposits placed with banks and other financial institutions with original maturities of more than three months.</w:t>
      </w:r>
    </w:p>
    <w:p>
      <w:pPr>
        <w:spacing w:after="0" w:line="53" w:lineRule="exact"/>
        <w:rPr>
          <w:rFonts w:ascii="Times New Roman" w:cs="Times New Roman" w:eastAsia="Times New Roman" w:hAnsi="Times New Roman"/>
          <w:sz w:val="18"/>
          <w:szCs w:val="18"/>
          <w:b w:val="1"/>
          <w:bCs w:val="1"/>
          <w:i w:val="1"/>
          <w:iCs w:val="1"/>
          <w:color w:val="auto"/>
        </w:rPr>
      </w:pPr>
    </w:p>
    <w:p>
      <w:pPr>
        <w:ind w:left="5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Cash, cash equivalents and time deposits are assessed for ECL in accordance with the policy set out in Note 2(h)(i).</w:t>
      </w:r>
    </w:p>
    <w:p>
      <w:pPr>
        <w:spacing w:after="0" w:line="369" w:lineRule="exact"/>
        <w:rPr>
          <w:rFonts w:ascii="Times New Roman" w:cs="Times New Roman" w:eastAsia="Times New Roman" w:hAnsi="Times New Roman"/>
          <w:sz w:val="18"/>
          <w:szCs w:val="18"/>
          <w:b w:val="1"/>
          <w:bCs w:val="1"/>
          <w:i w:val="1"/>
          <w:iCs w:val="1"/>
          <w:color w:val="auto"/>
        </w:rPr>
      </w:pPr>
    </w:p>
    <w:p>
      <w:pPr>
        <w:ind w:left="540" w:hanging="424"/>
        <w:spacing w:after="0"/>
        <w:tabs>
          <w:tab w:leader="none" w:pos="540" w:val="left"/>
        </w:tabs>
        <w:numPr>
          <w:ilvl w:val="0"/>
          <w:numId w:val="14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Trade and other receivables</w:t>
      </w:r>
    </w:p>
    <w:p>
      <w:pPr>
        <w:spacing w:after="0" w:line="121" w:lineRule="exact"/>
        <w:rPr>
          <w:rFonts w:ascii="Times New Roman" w:cs="Times New Roman" w:eastAsia="Times New Roman" w:hAnsi="Times New Roman"/>
          <w:sz w:val="18"/>
          <w:szCs w:val="18"/>
          <w:b w:val="1"/>
          <w:bCs w:val="1"/>
          <w:i w:val="1"/>
          <w:iCs w:val="1"/>
          <w:color w:val="auto"/>
        </w:rPr>
      </w:pPr>
    </w:p>
    <w:p>
      <w:pPr>
        <w:ind w:left="560" w:right="36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 receivable is recognized when the Group has an unconditional right to receive consideration and only the passage of time is required before payment of that consideration is due.</w:t>
      </w:r>
    </w:p>
    <w:p>
      <w:pPr>
        <w:spacing w:after="0" w:line="53" w:lineRule="exact"/>
        <w:rPr>
          <w:rFonts w:ascii="Times New Roman" w:cs="Times New Roman" w:eastAsia="Times New Roman" w:hAnsi="Times New Roman"/>
          <w:sz w:val="18"/>
          <w:szCs w:val="18"/>
          <w:b w:val="1"/>
          <w:bCs w:val="1"/>
          <w:i w:val="1"/>
          <w:iCs w:val="1"/>
          <w:color w:val="auto"/>
        </w:rPr>
      </w:pPr>
    </w:p>
    <w:p>
      <w:pPr>
        <w:ind w:left="560" w:right="34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Trade receivables that do not contain a significant financing component are initially measured at their transaction price. Trade receivables that contain a significant financing component and other receivables are initially measured at fair value plus transaction costs. All receivables are subsequently stated at amortized cost (see Note 2(h)(i)).</w:t>
      </w:r>
    </w:p>
    <w:p>
      <w:pPr>
        <w:spacing w:after="0" w:line="320" w:lineRule="exact"/>
        <w:rPr>
          <w:rFonts w:ascii="Times New Roman" w:cs="Times New Roman" w:eastAsia="Times New Roman" w:hAnsi="Times New Roman"/>
          <w:sz w:val="18"/>
          <w:szCs w:val="18"/>
          <w:b w:val="1"/>
          <w:bCs w:val="1"/>
          <w:i w:val="1"/>
          <w:iCs w:val="1"/>
          <w:color w:val="auto"/>
        </w:rPr>
      </w:pPr>
    </w:p>
    <w:p>
      <w:pPr>
        <w:ind w:left="540" w:hanging="424"/>
        <w:spacing w:after="0"/>
        <w:tabs>
          <w:tab w:leader="none" w:pos="540" w:val="left"/>
        </w:tabs>
        <w:numPr>
          <w:ilvl w:val="0"/>
          <w:numId w:val="14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Trade and other payables</w:t>
      </w:r>
    </w:p>
    <w:p>
      <w:pPr>
        <w:spacing w:after="0" w:line="121" w:lineRule="exact"/>
        <w:rPr>
          <w:rFonts w:ascii="Times New Roman" w:cs="Times New Roman" w:eastAsia="Times New Roman" w:hAnsi="Times New Roman"/>
          <w:sz w:val="18"/>
          <w:szCs w:val="18"/>
          <w:b w:val="1"/>
          <w:bCs w:val="1"/>
          <w:i w:val="1"/>
          <w:iCs w:val="1"/>
          <w:color w:val="auto"/>
        </w:rPr>
      </w:pPr>
    </w:p>
    <w:p>
      <w:pPr>
        <w:ind w:left="560" w:right="6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Trade and other payables are initially recognized at fair value. Subsequently to initial recognition, trade and other payables are stated at amortized cost unless the effect of discounting would be immaterial, in which case they are stated at invoice amounts.</w:t>
      </w:r>
    </w:p>
    <w:p>
      <w:pPr>
        <w:spacing w:after="0" w:line="306" w:lineRule="exact"/>
        <w:rPr>
          <w:rFonts w:ascii="Times New Roman" w:cs="Times New Roman" w:eastAsia="Times New Roman" w:hAnsi="Times New Roman"/>
          <w:sz w:val="18"/>
          <w:szCs w:val="18"/>
          <w:b w:val="1"/>
          <w:bCs w:val="1"/>
          <w:i w:val="1"/>
          <w:iCs w:val="1"/>
          <w:color w:val="auto"/>
        </w:rPr>
      </w:pPr>
    </w:p>
    <w:p>
      <w:pPr>
        <w:ind w:left="540" w:hanging="424"/>
        <w:spacing w:after="0"/>
        <w:tabs>
          <w:tab w:leader="none" w:pos="540" w:val="left"/>
        </w:tabs>
        <w:numPr>
          <w:ilvl w:val="0"/>
          <w:numId w:val="14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Interest-bearing bank loans</w:t>
      </w:r>
    </w:p>
    <w:p>
      <w:pPr>
        <w:spacing w:after="0" w:line="121" w:lineRule="exact"/>
        <w:rPr>
          <w:rFonts w:ascii="Times New Roman" w:cs="Times New Roman" w:eastAsia="Times New Roman" w:hAnsi="Times New Roman"/>
          <w:sz w:val="18"/>
          <w:szCs w:val="18"/>
          <w:b w:val="1"/>
          <w:bCs w:val="1"/>
          <w:i w:val="1"/>
          <w:iCs w:val="1"/>
          <w:color w:val="auto"/>
        </w:rPr>
      </w:pPr>
    </w:p>
    <w:p>
      <w:pPr>
        <w:ind w:left="560" w:right="12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Interest-bearing bank loans are recognized initially at fair value less attributable transaction costs. Subsequent to initial recognition, interest-bearing bank loans are stated at amortized cost using the effective interest method. Interest expense is recognized in accordance with the Group’s accounting policy for borrowing costs (see Note 2(aa)).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20"/>
          </w:cols>
          <w:pgMar w:left="320" w:top="482" w:right="4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14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Contract assets and contract liabilities</w:t>
      </w:r>
    </w:p>
    <w:p>
      <w:pPr>
        <w:spacing w:after="0" w:line="121" w:lineRule="exact"/>
        <w:rPr>
          <w:rFonts w:ascii="Times New Roman" w:cs="Times New Roman" w:eastAsia="Times New Roman" w:hAnsi="Times New Roman"/>
          <w:sz w:val="18"/>
          <w:szCs w:val="18"/>
          <w:b w:val="1"/>
          <w:bCs w:val="1"/>
          <w:i w:val="1"/>
          <w:iCs w:val="1"/>
          <w:color w:val="auto"/>
        </w:rPr>
      </w:pPr>
    </w:p>
    <w:p>
      <w:pPr>
        <w:ind w:left="56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 contract asset is recognized when the Group recognizes revenue (see Note 2(x)) before being unconditionally entitled to the consideration under the terms set out in the contract. Contract assets are assessed for ECLs (see Note 2(h)(i)) and are reclassified to receivables when the right to the consideration becomes unconditional (see Note 2(l)).</w:t>
      </w:r>
    </w:p>
    <w:p>
      <w:pPr>
        <w:spacing w:after="0" w:line="67" w:lineRule="exact"/>
        <w:rPr>
          <w:rFonts w:ascii="Times New Roman" w:cs="Times New Roman" w:eastAsia="Times New Roman" w:hAnsi="Times New Roman"/>
          <w:sz w:val="18"/>
          <w:szCs w:val="18"/>
          <w:b w:val="1"/>
          <w:bCs w:val="1"/>
          <w:i w:val="1"/>
          <w:iCs w:val="1"/>
          <w:color w:val="auto"/>
        </w:rPr>
      </w:pPr>
    </w:p>
    <w:p>
      <w:pPr>
        <w:ind w:left="5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 contract liability is recognized when the customer pays non-refundable consideration before the Group recognizes the related revenue</w:t>
      </w:r>
    </w:p>
    <w:p>
      <w:pPr>
        <w:spacing w:after="0" w:line="27" w:lineRule="exact"/>
        <w:rPr>
          <w:rFonts w:ascii="Times New Roman" w:cs="Times New Roman" w:eastAsia="Times New Roman" w:hAnsi="Times New Roman"/>
          <w:sz w:val="18"/>
          <w:szCs w:val="18"/>
          <w:b w:val="1"/>
          <w:bCs w:val="1"/>
          <w:i w:val="1"/>
          <w:iCs w:val="1"/>
          <w:color w:val="auto"/>
        </w:rPr>
      </w:pPr>
    </w:p>
    <w:p>
      <w:pPr>
        <w:ind w:left="560" w:right="160"/>
        <w:spacing w:after="0" w:line="260"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(see Note 2(x)). A contract liability is also recognized if the Group has an unconditional right to receive non-refundable consideration before the Group recognizes the related revenue. In such latter cases, a corresponding receivable is also recognized (see Note 2(l)).</w:t>
      </w:r>
    </w:p>
    <w:p>
      <w:pPr>
        <w:spacing w:after="0" w:line="73" w:lineRule="exact"/>
        <w:rPr>
          <w:rFonts w:ascii="Times New Roman" w:cs="Times New Roman" w:eastAsia="Times New Roman" w:hAnsi="Times New Roman"/>
          <w:sz w:val="18"/>
          <w:szCs w:val="18"/>
          <w:b w:val="1"/>
          <w:bCs w:val="1"/>
          <w:i w:val="1"/>
          <w:iCs w:val="1"/>
          <w:color w:val="auto"/>
        </w:rPr>
      </w:pPr>
    </w:p>
    <w:p>
      <w:pPr>
        <w:ind w:left="560" w:right="18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When the contract includes a significant financing component, the contract balance includes interest accrued under the effective interest method (see Note 2(bb)).</w:t>
      </w:r>
    </w:p>
    <w:p>
      <w:pPr>
        <w:spacing w:after="0" w:line="306" w:lineRule="exact"/>
        <w:rPr>
          <w:rFonts w:ascii="Times New Roman" w:cs="Times New Roman" w:eastAsia="Times New Roman" w:hAnsi="Times New Roman"/>
          <w:sz w:val="18"/>
          <w:szCs w:val="18"/>
          <w:b w:val="1"/>
          <w:bCs w:val="1"/>
          <w:i w:val="1"/>
          <w:iCs w:val="1"/>
          <w:color w:val="auto"/>
        </w:rPr>
      </w:pPr>
    </w:p>
    <w:p>
      <w:pPr>
        <w:ind w:left="540" w:hanging="424"/>
        <w:spacing w:after="0"/>
        <w:tabs>
          <w:tab w:leader="none" w:pos="540" w:val="left"/>
        </w:tabs>
        <w:numPr>
          <w:ilvl w:val="0"/>
          <w:numId w:val="14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Ordinary shares and non-redeemable preferred shares</w:t>
      </w:r>
    </w:p>
    <w:p>
      <w:pPr>
        <w:spacing w:after="0" w:line="121" w:lineRule="exact"/>
        <w:rPr>
          <w:rFonts w:ascii="Times New Roman" w:cs="Times New Roman" w:eastAsia="Times New Roman" w:hAnsi="Times New Roman"/>
          <w:sz w:val="18"/>
          <w:szCs w:val="18"/>
          <w:b w:val="1"/>
          <w:bCs w:val="1"/>
          <w:i w:val="1"/>
          <w:iCs w:val="1"/>
          <w:color w:val="auto"/>
        </w:rPr>
      </w:pPr>
    </w:p>
    <w:p>
      <w:pPr>
        <w:ind w:left="56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Ordinary shares and non-redeemable preferred shares are classified as equity, because they bear discretionary dividends, do not contain any obligations to deliver cash or other financial assets and do not require settlement in a variable number of the Group’s equity instruments. Preferred shares and other financial instruments subject to redemption and other preferential rights are classified as liabilities (see Note 2(q)).</w:t>
      </w:r>
    </w:p>
    <w:p>
      <w:pPr>
        <w:spacing w:after="0" w:line="320" w:lineRule="exact"/>
        <w:rPr>
          <w:rFonts w:ascii="Times New Roman" w:cs="Times New Roman" w:eastAsia="Times New Roman" w:hAnsi="Times New Roman"/>
          <w:sz w:val="18"/>
          <w:szCs w:val="18"/>
          <w:b w:val="1"/>
          <w:bCs w:val="1"/>
          <w:i w:val="1"/>
          <w:iCs w:val="1"/>
          <w:color w:val="auto"/>
        </w:rPr>
      </w:pPr>
    </w:p>
    <w:p>
      <w:pPr>
        <w:ind w:left="540" w:hanging="424"/>
        <w:spacing w:after="0"/>
        <w:tabs>
          <w:tab w:leader="none" w:pos="540" w:val="left"/>
        </w:tabs>
        <w:numPr>
          <w:ilvl w:val="0"/>
          <w:numId w:val="14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Preferred shares and other financial instruments subject to redemption and other preferential rights</w:t>
      </w:r>
    </w:p>
    <w:p>
      <w:pPr>
        <w:spacing w:after="0" w:line="135" w:lineRule="exact"/>
        <w:rPr>
          <w:sz w:val="20"/>
          <w:szCs w:val="20"/>
          <w:color w:val="auto"/>
        </w:rPr>
      </w:pPr>
    </w:p>
    <w:p>
      <w:pPr>
        <w:ind w:left="1080" w:hanging="532"/>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redeemable preferred shares</w:t>
      </w:r>
    </w:p>
    <w:p>
      <w:pPr>
        <w:spacing w:after="0" w:line="117" w:lineRule="exact"/>
        <w:rPr>
          <w:sz w:val="20"/>
          <w:szCs w:val="20"/>
          <w:color w:val="auto"/>
        </w:rPr>
      </w:pPr>
    </w:p>
    <w:p>
      <w:pPr>
        <w:ind w:left="560" w:right="20"/>
        <w:spacing w:after="0" w:line="266" w:lineRule="auto"/>
        <w:rPr>
          <w:sz w:val="20"/>
          <w:szCs w:val="20"/>
          <w:color w:val="auto"/>
        </w:rPr>
      </w:pPr>
      <w:r>
        <w:rPr>
          <w:rFonts w:ascii="Times New Roman" w:cs="Times New Roman" w:eastAsia="Times New Roman" w:hAnsi="Times New Roman"/>
          <w:sz w:val="18"/>
          <w:szCs w:val="18"/>
          <w:color w:val="auto"/>
        </w:rPr>
        <w:t>The redemption features in the preferred shares give rise to financial liabilities as under these features, the preferred shares are redeemable in cash at the option of the shareholders in case of the occurrence of triggering events that are beyond the control of the Company and the holders of the preferred shares.</w:t>
      </w:r>
    </w:p>
    <w:p>
      <w:pPr>
        <w:spacing w:after="0" w:line="68" w:lineRule="exact"/>
        <w:rPr>
          <w:sz w:val="20"/>
          <w:szCs w:val="20"/>
          <w:color w:val="auto"/>
        </w:rPr>
      </w:pPr>
    </w:p>
    <w:p>
      <w:pPr>
        <w:ind w:left="560" w:right="20"/>
        <w:spacing w:after="0" w:line="261" w:lineRule="auto"/>
        <w:rPr>
          <w:sz w:val="20"/>
          <w:szCs w:val="20"/>
          <w:color w:val="auto"/>
        </w:rPr>
      </w:pPr>
      <w:r>
        <w:rPr>
          <w:rFonts w:ascii="Times New Roman" w:cs="Times New Roman" w:eastAsia="Times New Roman" w:hAnsi="Times New Roman"/>
          <w:sz w:val="18"/>
          <w:szCs w:val="18"/>
          <w:color w:val="auto"/>
        </w:rPr>
        <w:t>The liabilities resulting from these contingent redemption obligations are measured at the present value of the redemption amount. When there are different possible redemption scenarios with different present values of the redemption amounts, the carrying amount of the liabilities are measured at the highest present value of redemption amount that could be triggered by the contingent redemption events. Under the “worst case” approach, the changes in the carrying amount of the liabilities are recognized in profit or loss.</w:t>
      </w:r>
    </w:p>
    <w:p>
      <w:pPr>
        <w:spacing w:after="0" w:line="72" w:lineRule="exact"/>
        <w:rPr>
          <w:sz w:val="20"/>
          <w:szCs w:val="20"/>
          <w:color w:val="auto"/>
        </w:rPr>
      </w:pPr>
    </w:p>
    <w:p>
      <w:pPr>
        <w:ind w:left="560" w:right="220"/>
        <w:spacing w:after="0" w:line="282" w:lineRule="auto"/>
        <w:rPr>
          <w:sz w:val="20"/>
          <w:szCs w:val="20"/>
          <w:color w:val="auto"/>
        </w:rPr>
      </w:pPr>
      <w:r>
        <w:rPr>
          <w:rFonts w:ascii="Times New Roman" w:cs="Times New Roman" w:eastAsia="Times New Roman" w:hAnsi="Times New Roman"/>
          <w:sz w:val="18"/>
          <w:szCs w:val="18"/>
          <w:color w:val="auto"/>
        </w:rPr>
        <w:t>If the preferred shares are converted into ordinary shares, the carrying amount of the financial liabilities is transferred to share capital and share premium.</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00"/>
          </w:cols>
          <w:pgMar w:left="320" w:top="482" w:right="47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financial instruments subject to redemption and other preferential rights</w:t>
      </w:r>
    </w:p>
    <w:p>
      <w:pPr>
        <w:spacing w:after="0" w:line="117" w:lineRule="exact"/>
        <w:rPr>
          <w:sz w:val="20"/>
          <w:szCs w:val="20"/>
          <w:color w:val="auto"/>
        </w:rPr>
      </w:pPr>
    </w:p>
    <w:p>
      <w:pPr>
        <w:ind w:left="560" w:right="20"/>
        <w:spacing w:after="0" w:line="254" w:lineRule="auto"/>
        <w:rPr>
          <w:sz w:val="20"/>
          <w:szCs w:val="20"/>
          <w:color w:val="auto"/>
        </w:rPr>
      </w:pPr>
      <w:r>
        <w:rPr>
          <w:rFonts w:ascii="Times New Roman" w:cs="Times New Roman" w:eastAsia="Times New Roman" w:hAnsi="Times New Roman"/>
          <w:sz w:val="18"/>
          <w:szCs w:val="18"/>
          <w:color w:val="auto"/>
        </w:rPr>
        <w:t>The Group enters into a series of agreements with certain investors, under which the Group and the investors commit to issue/subscribe for the convertible redeemable preferred shares upon the occurrence of specified contingent events (i.e. obtaining regulator’s approval and completion of the foreign exchange registration procedures for the overseas direct investments (“ODI”)). The investors have paid the subscription price upfront upon signing the agreements. Such commitments to issue/subscribe for the convertible redeemable preferred shares are referred as the other financial instruments subject to redemption and other preferential rights (the “other financial instruments”). The convertible redeemable preferred shares would give rise to financial liabilities as mentioned in Note 2(q)(i) above, when they are issued. As the issuance of the convertible redeemable preferred shares is conditional on the occurrence of the specified contingent events that are beyond the control of both the Group and counterparties, the Group recognizes such financial instruments as financial liabilities.</w:t>
      </w:r>
    </w:p>
    <w:p>
      <w:pPr>
        <w:spacing w:after="0" w:line="84" w:lineRule="exact"/>
        <w:rPr>
          <w:sz w:val="20"/>
          <w:szCs w:val="20"/>
          <w:color w:val="auto"/>
        </w:rPr>
      </w:pPr>
    </w:p>
    <w:p>
      <w:pPr>
        <w:ind w:left="560"/>
        <w:spacing w:after="0" w:line="266" w:lineRule="auto"/>
        <w:rPr>
          <w:sz w:val="20"/>
          <w:szCs w:val="20"/>
          <w:color w:val="auto"/>
        </w:rPr>
      </w:pPr>
      <w:r>
        <w:rPr>
          <w:rFonts w:ascii="Times New Roman" w:cs="Times New Roman" w:eastAsia="Times New Roman" w:hAnsi="Times New Roman"/>
          <w:sz w:val="18"/>
          <w:szCs w:val="18"/>
          <w:color w:val="auto"/>
        </w:rPr>
        <w:t>These liabilities are measured at the present value of the redemption amount in accordance with Note 2(q)(i). Any changes in the carrying amount of these financial instruments issued to investors are recorded in profit or loss as “changes in the carrying amounts of preferred shares and other financial instruments subject to redemption and other preferential rights”.</w:t>
      </w:r>
    </w:p>
    <w:p>
      <w:pPr>
        <w:spacing w:after="0" w:line="68" w:lineRule="exact"/>
        <w:rPr>
          <w:sz w:val="20"/>
          <w:szCs w:val="20"/>
          <w:color w:val="auto"/>
        </w:rPr>
      </w:pPr>
    </w:p>
    <w:p>
      <w:pPr>
        <w:ind w:left="560" w:right="120"/>
        <w:spacing w:after="0" w:line="266" w:lineRule="auto"/>
        <w:rPr>
          <w:sz w:val="20"/>
          <w:szCs w:val="20"/>
          <w:color w:val="auto"/>
        </w:rPr>
      </w:pPr>
      <w:r>
        <w:rPr>
          <w:rFonts w:ascii="Times New Roman" w:cs="Times New Roman" w:eastAsia="Times New Roman" w:hAnsi="Times New Roman"/>
          <w:sz w:val="18"/>
          <w:szCs w:val="18"/>
          <w:color w:val="auto"/>
        </w:rPr>
        <w:t>The Group classifies the preferred shares and other financial instruments subject to redemption and other preferential rights as current liabilities, as these preferred shares and other financial instruments may be converted into ordinary shares at the option of the holders at any time and the conversion feature does not meet the definition of an equity instrument.</w:t>
      </w:r>
    </w:p>
    <w:p>
      <w:pPr>
        <w:spacing w:after="0" w:line="320" w:lineRule="exact"/>
        <w:rPr>
          <w:sz w:val="20"/>
          <w:szCs w:val="20"/>
          <w:color w:val="auto"/>
        </w:rPr>
      </w:pPr>
    </w:p>
    <w:p>
      <w:pPr>
        <w:ind w:left="540" w:hanging="424"/>
        <w:spacing w:after="0"/>
        <w:tabs>
          <w:tab w:leader="none" w:pos="540" w:val="left"/>
        </w:tabs>
        <w:numPr>
          <w:ilvl w:val="0"/>
          <w:numId w:val="14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Treasury shares</w:t>
      </w:r>
    </w:p>
    <w:p>
      <w:pPr>
        <w:spacing w:after="0" w:line="121" w:lineRule="exact"/>
        <w:rPr>
          <w:rFonts w:ascii="Times New Roman" w:cs="Times New Roman" w:eastAsia="Times New Roman" w:hAnsi="Times New Roman"/>
          <w:sz w:val="18"/>
          <w:szCs w:val="18"/>
          <w:b w:val="1"/>
          <w:bCs w:val="1"/>
          <w:i w:val="1"/>
          <w:iCs w:val="1"/>
          <w:color w:val="auto"/>
        </w:rPr>
      </w:pPr>
    </w:p>
    <w:p>
      <w:pPr>
        <w:ind w:left="560" w:right="2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When ordinary shares and preferred shares recognized as equity are repurchased, the amount of the consideration paid, which includes directly attributable costs, is recognized as a deduction from equity. Repurchased shares are presented as treasury shares included within equity. When those shares are subsequently cancelled or retired, the treasury share would be adjusted by an amount that corresponds to the sum of the par value and the share premium amounts of the shares so cancelled or retired. When treasury shares are sold or reissued subsequently, the amount received is recognized as an increase in equity and the resulting surplus or deficit on the transaction is presented within share premium.</w:t>
      </w:r>
    </w:p>
    <w:p>
      <w:pPr>
        <w:spacing w:after="0" w:line="327" w:lineRule="exact"/>
        <w:rPr>
          <w:rFonts w:ascii="Times New Roman" w:cs="Times New Roman" w:eastAsia="Times New Roman" w:hAnsi="Times New Roman"/>
          <w:sz w:val="18"/>
          <w:szCs w:val="18"/>
          <w:b w:val="1"/>
          <w:bCs w:val="1"/>
          <w:i w:val="1"/>
          <w:iCs w:val="1"/>
          <w:color w:val="auto"/>
        </w:rPr>
      </w:pPr>
    </w:p>
    <w:p>
      <w:pPr>
        <w:ind w:left="540" w:hanging="424"/>
        <w:spacing w:after="0"/>
        <w:tabs>
          <w:tab w:leader="none" w:pos="540" w:val="left"/>
        </w:tabs>
        <w:numPr>
          <w:ilvl w:val="0"/>
          <w:numId w:val="14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Financial liabilities measured at FVTPL</w:t>
      </w:r>
    </w:p>
    <w:p>
      <w:pPr>
        <w:spacing w:after="0" w:line="121" w:lineRule="exact"/>
        <w:rPr>
          <w:rFonts w:ascii="Times New Roman" w:cs="Times New Roman" w:eastAsia="Times New Roman" w:hAnsi="Times New Roman"/>
          <w:sz w:val="18"/>
          <w:szCs w:val="18"/>
          <w:b w:val="1"/>
          <w:bCs w:val="1"/>
          <w:i w:val="1"/>
          <w:iCs w:val="1"/>
          <w:color w:val="auto"/>
        </w:rPr>
      </w:pPr>
    </w:p>
    <w:p>
      <w:pPr>
        <w:jc w:val="both"/>
        <w:ind w:left="560" w:right="26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Warrant liabilities arise from the warrants granted by the Group under which the holders have the rights to subscribe for the Group’s preferred shares at a predetermined price during a specific period. Warrant liabilities are measured at fair value, with changes in fair value recognized in profit or loss.</w:t>
      </w:r>
    </w:p>
    <w:p>
      <w:pPr>
        <w:spacing w:after="0" w:line="320" w:lineRule="exact"/>
        <w:rPr>
          <w:rFonts w:ascii="Times New Roman" w:cs="Times New Roman" w:eastAsia="Times New Roman" w:hAnsi="Times New Roman"/>
          <w:sz w:val="18"/>
          <w:szCs w:val="18"/>
          <w:b w:val="1"/>
          <w:bCs w:val="1"/>
          <w:i w:val="1"/>
          <w:iCs w:val="1"/>
          <w:color w:val="auto"/>
        </w:rPr>
      </w:pPr>
    </w:p>
    <w:p>
      <w:pPr>
        <w:ind w:left="540" w:hanging="424"/>
        <w:spacing w:after="0"/>
        <w:tabs>
          <w:tab w:leader="none" w:pos="540" w:val="left"/>
        </w:tabs>
        <w:numPr>
          <w:ilvl w:val="0"/>
          <w:numId w:val="14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Put option liabilities</w:t>
      </w:r>
    </w:p>
    <w:p>
      <w:pPr>
        <w:spacing w:after="0" w:line="121" w:lineRule="exact"/>
        <w:rPr>
          <w:rFonts w:ascii="Times New Roman" w:cs="Times New Roman" w:eastAsia="Times New Roman" w:hAnsi="Times New Roman"/>
          <w:sz w:val="18"/>
          <w:szCs w:val="18"/>
          <w:b w:val="1"/>
          <w:bCs w:val="1"/>
          <w:i w:val="1"/>
          <w:iCs w:val="1"/>
          <w:color w:val="auto"/>
        </w:rPr>
      </w:pPr>
    </w:p>
    <w:p>
      <w:pPr>
        <w:ind w:left="560" w:right="16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Put option liabilities represent the present value of liabilities in relation to put options granted to non-controlling shareholders of the Group’s subsidiary. Under the put option clauses, the non-controlling shareholders have right to sell their equity interest to the subsidiary at a pre-agreed price on the occurrence of some certain events that are beyond the Group’s control.</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060"/>
          </w:cols>
          <w:pgMar w:left="320" w:top="482" w:right="51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14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Employee benefits</w:t>
      </w:r>
    </w:p>
    <w:p>
      <w:pPr>
        <w:spacing w:after="0" w:line="135" w:lineRule="exact"/>
        <w:rPr>
          <w:sz w:val="20"/>
          <w:szCs w:val="20"/>
          <w:color w:val="auto"/>
        </w:rPr>
      </w:pPr>
    </w:p>
    <w:p>
      <w:pPr>
        <w:ind w:left="1080" w:hanging="532"/>
        <w:spacing w:after="0"/>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employee benefits</w:t>
      </w:r>
    </w:p>
    <w:p>
      <w:pPr>
        <w:spacing w:after="0" w:line="117" w:lineRule="exact"/>
        <w:rPr>
          <w:sz w:val="20"/>
          <w:szCs w:val="20"/>
          <w:color w:val="auto"/>
        </w:rPr>
      </w:pPr>
    </w:p>
    <w:p>
      <w:pPr>
        <w:ind w:left="560"/>
        <w:spacing w:after="0" w:line="312" w:lineRule="auto"/>
        <w:rPr>
          <w:sz w:val="20"/>
          <w:szCs w:val="20"/>
          <w:color w:val="auto"/>
        </w:rPr>
      </w:pPr>
      <w:r>
        <w:rPr>
          <w:rFonts w:ascii="Times New Roman" w:cs="Times New Roman" w:eastAsia="Times New Roman" w:hAnsi="Times New Roman"/>
          <w:sz w:val="17"/>
          <w:szCs w:val="17"/>
          <w:color w:val="auto"/>
        </w:rPr>
        <w:t>Salaries, annual bonuses, paid annual leave and the cost of non-monetary benefits are accrued in the year in which the associated services are rendered by employees. Where payment or settlement is deferred and the effect would be material, these amounts are stated at their present values.</w:t>
      </w:r>
    </w:p>
    <w:p>
      <w:pPr>
        <w:spacing w:after="0" w:line="288" w:lineRule="exact"/>
        <w:rPr>
          <w:sz w:val="20"/>
          <w:szCs w:val="20"/>
          <w:color w:val="auto"/>
        </w:rPr>
      </w:pPr>
    </w:p>
    <w:p>
      <w:pPr>
        <w:ind w:left="1080" w:hanging="532"/>
        <w:spacing w:after="0"/>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to defined contribution plans</w:t>
      </w:r>
    </w:p>
    <w:p>
      <w:pPr>
        <w:spacing w:after="0" w:line="117" w:lineRule="exact"/>
        <w:rPr>
          <w:sz w:val="20"/>
          <w:szCs w:val="20"/>
          <w:color w:val="auto"/>
        </w:rPr>
      </w:pPr>
    </w:p>
    <w:p>
      <w:pPr>
        <w:ind w:left="560" w:right="80"/>
        <w:spacing w:after="0" w:line="261" w:lineRule="auto"/>
        <w:rPr>
          <w:sz w:val="20"/>
          <w:szCs w:val="20"/>
          <w:color w:val="auto"/>
        </w:rPr>
      </w:pPr>
      <w:r>
        <w:rPr>
          <w:rFonts w:ascii="Times New Roman" w:cs="Times New Roman" w:eastAsia="Times New Roman" w:hAnsi="Times New Roman"/>
          <w:sz w:val="18"/>
          <w:szCs w:val="18"/>
          <w:color w:val="auto"/>
        </w:rPr>
        <w:t>Pursuant to the relevant laws and regulations of the PRC, the Group’s subsidiaries in Chinese Mainland participate in a defined contribution basic pension insurance in the social insurance system established and managed by government organizations. The Group makes contributions to basic pension insurance plans based on the applicable benchmarks and rates stipulated by the government. Basic pension insurance contributions are recognized as part of the cost of assets or charged to profit or loss as the related services are rendered by the employees.</w:t>
      </w:r>
    </w:p>
    <w:p>
      <w:pPr>
        <w:spacing w:after="0" w:line="328" w:lineRule="exact"/>
        <w:rPr>
          <w:sz w:val="20"/>
          <w:szCs w:val="20"/>
          <w:color w:val="auto"/>
        </w:rPr>
      </w:pPr>
    </w:p>
    <w:p>
      <w:pPr>
        <w:ind w:left="1080" w:hanging="532"/>
        <w:spacing w:after="0"/>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w:t>
      </w:r>
    </w:p>
    <w:p>
      <w:pPr>
        <w:spacing w:after="0" w:line="117" w:lineRule="exact"/>
        <w:rPr>
          <w:sz w:val="20"/>
          <w:szCs w:val="20"/>
          <w:color w:val="auto"/>
        </w:rPr>
      </w:pPr>
    </w:p>
    <w:p>
      <w:pPr>
        <w:ind w:left="560"/>
        <w:spacing w:after="0" w:line="266" w:lineRule="auto"/>
        <w:rPr>
          <w:sz w:val="20"/>
          <w:szCs w:val="20"/>
          <w:color w:val="auto"/>
        </w:rPr>
      </w:pPr>
      <w:r>
        <w:rPr>
          <w:rFonts w:ascii="Times New Roman" w:cs="Times New Roman" w:eastAsia="Times New Roman" w:hAnsi="Times New Roman"/>
          <w:sz w:val="18"/>
          <w:szCs w:val="18"/>
          <w:color w:val="auto"/>
        </w:rPr>
        <w:t>The Company operates a share incentive plan for the purpose of providing incentives and rewards to eligible participants who contribute to the success of the Group’s operations. Employees (including directors) of the Group receive remuneration in the form of share-based awards, whereby employees render services as consideration for equity instruments (“share-based compensation”).</w:t>
      </w:r>
    </w:p>
    <w:p>
      <w:pPr>
        <w:spacing w:after="0" w:line="68" w:lineRule="exact"/>
        <w:rPr>
          <w:sz w:val="20"/>
          <w:szCs w:val="20"/>
          <w:color w:val="auto"/>
        </w:rPr>
      </w:pPr>
    </w:p>
    <w:p>
      <w:pPr>
        <w:ind w:left="560" w:right="80"/>
        <w:spacing w:after="0" w:line="258" w:lineRule="auto"/>
        <w:rPr>
          <w:sz w:val="20"/>
          <w:szCs w:val="20"/>
          <w:color w:val="auto"/>
        </w:rPr>
      </w:pPr>
      <w:r>
        <w:rPr>
          <w:rFonts w:ascii="Times New Roman" w:cs="Times New Roman" w:eastAsia="Times New Roman" w:hAnsi="Times New Roman"/>
          <w:sz w:val="18"/>
          <w:szCs w:val="18"/>
          <w:color w:val="auto"/>
        </w:rPr>
        <w:t>For share-based compensation expenses, the fair value of share-based awards granted to employees is recognized as an employee cost with a corresponding increase in a share-based compensation reserve within equity. The fair value is measured at grant date using the binomial options pricing model, taking into account the terms and conditions upon which the share-based awards were granted. Where the employees have to meet vesting conditions before becoming unconditionally entitled to the share-based awards, the total estimated fair value of the share-based awards is spread over the vesting period, taking into account the probability that the share-based awards will vest.</w:t>
      </w:r>
    </w:p>
    <w:p>
      <w:pPr>
        <w:spacing w:after="0" w:line="75" w:lineRule="exact"/>
        <w:rPr>
          <w:sz w:val="20"/>
          <w:szCs w:val="20"/>
          <w:color w:val="auto"/>
        </w:rPr>
      </w:pPr>
    </w:p>
    <w:p>
      <w:pPr>
        <w:ind w:left="560"/>
        <w:spacing w:after="0" w:line="255" w:lineRule="auto"/>
        <w:rPr>
          <w:sz w:val="20"/>
          <w:szCs w:val="20"/>
          <w:color w:val="auto"/>
        </w:rPr>
      </w:pPr>
      <w:r>
        <w:rPr>
          <w:rFonts w:ascii="Times New Roman" w:cs="Times New Roman" w:eastAsia="Times New Roman" w:hAnsi="Times New Roman"/>
          <w:sz w:val="18"/>
          <w:szCs w:val="18"/>
          <w:color w:val="auto"/>
        </w:rPr>
        <w:t>During the vesting period, the number of share-based awards that is expected to vest is reviewed. Any resulting adjustment to the cumulative fair value recognized in prior years is charged/credited to the profit or loss for the year of the review, unless the original employee expenses qualify for recognition as an asset, with a corresponding adjustment to the equity-settled share-based compensation reserve. On vesting date, the amount recognized as an expense is adjusted to reflect the actual number of share-based awards that vest (with a corresponding adjustment to the share-based compensation reserve). The amount is recognized in the share-based compensation reserve until the share-based award is exercised or expires. When the option is exercised, the equity amount in such reserve becomes part of the amount recognized in share capital for the shares issued. When the share-based award expires, the equity amount in such reserve is released directly to retained profits.</w:t>
      </w:r>
    </w:p>
    <w:p>
      <w:pPr>
        <w:spacing w:after="0" w:line="81" w:lineRule="exact"/>
        <w:rPr>
          <w:sz w:val="20"/>
          <w:szCs w:val="20"/>
          <w:color w:val="auto"/>
        </w:rPr>
      </w:pPr>
    </w:p>
    <w:p>
      <w:pPr>
        <w:jc w:val="both"/>
        <w:ind w:left="560" w:right="320"/>
        <w:spacing w:after="0" w:line="266" w:lineRule="auto"/>
        <w:rPr>
          <w:sz w:val="20"/>
          <w:szCs w:val="20"/>
          <w:color w:val="auto"/>
        </w:rPr>
      </w:pPr>
      <w:r>
        <w:rPr>
          <w:rFonts w:ascii="Times New Roman" w:cs="Times New Roman" w:eastAsia="Times New Roman" w:hAnsi="Times New Roman"/>
          <w:sz w:val="18"/>
          <w:szCs w:val="18"/>
          <w:color w:val="auto"/>
        </w:rPr>
        <w:t>If the Company repurchases vested share-based awards, the payment made to the employee shall be accounted for as a deduction from equity, except to the extent that the payment exceeds the fair value of the share-based awards repurchased, measured at the repurchase date. Any such excess shall be recognized as an expense.</w:t>
      </w:r>
    </w:p>
    <w:p>
      <w:pPr>
        <w:spacing w:after="0" w:line="324" w:lineRule="exact"/>
        <w:rPr>
          <w:sz w:val="20"/>
          <w:szCs w:val="20"/>
          <w:color w:val="auto"/>
        </w:rPr>
      </w:pPr>
    </w:p>
    <w:p>
      <w:pPr>
        <w:ind w:left="1080" w:hanging="532"/>
        <w:spacing w:after="0"/>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benefits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Termination benefits are recognized when the Group can no longer withdraw the offer of those benefits.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20"/>
          </w:cols>
          <w:pgMar w:left="320" w:top="482" w:right="45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15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tax</w:t>
      </w:r>
    </w:p>
    <w:p>
      <w:pPr>
        <w:spacing w:after="0" w:line="121" w:lineRule="exact"/>
        <w:rPr>
          <w:rFonts w:ascii="Times New Roman" w:cs="Times New Roman" w:eastAsia="Times New Roman" w:hAnsi="Times New Roman"/>
          <w:sz w:val="18"/>
          <w:szCs w:val="18"/>
          <w:b w:val="1"/>
          <w:bCs w:val="1"/>
          <w:i w:val="1"/>
          <w:iCs w:val="1"/>
          <w:color w:val="auto"/>
        </w:rPr>
      </w:pPr>
    </w:p>
    <w:p>
      <w:pPr>
        <w:ind w:left="560" w:right="56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Income tax expense comprises current tax and deferred tax. It is recognized in profit or loss except to the extent that it relates to a business combination, or items recognized directly in equity or in OCI.</w:t>
      </w:r>
    </w:p>
    <w:p>
      <w:pPr>
        <w:spacing w:after="0" w:line="53" w:lineRule="exact"/>
        <w:rPr>
          <w:rFonts w:ascii="Times New Roman" w:cs="Times New Roman" w:eastAsia="Times New Roman" w:hAnsi="Times New Roman"/>
          <w:sz w:val="18"/>
          <w:szCs w:val="18"/>
          <w:b w:val="1"/>
          <w:bCs w:val="1"/>
          <w:i w:val="1"/>
          <w:iCs w:val="1"/>
          <w:color w:val="auto"/>
        </w:rPr>
      </w:pPr>
    </w:p>
    <w:p>
      <w:pPr>
        <w:ind w:left="560" w:right="4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Current tax comprises the estimated tax payable or receivable on the taxable income or loss for the year and any adjustments to the tax payable or receivable in respect of previous years. The amount of current tax payable or receivable is the best estimate of the tax amount expected to be paid or received that reflects any uncertainty related to income taxes. It is measured using tax rates enacted or substantively enacted at the reporting date.</w:t>
      </w:r>
    </w:p>
    <w:p>
      <w:pPr>
        <w:spacing w:after="0" w:line="71" w:lineRule="exact"/>
        <w:rPr>
          <w:rFonts w:ascii="Times New Roman" w:cs="Times New Roman" w:eastAsia="Times New Roman" w:hAnsi="Times New Roman"/>
          <w:sz w:val="18"/>
          <w:szCs w:val="18"/>
          <w:b w:val="1"/>
          <w:bCs w:val="1"/>
          <w:i w:val="1"/>
          <w:iCs w:val="1"/>
          <w:color w:val="auto"/>
        </w:rPr>
      </w:pPr>
    </w:p>
    <w:p>
      <w:pPr>
        <w:ind w:left="5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Current tax assets and liabilities are offset only if certain criteria are met.</w:t>
      </w:r>
    </w:p>
    <w:p>
      <w:pPr>
        <w:spacing w:after="0" w:line="117" w:lineRule="exact"/>
        <w:rPr>
          <w:rFonts w:ascii="Times New Roman" w:cs="Times New Roman" w:eastAsia="Times New Roman" w:hAnsi="Times New Roman"/>
          <w:sz w:val="18"/>
          <w:szCs w:val="18"/>
          <w:b w:val="1"/>
          <w:bCs w:val="1"/>
          <w:i w:val="1"/>
          <w:iCs w:val="1"/>
          <w:color w:val="auto"/>
        </w:rPr>
      </w:pPr>
    </w:p>
    <w:p>
      <w:pPr>
        <w:ind w:left="560" w:right="54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Deferred tax is recognized in respect of temporary differences between the carrying amounts of assets and liabilities for financial reporting purposes and the amounts used for taxation purposes. Deferred tax is not recognized for:</w:t>
      </w:r>
    </w:p>
    <w:p>
      <w:pPr>
        <w:spacing w:after="0" w:line="67" w:lineRule="exact"/>
        <w:rPr>
          <w:rFonts w:ascii="Times New Roman" w:cs="Times New Roman" w:eastAsia="Times New Roman" w:hAnsi="Times New Roman"/>
          <w:sz w:val="18"/>
          <w:szCs w:val="18"/>
          <w:b w:val="1"/>
          <w:bCs w:val="1"/>
          <w:i w:val="1"/>
          <w:iCs w:val="1"/>
          <w:color w:val="auto"/>
        </w:rPr>
      </w:pPr>
    </w:p>
    <w:p>
      <w:pPr>
        <w:ind w:left="1080" w:right="260" w:hanging="532"/>
        <w:spacing w:after="0" w:line="282" w:lineRule="auto"/>
        <w:tabs>
          <w:tab w:leader="none" w:pos="108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differences on the initial recognition of assets or liabilities in a transaction that is not a business combination and that affects neither accounting nor taxable profit or loss and does not give rise to equal taxable and deductible temporary differences;</w:t>
      </w:r>
    </w:p>
    <w:p>
      <w:pPr>
        <w:spacing w:after="0" w:line="67"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differences related to investment in subsidiaries to the extent that the Group is able to control the timing of the reversal of the temporary differences and it is probable that they will not reverse in the foreseeable future;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taxable temporary differences arising on the initial recognition of goodwill; and</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related to the income taxes arising from tax laws enacted or substantively enacted to implement the Pillar Two model rules published by the Organization for Economic Co-operation and Development.</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Group recognized deferred tax assets and deferred tax liabilities separately in relation to its lease liabilities and right-of-use assets.</w:t>
      </w:r>
    </w:p>
    <w:p>
      <w:pPr>
        <w:spacing w:after="0" w:line="117" w:lineRule="exact"/>
        <w:rPr>
          <w:sz w:val="20"/>
          <w:szCs w:val="20"/>
          <w:color w:val="auto"/>
        </w:rPr>
      </w:pPr>
    </w:p>
    <w:p>
      <w:pPr>
        <w:ind w:left="560" w:right="60"/>
        <w:spacing w:after="0" w:line="256" w:lineRule="auto"/>
        <w:rPr>
          <w:sz w:val="20"/>
          <w:szCs w:val="20"/>
          <w:color w:val="auto"/>
        </w:rPr>
      </w:pPr>
      <w:r>
        <w:rPr>
          <w:rFonts w:ascii="Times New Roman" w:cs="Times New Roman" w:eastAsia="Times New Roman" w:hAnsi="Times New Roman"/>
          <w:sz w:val="18"/>
          <w:szCs w:val="18"/>
          <w:color w:val="auto"/>
        </w:rPr>
        <w:t>Deferred tax assets are recognized for unused tax losses, unused tax credits and deductible temporary differences to the extent that it is probable that future taxable profits will be available against which they can be used. Future taxable profits are determined based on the reversal of relevant taxable temporary differences. If the amount of taxable temporary differences is insufficient to recognize a deferred tax asset in full, then future taxable profits, adjusted for reversals of existing temporary differences, are considered, based on the business plans for individual subsidiaries in the Group. Deferred tax assets are reviewed at each reporting date and are reduced to the extent that it is no longer probable that the related tax benefit will be realised; such reductions are reversed when the probability of future taxable profits improves.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080"/>
          </w:cols>
          <w:pgMar w:left="320" w:top="482" w:right="49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15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Provisions and contingent liabilities</w:t>
      </w:r>
    </w:p>
    <w:p>
      <w:pPr>
        <w:spacing w:after="0" w:line="121" w:lineRule="exact"/>
        <w:rPr>
          <w:rFonts w:ascii="Times New Roman" w:cs="Times New Roman" w:eastAsia="Times New Roman" w:hAnsi="Times New Roman"/>
          <w:sz w:val="18"/>
          <w:szCs w:val="18"/>
          <w:b w:val="1"/>
          <w:bCs w:val="1"/>
          <w:i w:val="1"/>
          <w:iCs w:val="1"/>
          <w:color w:val="auto"/>
        </w:rPr>
      </w:pPr>
    </w:p>
    <w:p>
      <w:pPr>
        <w:ind w:left="56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Provisions are recognized when the Group has a legal or constructive obligation as a result of past events; it is probable that an outflow of economic benefits will be required to settle the obligation; and the amount has been reliably estimated. Where the time value of money is material, provisions are stated at the present value of the expenditure expected to settle the obligation.</w:t>
      </w:r>
    </w:p>
    <w:p>
      <w:pPr>
        <w:spacing w:after="0" w:line="67" w:lineRule="exact"/>
        <w:rPr>
          <w:rFonts w:ascii="Times New Roman" w:cs="Times New Roman" w:eastAsia="Times New Roman" w:hAnsi="Times New Roman"/>
          <w:sz w:val="18"/>
          <w:szCs w:val="18"/>
          <w:b w:val="1"/>
          <w:bCs w:val="1"/>
          <w:i w:val="1"/>
          <w:iCs w:val="1"/>
          <w:color w:val="auto"/>
        </w:rPr>
      </w:pPr>
    </w:p>
    <w:p>
      <w:pPr>
        <w:ind w:left="560" w:right="36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Where it is not probable that an outflow of economic benefits will be required, or the amount cannot be estimated reliably, the obligation is disclosed as a contingent liability, unless the probability of outflow of economic benefits is remote. Possible obligations, whose existence will only be confirmed by the occurrence or non-occurrence of one or more future events are also disclosed as contingent liabilities unless the probability of outflow of economic benefits is remote.</w:t>
      </w:r>
    </w:p>
    <w:p>
      <w:pPr>
        <w:spacing w:after="0" w:line="71" w:lineRule="exact"/>
        <w:rPr>
          <w:rFonts w:ascii="Times New Roman" w:cs="Times New Roman" w:eastAsia="Times New Roman" w:hAnsi="Times New Roman"/>
          <w:sz w:val="18"/>
          <w:szCs w:val="18"/>
          <w:b w:val="1"/>
          <w:bCs w:val="1"/>
          <w:i w:val="1"/>
          <w:iCs w:val="1"/>
          <w:color w:val="auto"/>
        </w:rPr>
      </w:pPr>
    </w:p>
    <w:p>
      <w:pPr>
        <w:ind w:left="560" w:right="18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Where some of the expenditure required to settle a provision is expected to be reimbursed by another party, a separate asset is recognized of any expected reimbursement that would be virtually certain. The amount recognized for the reimbursement is limited to the carrying amount of the provision.</w:t>
      </w:r>
    </w:p>
    <w:p>
      <w:pPr>
        <w:spacing w:after="0" w:line="320" w:lineRule="exact"/>
        <w:rPr>
          <w:rFonts w:ascii="Times New Roman" w:cs="Times New Roman" w:eastAsia="Times New Roman" w:hAnsi="Times New Roman"/>
          <w:sz w:val="18"/>
          <w:szCs w:val="18"/>
          <w:b w:val="1"/>
          <w:bCs w:val="1"/>
          <w:i w:val="1"/>
          <w:iCs w:val="1"/>
          <w:color w:val="auto"/>
        </w:rPr>
      </w:pPr>
    </w:p>
    <w:p>
      <w:pPr>
        <w:ind w:left="540" w:hanging="424"/>
        <w:spacing w:after="0"/>
        <w:tabs>
          <w:tab w:leader="none" w:pos="540" w:val="left"/>
        </w:tabs>
        <w:numPr>
          <w:ilvl w:val="0"/>
          <w:numId w:val="15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Revenue and other income</w:t>
      </w:r>
    </w:p>
    <w:p>
      <w:pPr>
        <w:spacing w:after="0" w:line="121" w:lineRule="exact"/>
        <w:rPr>
          <w:rFonts w:ascii="Times New Roman" w:cs="Times New Roman" w:eastAsia="Times New Roman" w:hAnsi="Times New Roman"/>
          <w:sz w:val="18"/>
          <w:szCs w:val="18"/>
          <w:b w:val="1"/>
          <w:bCs w:val="1"/>
          <w:i w:val="1"/>
          <w:iCs w:val="1"/>
          <w:color w:val="auto"/>
        </w:rPr>
      </w:pPr>
    </w:p>
    <w:p>
      <w:pPr>
        <w:ind w:left="5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Income is classified by the Group as revenue when it arises from the sale of goods or the provision of services from contracts with customers.</w:t>
      </w:r>
    </w:p>
    <w:p>
      <w:pPr>
        <w:spacing w:after="0" w:line="117" w:lineRule="exact"/>
        <w:rPr>
          <w:rFonts w:ascii="Times New Roman" w:cs="Times New Roman" w:eastAsia="Times New Roman" w:hAnsi="Times New Roman"/>
          <w:sz w:val="18"/>
          <w:szCs w:val="18"/>
          <w:b w:val="1"/>
          <w:bCs w:val="1"/>
          <w:i w:val="1"/>
          <w:iCs w:val="1"/>
          <w:color w:val="auto"/>
        </w:rPr>
      </w:pPr>
    </w:p>
    <w:p>
      <w:pPr>
        <w:ind w:left="560" w:right="2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Revenue is recognized when control over a good or service is transferred to the customer, at the amount of promised consideration to which the Group is expected to be entitled, excluding those amounts collected on behalf of third parties. Revenue excludes value-added tax (“VAT”) or other sales taxes and is after deduction of any trade discounts.</w:t>
      </w:r>
    </w:p>
    <w:p>
      <w:pPr>
        <w:spacing w:after="0" w:line="67" w:lineRule="exact"/>
        <w:rPr>
          <w:rFonts w:ascii="Times New Roman" w:cs="Times New Roman" w:eastAsia="Times New Roman" w:hAnsi="Times New Roman"/>
          <w:sz w:val="18"/>
          <w:szCs w:val="18"/>
          <w:b w:val="1"/>
          <w:bCs w:val="1"/>
          <w:i w:val="1"/>
          <w:iCs w:val="1"/>
          <w:color w:val="auto"/>
        </w:rPr>
      </w:pPr>
    </w:p>
    <w:p>
      <w:pPr>
        <w:ind w:left="560" w:right="20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Control of the goods and services may be transferred over time or at a point in time. Control of the goods and services is transferred over time if the Group’s performance:</w:t>
      </w:r>
    </w:p>
    <w:p>
      <w:pPr>
        <w:spacing w:after="0" w:line="67" w:lineRule="exact"/>
        <w:rPr>
          <w:rFonts w:ascii="Times New Roman" w:cs="Times New Roman" w:eastAsia="Times New Roman" w:hAnsi="Times New Roman"/>
          <w:sz w:val="18"/>
          <w:szCs w:val="18"/>
          <w:b w:val="1"/>
          <w:bCs w:val="1"/>
          <w:i w:val="1"/>
          <w:iCs w:val="1"/>
          <w:color w:val="auto"/>
        </w:rPr>
      </w:pPr>
    </w:p>
    <w:p>
      <w:pPr>
        <w:ind w:left="980" w:hanging="432"/>
        <w:spacing w:after="0"/>
        <w:tabs>
          <w:tab w:leader="none" w:pos="98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the benefits received and consumed simultaneously by the customer;</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creates or enhances an asset that the customer controls as the Group performs; or</w:t>
      </w:r>
    </w:p>
    <w:p>
      <w:pPr>
        <w:spacing w:after="0" w:line="130" w:lineRule="exact"/>
        <w:rPr>
          <w:rFonts w:ascii="Times New Roman" w:cs="Times New Roman" w:eastAsia="Times New Roman" w:hAnsi="Times New Roman"/>
          <w:sz w:val="18"/>
          <w:szCs w:val="18"/>
          <w:color w:val="auto"/>
        </w:rPr>
      </w:pPr>
    </w:p>
    <w:p>
      <w:pPr>
        <w:ind w:left="980" w:right="140" w:hanging="432"/>
        <w:spacing w:after="0" w:line="282" w:lineRule="auto"/>
        <w:tabs>
          <w:tab w:leader="none" w:pos="98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create an asset with an alternative use to the Group and the Group has an enforceable right to payment for performance completed to date.</w:t>
      </w:r>
    </w:p>
    <w:p>
      <w:pPr>
        <w:spacing w:after="0" w:line="54" w:lineRule="exact"/>
        <w:rPr>
          <w:sz w:val="20"/>
          <w:szCs w:val="20"/>
          <w:color w:val="auto"/>
        </w:rPr>
      </w:pPr>
    </w:p>
    <w:p>
      <w:pPr>
        <w:jc w:val="both"/>
        <w:ind w:left="560" w:right="380"/>
        <w:spacing w:after="0" w:line="266" w:lineRule="auto"/>
        <w:rPr>
          <w:sz w:val="20"/>
          <w:szCs w:val="20"/>
          <w:color w:val="auto"/>
        </w:rPr>
      </w:pPr>
      <w:r>
        <w:rPr>
          <w:rFonts w:ascii="Times New Roman" w:cs="Times New Roman" w:eastAsia="Times New Roman" w:hAnsi="Times New Roman"/>
          <w:sz w:val="18"/>
          <w:szCs w:val="18"/>
          <w:color w:val="auto"/>
        </w:rPr>
        <w:t>If control of the goods and services transfers over time, revenue is recognized over the period of the performance by reference to the progress towards complete satisfaction of that performance obligation. Otherwise, revenue is recognized at a point in time when the customer obtains control of the goods or services.</w:t>
      </w:r>
    </w:p>
    <w:p>
      <w:pPr>
        <w:spacing w:after="0" w:line="68" w:lineRule="exact"/>
        <w:rPr>
          <w:sz w:val="20"/>
          <w:szCs w:val="20"/>
          <w:color w:val="auto"/>
        </w:rPr>
      </w:pPr>
    </w:p>
    <w:p>
      <w:pPr>
        <w:ind w:left="560" w:right="80"/>
        <w:spacing w:after="0" w:line="256" w:lineRule="auto"/>
        <w:rPr>
          <w:sz w:val="20"/>
          <w:szCs w:val="20"/>
          <w:color w:val="auto"/>
        </w:rPr>
      </w:pPr>
      <w:r>
        <w:rPr>
          <w:rFonts w:ascii="Times New Roman" w:cs="Times New Roman" w:eastAsia="Times New Roman" w:hAnsi="Times New Roman"/>
          <w:sz w:val="18"/>
          <w:szCs w:val="18"/>
          <w:color w:val="auto"/>
        </w:rPr>
        <w:t>Contracts with customers may include multiple performance obligations. For such arrangements, the Group allocates the transaction price to each performance obligation based on its relative standalone selling price. The Group generally determines standalone selling prices based on the observable prices charged to customers when the Group sells that good or service separately. If the standalone selling price is not directly observable, it is estimated using expected cost plus a margin or adjusted market assessment approach, depending on the availability of information. Assumptions and estimations have been made in estimating the standalone selling price, and changes in those assumptions and estimates may impact the revenue recognition.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20"/>
          </w:cols>
          <w:pgMar w:left="320" w:top="482" w:right="4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66" w:lineRule="auto"/>
        <w:rPr>
          <w:sz w:val="20"/>
          <w:szCs w:val="20"/>
          <w:color w:val="auto"/>
        </w:rPr>
      </w:pPr>
      <w:r>
        <w:rPr>
          <w:rFonts w:ascii="Times New Roman" w:cs="Times New Roman" w:eastAsia="Times New Roman" w:hAnsi="Times New Roman"/>
          <w:sz w:val="18"/>
          <w:szCs w:val="18"/>
          <w:color w:val="auto"/>
        </w:rPr>
        <w:t>A contract asset is the Group’s right to consideration in exchange for goods and services that the Group has transferred to a customer and that right is conditional on something other than the passage of time. A receivable is recorded when the Group has an unconditional right to consideration. A right to consideration is unconditional if only the passage of time is required before payment of that consideration is due.</w:t>
      </w:r>
    </w:p>
    <w:p>
      <w:pPr>
        <w:spacing w:after="0" w:line="68" w:lineRule="exact"/>
        <w:rPr>
          <w:sz w:val="20"/>
          <w:szCs w:val="20"/>
          <w:color w:val="auto"/>
        </w:rPr>
      </w:pPr>
    </w:p>
    <w:p>
      <w:pPr>
        <w:ind w:left="560" w:right="60"/>
        <w:spacing w:after="0" w:line="261" w:lineRule="auto"/>
        <w:rPr>
          <w:sz w:val="20"/>
          <w:szCs w:val="20"/>
          <w:color w:val="auto"/>
        </w:rPr>
      </w:pPr>
      <w:r>
        <w:rPr>
          <w:rFonts w:ascii="Times New Roman" w:cs="Times New Roman" w:eastAsia="Times New Roman" w:hAnsi="Times New Roman"/>
          <w:sz w:val="18"/>
          <w:szCs w:val="18"/>
          <w:color w:val="auto"/>
        </w:rPr>
        <w:t>If a customer pays consideration or the Group has a right to an amount of consideration that is unconditional, before the Group transfers a good or service to the customer, the Group presents the contract liability when the payment is made or a receivable is recorded (whichever is earlier). A contract liability is the Group’s obligation to transfer goods or services to a customer for which the Group has received consideration (or an amount of consideration is due) from the customer.</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Group allows customers return goods only when the goods are defective.</w:t>
      </w:r>
    </w:p>
    <w:p>
      <w:pPr>
        <w:spacing w:after="0" w:line="117" w:lineRule="exact"/>
        <w:rPr>
          <w:sz w:val="20"/>
          <w:szCs w:val="20"/>
          <w:color w:val="auto"/>
        </w:rPr>
      </w:pPr>
    </w:p>
    <w:p>
      <w:pPr>
        <w:ind w:left="560" w:right="240"/>
        <w:spacing w:after="0" w:line="266" w:lineRule="auto"/>
        <w:rPr>
          <w:sz w:val="20"/>
          <w:szCs w:val="20"/>
          <w:color w:val="auto"/>
        </w:rPr>
      </w:pPr>
      <w:r>
        <w:rPr>
          <w:rFonts w:ascii="Times New Roman" w:cs="Times New Roman" w:eastAsia="Times New Roman" w:hAnsi="Times New Roman"/>
          <w:sz w:val="18"/>
          <w:szCs w:val="18"/>
          <w:color w:val="auto"/>
        </w:rPr>
        <w:t>The Group has taken advantage of the practical expedient and does not adjust the consideration for the effects of any significant financing component if the expected period of financing is 12 months or less. The contracts with customers generally do not include significant financing components or variable consideration.</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Warranty obligations</w:t>
      </w:r>
    </w:p>
    <w:p>
      <w:pPr>
        <w:spacing w:after="0" w:line="121" w:lineRule="exact"/>
        <w:rPr>
          <w:sz w:val="20"/>
          <w:szCs w:val="20"/>
          <w:color w:val="auto"/>
        </w:rPr>
      </w:pPr>
    </w:p>
    <w:p>
      <w:pPr>
        <w:ind w:left="560" w:right="60"/>
        <w:spacing w:after="0" w:line="258" w:lineRule="auto"/>
        <w:rPr>
          <w:sz w:val="20"/>
          <w:szCs w:val="20"/>
          <w:color w:val="auto"/>
        </w:rPr>
      </w:pPr>
      <w:r>
        <w:rPr>
          <w:rFonts w:ascii="Times New Roman" w:cs="Times New Roman" w:eastAsia="Times New Roman" w:hAnsi="Times New Roman"/>
          <w:sz w:val="18"/>
          <w:szCs w:val="18"/>
          <w:color w:val="auto"/>
        </w:rPr>
        <w:t>The Group provides customers with a standard warranty of three to five years that covers fixing of defects and hardware component failures to ensure that the autonomous driving vehicles will function in accordance with the agreed-upon specifications. The Group assessed that this standard warranty is an assurance type warranty. In addition, subject to the product liability related laws and regulations in the jurisdictions where the Group’s products and services are offered, the Group is obliged to pay compensation if its products cause harm or damage. The Group accounts for such obligation and the standard warranty in accordance with Note 2(w).</w:t>
      </w:r>
    </w:p>
    <w:p>
      <w:pPr>
        <w:spacing w:after="0" w:line="75" w:lineRule="exact"/>
        <w:rPr>
          <w:sz w:val="20"/>
          <w:szCs w:val="20"/>
          <w:color w:val="auto"/>
        </w:rPr>
      </w:pPr>
    </w:p>
    <w:p>
      <w:pPr>
        <w:jc w:val="both"/>
        <w:ind w:left="560" w:right="120"/>
        <w:spacing w:after="0" w:line="266" w:lineRule="auto"/>
        <w:rPr>
          <w:sz w:val="20"/>
          <w:szCs w:val="20"/>
          <w:color w:val="auto"/>
        </w:rPr>
      </w:pPr>
      <w:r>
        <w:rPr>
          <w:rFonts w:ascii="Times New Roman" w:cs="Times New Roman" w:eastAsia="Times New Roman" w:hAnsi="Times New Roman"/>
          <w:sz w:val="18"/>
          <w:szCs w:val="18"/>
          <w:color w:val="auto"/>
        </w:rPr>
        <w:t>The Group also offers an option to the customers to purchase a warranty for an extended period. The Group assessed such extended warranty is a service type warranty and accounts for it as a distinct performance obligation. Transaction price allocated to the extended warranty is recognized as revenue over the extended warranty period. See Note 2(x)(ii).</w:t>
      </w:r>
    </w:p>
    <w:p>
      <w:pPr>
        <w:spacing w:after="0" w:line="68" w:lineRule="exact"/>
        <w:rPr>
          <w:sz w:val="20"/>
          <w:szCs w:val="20"/>
          <w:color w:val="auto"/>
        </w:rPr>
      </w:pPr>
    </w:p>
    <w:p>
      <w:pPr>
        <w:ind w:left="560" w:right="140"/>
        <w:spacing w:after="0" w:line="261" w:lineRule="auto"/>
        <w:rPr>
          <w:sz w:val="20"/>
          <w:szCs w:val="20"/>
          <w:color w:val="auto"/>
        </w:rPr>
      </w:pPr>
      <w:r>
        <w:rPr>
          <w:rFonts w:ascii="Times New Roman" w:cs="Times New Roman" w:eastAsia="Times New Roman" w:hAnsi="Times New Roman"/>
          <w:sz w:val="18"/>
          <w:szCs w:val="18"/>
          <w:color w:val="auto"/>
        </w:rPr>
        <w:t>The Group generates revenue from (i) the sales of autonomous driving vehicles, primarily including robobuses, robotaxis and robosweepers, and related sensor suites; (ii) the provision of autonomous driving related operational and technical support services; and (iii) the provision of other technology services, including advanced driver-assistance system (“ADAS”) research and development (R&amp;D) services, and intelligent data services.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Details of the Group’s accounting policies for revenue and other income sources are as follows:</w:t>
      </w:r>
    </w:p>
    <w:p>
      <w:pPr>
        <w:spacing w:after="0" w:line="131" w:lineRule="exact"/>
        <w:rPr>
          <w:sz w:val="20"/>
          <w:szCs w:val="20"/>
          <w:color w:val="auto"/>
        </w:rPr>
      </w:pPr>
    </w:p>
    <w:p>
      <w:pPr>
        <w:ind w:left="1080" w:hanging="532"/>
        <w:spacing w:after="0"/>
        <w:tabs>
          <w:tab w:leader="none" w:pos="108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Sales of autonomous driving vehicles</w:t>
      </w:r>
    </w:p>
    <w:p>
      <w:pPr>
        <w:spacing w:after="0" w:line="121" w:lineRule="exact"/>
        <w:rPr>
          <w:sz w:val="20"/>
          <w:szCs w:val="20"/>
          <w:color w:val="auto"/>
        </w:rPr>
      </w:pPr>
    </w:p>
    <w:p>
      <w:pPr>
        <w:ind w:left="560" w:right="120"/>
        <w:spacing w:after="0" w:line="261" w:lineRule="auto"/>
        <w:rPr>
          <w:sz w:val="20"/>
          <w:szCs w:val="20"/>
          <w:color w:val="auto"/>
        </w:rPr>
      </w:pPr>
      <w:r>
        <w:rPr>
          <w:rFonts w:ascii="Times New Roman" w:cs="Times New Roman" w:eastAsia="Times New Roman" w:hAnsi="Times New Roman"/>
          <w:sz w:val="18"/>
          <w:szCs w:val="18"/>
          <w:color w:val="auto"/>
        </w:rPr>
        <w:t>The Group sells autonomous driving vehicles to customers with provision of landing deployment services to make the autonomous driving vehicles operational on the roads specified by the customers. Landing deployment services include setting-up vehicles with collected and labeled maps, performing road testing, adapting cloud service for autonomous functions to make the autonomous driving vehicles run on specific roads and reach the certain customer-specific technical metrics and autonomous functions.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20"/>
          </w:cols>
          <w:pgMar w:left="320" w:top="482" w:right="45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right="20"/>
        <w:spacing w:after="0" w:line="253" w:lineRule="auto"/>
        <w:rPr>
          <w:sz w:val="20"/>
          <w:szCs w:val="20"/>
          <w:color w:val="auto"/>
        </w:rPr>
      </w:pPr>
      <w:r>
        <w:rPr>
          <w:rFonts w:ascii="Times New Roman" w:cs="Times New Roman" w:eastAsia="Times New Roman" w:hAnsi="Times New Roman"/>
          <w:sz w:val="18"/>
          <w:szCs w:val="18"/>
          <w:color w:val="auto"/>
        </w:rPr>
        <w:t>The Group has determined that the autonomous driving vehicles and the landing deployment services are highly interdependent and should therefore be combined as a single performance obligation. In this connection, the Group’s contractual promise to customers of autonomous driving vehicles is to sell specialized autonomous driving vehicles that are optimized to provide public transportation service on specific roads meeting the customers’ specifications. Without the landing deployment services, autonomous driving vehicles cannot be operated on the specific roads and reach the required technical metrics and autonomous functions designated by the customers and the Group will not be able to fulfil its promise in the contracts. Given that autonomous driving technology is an emerging technology and is characterized by a significant number of technical challenges and uncertainties, some of these are customer-specific, the performance risk of delivering autonomous driving vehicles is inseparable from the completion of the landing deployment service depending various road conditions and level of consumer acceptance. Accordingly, the benefit obtained by the customers from the autonomous driving vehicles is highly dependent on the successful completion of the landing deployment services by the Group, and the Group has combined autonomous driving vehicles and landing deployment services are accounted for as a single performance obligation. Revenue is recognized at a point in time when the autonomous driving vehicles have been accepted by the customers upon the completion of the landing deployment services by the Group.</w:t>
      </w:r>
    </w:p>
    <w:p>
      <w:pPr>
        <w:spacing w:after="0" w:line="82"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The Group assesses that it has obtained control over the vehicles manufactured by its OEM partners once the vehicles are delivered to and accepted by the Group. Specifically, from that point of time, the Group has the ability to direct the use of the vehicles, including installing the Group’s autonomous driving sensor suites onto the vehicles and then selling the vehicles to another party (i.e. the Group’s customers) as the Group decides, and thereby obtaining substantially all of the remaining benefits from the vehicles via such sales. In addition, the sale of the vehicles and the provision of the landing deployment services have been combined as a single performance obligation, which means that the Group combines the vehicles manufactured by its OEM partners with its landing deployment service to produce specialized and optimized vehicles that can run on specific roads and reach the required technical metrics and autonomous functions specified by customers. As such, the Group had determined that it is a principal for the sales of autonomous driving vehicles.</w:t>
      </w:r>
    </w:p>
    <w:p>
      <w:pPr>
        <w:spacing w:after="0" w:line="84" w:lineRule="exact"/>
        <w:rPr>
          <w:sz w:val="20"/>
          <w:szCs w:val="20"/>
          <w:color w:val="auto"/>
        </w:rPr>
      </w:pPr>
    </w:p>
    <w:p>
      <w:pPr>
        <w:ind w:left="560" w:right="80"/>
        <w:spacing w:after="0" w:line="261" w:lineRule="auto"/>
        <w:rPr>
          <w:sz w:val="20"/>
          <w:szCs w:val="20"/>
          <w:color w:val="auto"/>
        </w:rPr>
      </w:pPr>
      <w:r>
        <w:rPr>
          <w:rFonts w:ascii="Times New Roman" w:cs="Times New Roman" w:eastAsia="Times New Roman" w:hAnsi="Times New Roman"/>
          <w:sz w:val="18"/>
          <w:szCs w:val="18"/>
          <w:color w:val="auto"/>
        </w:rPr>
        <w:t>The Group sells sensor suites that combine software and hardware and can be directly applied in a wide range of vehicles. Revenue from the sales of sensor suites is recognized generally at a point in time when the products are delivered to and are accepted by customers. Prior to 2023, when the Group had a right to repurchase sensor suites from the customer, the Group did not recognize revenue until the repurchase right no longer existed, which was generally the point in time when the customer consumed or resold the products to another party.</w:t>
      </w:r>
    </w:p>
    <w:p>
      <w:pPr>
        <w:spacing w:after="0" w:line="324" w:lineRule="exact"/>
        <w:rPr>
          <w:sz w:val="20"/>
          <w:szCs w:val="20"/>
          <w:color w:val="auto"/>
        </w:rPr>
      </w:pPr>
    </w:p>
    <w:p>
      <w:pPr>
        <w:ind w:left="1080" w:hanging="532"/>
        <w:spacing w:after="0"/>
        <w:tabs>
          <w:tab w:leader="none" w:pos="108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Autonomous driving related operational and technical support services</w:t>
      </w:r>
    </w:p>
    <w:p>
      <w:pPr>
        <w:spacing w:after="0" w:line="121" w:lineRule="exact"/>
        <w:rPr>
          <w:sz w:val="20"/>
          <w:szCs w:val="20"/>
          <w:color w:val="auto"/>
        </w:rPr>
      </w:pPr>
    </w:p>
    <w:p>
      <w:pPr>
        <w:ind w:left="560" w:right="20"/>
        <w:spacing w:after="0" w:line="261" w:lineRule="auto"/>
        <w:rPr>
          <w:sz w:val="20"/>
          <w:szCs w:val="20"/>
          <w:color w:val="auto"/>
        </w:rPr>
      </w:pPr>
      <w:r>
        <w:rPr>
          <w:rFonts w:ascii="Times New Roman" w:cs="Times New Roman" w:eastAsia="Times New Roman" w:hAnsi="Times New Roman"/>
          <w:sz w:val="18"/>
          <w:szCs w:val="18"/>
          <w:color w:val="auto"/>
        </w:rPr>
        <w:t>The Group provides optional operational assistance services to assist the customers in operating the autonomous driving vehicles for a specified period after acceptance, extended warranty of maintenance services and technical support services to enhance the autonomous driving functions based on the customer’s specifications. These optional services are accounted for as separate performance obligations. Revenue from the provision of these optional services is recognized over the service period, which vary from several months to three years, using an input method.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40"/>
          </w:cols>
          <w:pgMar w:left="320" w:top="482" w:right="4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560"/>
        <w:spacing w:after="0" w:line="266" w:lineRule="auto"/>
        <w:rPr>
          <w:sz w:val="20"/>
          <w:szCs w:val="20"/>
          <w:color w:val="auto"/>
        </w:rPr>
      </w:pPr>
      <w:r>
        <w:rPr>
          <w:rFonts w:ascii="Times New Roman" w:cs="Times New Roman" w:eastAsia="Times New Roman" w:hAnsi="Times New Roman"/>
          <w:sz w:val="18"/>
          <w:szCs w:val="18"/>
          <w:color w:val="auto"/>
        </w:rPr>
        <w:t>In some circumstances, the Group also provides autonomous driving related technical support services based on customer’s request. Revenue from the provision of technical support services is recognized over the service period, which generally vary from several months to three years, using an input method.</w:t>
      </w:r>
    </w:p>
    <w:p>
      <w:pPr>
        <w:spacing w:after="0" w:line="320" w:lineRule="exact"/>
        <w:rPr>
          <w:sz w:val="20"/>
          <w:szCs w:val="20"/>
          <w:color w:val="auto"/>
        </w:rPr>
      </w:pPr>
    </w:p>
    <w:p>
      <w:pPr>
        <w:ind w:left="1080" w:hanging="532"/>
        <w:spacing w:after="0"/>
        <w:tabs>
          <w:tab w:leader="none" w:pos="108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technology services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ADAS R&amp;D services</w:t>
      </w:r>
    </w:p>
    <w:p>
      <w:pPr>
        <w:spacing w:after="0" w:line="119" w:lineRule="exact"/>
        <w:rPr>
          <w:sz w:val="20"/>
          <w:szCs w:val="20"/>
          <w:color w:val="auto"/>
        </w:rPr>
      </w:pPr>
    </w:p>
    <w:p>
      <w:pPr>
        <w:ind w:left="560" w:right="60"/>
        <w:spacing w:after="0" w:line="258" w:lineRule="auto"/>
        <w:rPr>
          <w:sz w:val="20"/>
          <w:szCs w:val="20"/>
          <w:color w:val="auto"/>
        </w:rPr>
      </w:pPr>
      <w:r>
        <w:rPr>
          <w:rFonts w:ascii="Times New Roman" w:cs="Times New Roman" w:eastAsia="Times New Roman" w:hAnsi="Times New Roman"/>
          <w:sz w:val="18"/>
          <w:szCs w:val="18"/>
          <w:color w:val="auto"/>
        </w:rPr>
        <w:t>Commencing in 2022, the Group provides customized ADAS R&amp;D services for automotive customers based on automotive customers’ specific requirement. Revenue from the provision of these services is recognized over time since the Group’s performance does not create an asset with an alternative use to the Group and the Group has an enforceable right to payment for performance completed to date. Such revenue is recognized by measuring the progress towards complete satisfaction of the performance obligation using input method, which is based on the proportion of the costs incurred for the work performed to date relative to the estimated total costs to complete the contract.</w:t>
      </w:r>
    </w:p>
    <w:p>
      <w:pPr>
        <w:spacing w:after="0" w:line="75" w:lineRule="exact"/>
        <w:rPr>
          <w:sz w:val="20"/>
          <w:szCs w:val="20"/>
          <w:color w:val="auto"/>
        </w:rPr>
      </w:pPr>
    </w:p>
    <w:p>
      <w:pPr>
        <w:ind w:left="560" w:right="20"/>
        <w:spacing w:after="0" w:line="255" w:lineRule="auto"/>
        <w:rPr>
          <w:sz w:val="20"/>
          <w:szCs w:val="20"/>
          <w:color w:val="auto"/>
        </w:rPr>
      </w:pPr>
      <w:r>
        <w:rPr>
          <w:rFonts w:ascii="Times New Roman" w:cs="Times New Roman" w:eastAsia="Times New Roman" w:hAnsi="Times New Roman"/>
          <w:sz w:val="18"/>
          <w:szCs w:val="18"/>
          <w:color w:val="auto"/>
        </w:rPr>
        <w:t>Generally, the Group’s contracts with its customers do not include any variable consideration. One exception is for the contract in relation to the ADAS R&amp;D services, under which the Group is entitled to royalties from the customer based on the amount of actual sales made by that customer above a minimum sales threshold. The Group estimates the amount of royalties using the most likely amount method and includes the estimated amount in the transaction price to the extent that it is highly probable that a significant reversal in the amount of cumulative revenue recognized will not occur when the uncertainty associated with the royalties is subsequently resolved. Based on the Group’s estimate, no revenue has been recognized in relation to such variable consideration for the years presented due to the uncertainty to achieve the minimum sales threshold. At the end of each subsequent reporting period, the Group updates the estimate and therefore the transaction price accordingly.</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Intelligent data services</w:t>
      </w:r>
    </w:p>
    <w:p>
      <w:pPr>
        <w:spacing w:after="0" w:line="119" w:lineRule="exact"/>
        <w:rPr>
          <w:sz w:val="20"/>
          <w:szCs w:val="20"/>
          <w:color w:val="auto"/>
        </w:rPr>
      </w:pPr>
    </w:p>
    <w:p>
      <w:pPr>
        <w:ind w:left="560" w:right="160"/>
        <w:spacing w:after="0" w:line="261" w:lineRule="auto"/>
        <w:rPr>
          <w:sz w:val="20"/>
          <w:szCs w:val="20"/>
          <w:color w:val="auto"/>
        </w:rPr>
      </w:pPr>
      <w:r>
        <w:rPr>
          <w:rFonts w:ascii="Times New Roman" w:cs="Times New Roman" w:eastAsia="Times New Roman" w:hAnsi="Times New Roman"/>
          <w:sz w:val="18"/>
          <w:szCs w:val="18"/>
          <w:color w:val="auto"/>
        </w:rPr>
        <w:t>Commencing in 2024, the Group provides customized intelligent data services for customers based on their business needs. Revenue from the provision of these services is recognized over time since the customers simultaneously receive and consume the benefits as the Group performs. Such revenue is recognized by measuring the progress towards complete satisfaction of the performance obligation using input method, which is based on the proportion of the costs incurred for the work performed to date relative to the estimated total costs to complete the contract.</w:t>
      </w:r>
    </w:p>
    <w:p>
      <w:pPr>
        <w:spacing w:after="0" w:line="72" w:lineRule="exact"/>
        <w:rPr>
          <w:sz w:val="20"/>
          <w:szCs w:val="20"/>
          <w:color w:val="auto"/>
        </w:rPr>
      </w:pPr>
    </w:p>
    <w:p>
      <w:pPr>
        <w:ind w:left="560" w:right="40"/>
        <w:spacing w:after="0" w:line="258" w:lineRule="auto"/>
        <w:rPr>
          <w:sz w:val="20"/>
          <w:szCs w:val="20"/>
          <w:color w:val="auto"/>
        </w:rPr>
      </w:pPr>
      <w:r>
        <w:rPr>
          <w:rFonts w:ascii="Times New Roman" w:cs="Times New Roman" w:eastAsia="Times New Roman" w:hAnsi="Times New Roman"/>
          <w:sz w:val="18"/>
          <w:szCs w:val="18"/>
          <w:color w:val="auto"/>
        </w:rPr>
        <w:t>To some extent, the Group arranges such services where it assists its customers in finding a provider to complete such services requested by the customers. The Group concludes that it acts as an agent in these transactions as it is not responsible for fulfilling the promise to provide such services, nor does the Group have the ability to control the related services. The Group earns a service fee, which is the difference between the amount paid by the customers to the Group and the amount paid to the service provider by the Group. Receivables from payments made on behalf of customers represented the amount paid to service provider in advance by the Group on behalf of its customers, see Note 18.</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120"/>
          </w:cols>
          <w:pgMar w:left="320" w:top="482" w:right="4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grants</w:t>
      </w:r>
    </w:p>
    <w:p>
      <w:pPr>
        <w:spacing w:after="0" w:line="117"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Government grants are recognized in the statement of financial position initially when there is reasonable assurance that they will be received and that the Group will comply with the conditions attaching to them. Grants that compensate the Group for expenses incurred are recognized as income in profit or loss on a systematic basis in the same periods in which the expenses are incurred. Grants that compensate the Group for the cost of an asset are deducted from the carrying amount of the asset and consequently are effectively recognized in profit or loss over the useful life of the asset by way of reduced depreciation expense.</w:t>
      </w:r>
    </w:p>
    <w:p>
      <w:pPr>
        <w:spacing w:after="0" w:line="328" w:lineRule="exact"/>
        <w:rPr>
          <w:sz w:val="20"/>
          <w:szCs w:val="20"/>
          <w:color w:val="auto"/>
        </w:rPr>
      </w:pPr>
    </w:p>
    <w:p>
      <w:pPr>
        <w:ind w:left="540" w:hanging="424"/>
        <w:spacing w:after="0"/>
        <w:tabs>
          <w:tab w:leader="none" w:pos="540" w:val="left"/>
        </w:tabs>
        <w:numPr>
          <w:ilvl w:val="0"/>
          <w:numId w:val="15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21" w:lineRule="exact"/>
        <w:rPr>
          <w:rFonts w:ascii="Times New Roman" w:cs="Times New Roman" w:eastAsia="Times New Roman" w:hAnsi="Times New Roman"/>
          <w:sz w:val="18"/>
          <w:szCs w:val="18"/>
          <w:b w:val="1"/>
          <w:bCs w:val="1"/>
          <w:i w:val="1"/>
          <w:iCs w:val="1"/>
          <w:color w:val="auto"/>
        </w:rPr>
      </w:pPr>
    </w:p>
    <w:p>
      <w:pPr>
        <w:ind w:left="560" w:right="20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Foreign currency transactions during the year are translated at the foreign exchange rates ruling at the transaction dates. Monetary assets and liabilities denominated in foreign currencies are translated at the foreign exchange rates ruling at the end of the years presented. Exchange gains and losses are recognized in profit or loss and presented outside the operating results in the consolidated statements of profit or loss.</w:t>
      </w:r>
    </w:p>
    <w:p>
      <w:pPr>
        <w:spacing w:after="0" w:line="67" w:lineRule="exact"/>
        <w:rPr>
          <w:rFonts w:ascii="Times New Roman" w:cs="Times New Roman" w:eastAsia="Times New Roman" w:hAnsi="Times New Roman"/>
          <w:sz w:val="18"/>
          <w:szCs w:val="18"/>
          <w:b w:val="1"/>
          <w:bCs w:val="1"/>
          <w:i w:val="1"/>
          <w:iCs w:val="1"/>
          <w:color w:val="auto"/>
        </w:rPr>
      </w:pPr>
    </w:p>
    <w:p>
      <w:pPr>
        <w:ind w:left="56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Non-monetary assets and liabilities that are measured in terms of historical cost in a foreign currency are translated using the foreign exchange rates ruling at the transaction dates. The transaction date is the date on which the Group initially recognizes such non-monetary assets or liabilities. Non-monetary assets and liabilities denominated in foreign currencies that are stated at fair value are translated using the foreign exchange rates ruling at the dates the fair value was measured.</w:t>
      </w:r>
    </w:p>
    <w:p>
      <w:pPr>
        <w:spacing w:after="0" w:line="71" w:lineRule="exact"/>
        <w:rPr>
          <w:rFonts w:ascii="Times New Roman" w:cs="Times New Roman" w:eastAsia="Times New Roman" w:hAnsi="Times New Roman"/>
          <w:sz w:val="18"/>
          <w:szCs w:val="18"/>
          <w:b w:val="1"/>
          <w:bCs w:val="1"/>
          <w:i w:val="1"/>
          <w:iCs w:val="1"/>
          <w:color w:val="auto"/>
        </w:rPr>
      </w:pPr>
    </w:p>
    <w:p>
      <w:pPr>
        <w:jc w:val="both"/>
        <w:ind w:left="560" w:right="26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results of foreign operations are translated into RMB at the average exchange rates for the period. Statement of financial position items are translated into RMB at the foreign exchange rates at the end of the years presented. The resulting exchange differences are recognized in other comprehensive income and accumulated separately in equity in the translation reserve.</w:t>
      </w:r>
    </w:p>
    <w:p>
      <w:pPr>
        <w:spacing w:after="0" w:line="67" w:lineRule="exact"/>
        <w:rPr>
          <w:rFonts w:ascii="Times New Roman" w:cs="Times New Roman" w:eastAsia="Times New Roman" w:hAnsi="Times New Roman"/>
          <w:sz w:val="18"/>
          <w:szCs w:val="18"/>
          <w:b w:val="1"/>
          <w:bCs w:val="1"/>
          <w:i w:val="1"/>
          <w:iCs w:val="1"/>
          <w:color w:val="auto"/>
        </w:rPr>
      </w:pPr>
    </w:p>
    <w:p>
      <w:pPr>
        <w:ind w:left="560" w:right="4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On disposal of a foreign operation, the cumulative amount of the exchange differences relating to that foreign operation is reclassified from equity to profit or loss when the profit or loss on disposal is recognized.</w:t>
      </w:r>
    </w:p>
    <w:p>
      <w:pPr>
        <w:spacing w:after="0" w:line="306" w:lineRule="exact"/>
        <w:rPr>
          <w:rFonts w:ascii="Times New Roman" w:cs="Times New Roman" w:eastAsia="Times New Roman" w:hAnsi="Times New Roman"/>
          <w:sz w:val="18"/>
          <w:szCs w:val="18"/>
          <w:b w:val="1"/>
          <w:bCs w:val="1"/>
          <w:i w:val="1"/>
          <w:iCs w:val="1"/>
          <w:color w:val="auto"/>
        </w:rPr>
      </w:pPr>
    </w:p>
    <w:p>
      <w:pPr>
        <w:ind w:left="540" w:hanging="424"/>
        <w:spacing w:after="0"/>
        <w:tabs>
          <w:tab w:leader="none" w:pos="540" w:val="left"/>
        </w:tabs>
        <w:numPr>
          <w:ilvl w:val="0"/>
          <w:numId w:val="15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rFonts w:ascii="Times New Roman" w:cs="Times New Roman" w:eastAsia="Times New Roman" w:hAnsi="Times New Roman"/>
          <w:sz w:val="18"/>
          <w:szCs w:val="18"/>
          <w:b w:val="1"/>
          <w:bCs w:val="1"/>
          <w:i w:val="1"/>
          <w:iCs w:val="1"/>
          <w:color w:val="auto"/>
        </w:rPr>
      </w:pPr>
    </w:p>
    <w:p>
      <w:pPr>
        <w:ind w:left="560" w:right="60"/>
        <w:spacing w:after="0" w:line="289"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7"/>
          <w:szCs w:val="17"/>
          <w:color w:val="auto"/>
        </w:rPr>
        <w:t>Research and development expenses are expensed as incurred. Research and development costs consist primarily of personnel-related expenses associated with engineering personnel and consultants responsible for the design, development and testing of the Group’s autonomous driving technology platform and autonomous driving vehicles, depreciation of equipment used in research and development and allocated overhead costs.</w:t>
      </w:r>
    </w:p>
    <w:p>
      <w:pPr>
        <w:spacing w:after="0" w:line="49" w:lineRule="exact"/>
        <w:rPr>
          <w:rFonts w:ascii="Times New Roman" w:cs="Times New Roman" w:eastAsia="Times New Roman" w:hAnsi="Times New Roman"/>
          <w:sz w:val="18"/>
          <w:szCs w:val="18"/>
          <w:b w:val="1"/>
          <w:bCs w:val="1"/>
          <w:i w:val="1"/>
          <w:iCs w:val="1"/>
          <w:color w:val="auto"/>
        </w:rPr>
      </w:pPr>
    </w:p>
    <w:p>
      <w:pPr>
        <w:ind w:left="560" w:right="16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Group determined that the expenditure on development activities incurred during the years presented did not meet the capitalization criteria, because, among others, the Group cannot demonstrate, at the time when the development expenditure was incurred, the development activities would generate probable future economic benefits.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20"/>
          </w:cols>
          <w:pgMar w:left="320" w:top="482" w:right="45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right="20"/>
        <w:spacing w:after="0" w:line="272" w:lineRule="auto"/>
        <w:rPr>
          <w:sz w:val="20"/>
          <w:szCs w:val="20"/>
          <w:color w:val="auto"/>
        </w:rPr>
      </w:pPr>
      <w:r>
        <w:rPr>
          <w:rFonts w:ascii="Times New Roman" w:cs="Times New Roman" w:eastAsia="Times New Roman" w:hAnsi="Times New Roman"/>
          <w:sz w:val="17"/>
          <w:szCs w:val="17"/>
          <w:color w:val="auto"/>
        </w:rPr>
        <w:t>Autonomous driving technology is an emerging technology and has potential to be applied in a wide range of different use cases. The Group faces significant challenges and uncertainty as to whether it can successfully develop and, more importantly, commercialize its autonomous driving technology platform and autonomous driving vehicles, due to expectations for better-than-human driving performance, considerable capital requirements, long lead time in development, specialized skills and expertise requirements of personnel, inconsistent and evolving regulatory frameworks, a need to build public trust and brand image and real-world operation of an entirely new technology. While certain autonomous driving use cases are already in the early stages of commercialization and the Group started to generate revenue since 2020, as the Group’s development activities moved on to cater for more challenging use cases involving more complex road conditions, the level of uncertainties from the above sources remain high. As such, the Group cannot demonstrate these activities would generate probable future economic benefits.</w:t>
      </w:r>
    </w:p>
    <w:p>
      <w:pPr>
        <w:spacing w:after="0" w:line="316" w:lineRule="exact"/>
        <w:rPr>
          <w:sz w:val="20"/>
          <w:szCs w:val="20"/>
          <w:color w:val="auto"/>
        </w:rPr>
      </w:pPr>
    </w:p>
    <w:p>
      <w:pPr>
        <w:ind w:left="540" w:hanging="424"/>
        <w:spacing w:after="0"/>
        <w:tabs>
          <w:tab w:leader="none" w:pos="540" w:val="left"/>
        </w:tabs>
        <w:numPr>
          <w:ilvl w:val="0"/>
          <w:numId w:val="15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Borrowing costs</w:t>
      </w:r>
    </w:p>
    <w:p>
      <w:pPr>
        <w:spacing w:after="0" w:line="121" w:lineRule="exact"/>
        <w:rPr>
          <w:rFonts w:ascii="Times New Roman" w:cs="Times New Roman" w:eastAsia="Times New Roman" w:hAnsi="Times New Roman"/>
          <w:sz w:val="18"/>
          <w:szCs w:val="18"/>
          <w:b w:val="1"/>
          <w:bCs w:val="1"/>
          <w:i w:val="1"/>
          <w:iCs w:val="1"/>
          <w:color w:val="auto"/>
        </w:rPr>
      </w:pPr>
    </w:p>
    <w:p>
      <w:pPr>
        <w:ind w:left="5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Borrowing costs are expensed in which they are incurred.</w:t>
      </w:r>
    </w:p>
    <w:p>
      <w:pPr>
        <w:spacing w:after="0" w:line="369" w:lineRule="exact"/>
        <w:rPr>
          <w:rFonts w:ascii="Times New Roman" w:cs="Times New Roman" w:eastAsia="Times New Roman" w:hAnsi="Times New Roman"/>
          <w:sz w:val="18"/>
          <w:szCs w:val="18"/>
          <w:b w:val="1"/>
          <w:bCs w:val="1"/>
          <w:i w:val="1"/>
          <w:iCs w:val="1"/>
          <w:color w:val="auto"/>
        </w:rPr>
      </w:pPr>
    </w:p>
    <w:p>
      <w:pPr>
        <w:ind w:left="540" w:hanging="424"/>
        <w:spacing w:after="0"/>
        <w:tabs>
          <w:tab w:leader="none" w:pos="540" w:val="left"/>
        </w:tabs>
        <w:numPr>
          <w:ilvl w:val="0"/>
          <w:numId w:val="15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rFonts w:ascii="Times New Roman" w:cs="Times New Roman" w:eastAsia="Times New Roman" w:hAnsi="Times New Roman"/>
          <w:sz w:val="18"/>
          <w:szCs w:val="18"/>
          <w:b w:val="1"/>
          <w:bCs w:val="1"/>
          <w:i w:val="1"/>
          <w:iCs w:val="1"/>
          <w:color w:val="auto"/>
        </w:rPr>
      </w:pPr>
    </w:p>
    <w:p>
      <w:pPr>
        <w:ind w:left="560" w:right="38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Interest income is recognized using the effective interest method and presented outside the operating results in the consolidated statements of profit or loss.</w:t>
      </w:r>
    </w:p>
    <w:p>
      <w:pPr>
        <w:spacing w:after="0" w:line="306" w:lineRule="exact"/>
        <w:rPr>
          <w:rFonts w:ascii="Times New Roman" w:cs="Times New Roman" w:eastAsia="Times New Roman" w:hAnsi="Times New Roman"/>
          <w:sz w:val="18"/>
          <w:szCs w:val="18"/>
          <w:b w:val="1"/>
          <w:bCs w:val="1"/>
          <w:i w:val="1"/>
          <w:iCs w:val="1"/>
          <w:color w:val="auto"/>
        </w:rPr>
      </w:pPr>
    </w:p>
    <w:p>
      <w:pPr>
        <w:ind w:left="540" w:hanging="424"/>
        <w:spacing w:after="0"/>
        <w:tabs>
          <w:tab w:leader="none" w:pos="540" w:val="left"/>
        </w:tabs>
        <w:numPr>
          <w:ilvl w:val="0"/>
          <w:numId w:val="15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rFonts w:ascii="Times New Roman" w:cs="Times New Roman" w:eastAsia="Times New Roman" w:hAnsi="Times New Roman"/>
          <w:sz w:val="18"/>
          <w:szCs w:val="18"/>
          <w:b w:val="1"/>
          <w:bCs w:val="1"/>
          <w:i w:val="1"/>
          <w:iCs w:val="1"/>
          <w:color w:val="auto"/>
        </w:rPr>
      </w:pPr>
    </w:p>
    <w:p>
      <w:pPr>
        <w:ind w:left="56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Operating segments are reported in a manner consistent with the internal reporting provided to the chief operating decision makers, who are responsible for allocating resources and assessing performance of the operating segments and making strategic decisions. The Group’s chief operating decision makers have been identified as the executive directors of the Company, who review the consolidated results of operations when making decisions about allocating resources and assessing performance of the Group as a whole.</w:t>
      </w:r>
    </w:p>
    <w:p>
      <w:pPr>
        <w:spacing w:after="0" w:line="71" w:lineRule="exact"/>
        <w:rPr>
          <w:rFonts w:ascii="Times New Roman" w:cs="Times New Roman" w:eastAsia="Times New Roman" w:hAnsi="Times New Roman"/>
          <w:sz w:val="18"/>
          <w:szCs w:val="18"/>
          <w:b w:val="1"/>
          <w:bCs w:val="1"/>
          <w:i w:val="1"/>
          <w:iCs w:val="1"/>
          <w:color w:val="auto"/>
        </w:rPr>
      </w:pPr>
    </w:p>
    <w:p>
      <w:pPr>
        <w:ind w:left="560" w:right="6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For the purpose of internal reporting and management’s operation review, the chief operating decision-makers and management personnel do not segregate the Group’s business by product or service lines. Hence, the Group has only one operating segment. In addition, the Group does not distinguish between markets or segments for the purpose of internal reporting. As the Group’s assets and liabilities are substantially located in the PRC, substantially all revenues are earned and substantially all expenses incurred in the PRC, no geographical segments are presented.</w:t>
      </w:r>
    </w:p>
    <w:p>
      <w:pPr>
        <w:spacing w:after="0" w:line="324" w:lineRule="exact"/>
        <w:rPr>
          <w:rFonts w:ascii="Times New Roman" w:cs="Times New Roman" w:eastAsia="Times New Roman" w:hAnsi="Times New Roman"/>
          <w:sz w:val="18"/>
          <w:szCs w:val="18"/>
          <w:b w:val="1"/>
          <w:bCs w:val="1"/>
          <w:i w:val="1"/>
          <w:iCs w:val="1"/>
          <w:color w:val="auto"/>
        </w:rPr>
      </w:pPr>
    </w:p>
    <w:p>
      <w:pPr>
        <w:ind w:left="540" w:hanging="424"/>
        <w:spacing w:after="0"/>
        <w:tabs>
          <w:tab w:leader="none" w:pos="540" w:val="left"/>
        </w:tabs>
        <w:numPr>
          <w:ilvl w:val="0"/>
          <w:numId w:val="15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Related parties</w:t>
      </w:r>
    </w:p>
    <w:p>
      <w:pPr>
        <w:spacing w:after="0" w:line="134" w:lineRule="exact"/>
        <w:rPr>
          <w:rFonts w:ascii="Times New Roman" w:cs="Times New Roman" w:eastAsia="Times New Roman" w:hAnsi="Times New Roman"/>
          <w:sz w:val="18"/>
          <w:szCs w:val="18"/>
          <w:b w:val="1"/>
          <w:bCs w:val="1"/>
          <w:i w:val="1"/>
          <w:iCs w:val="1"/>
          <w:color w:val="auto"/>
        </w:rPr>
      </w:pPr>
    </w:p>
    <w:p>
      <w:pPr>
        <w:ind w:left="1080" w:hanging="532"/>
        <w:spacing w:after="0"/>
        <w:tabs>
          <w:tab w:leader="none" w:pos="108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or a close member of that person’s family, is related to the Group if that person:</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2"/>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control or joint control over the Group;</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2"/>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significant influence over the Group; or</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2"/>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member of the key management personnel of the Group or the Group’s parent.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00"/>
          </w:cols>
          <w:pgMar w:left="320" w:top="482" w:right="47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is related to the Group if any of the following conditions applies:</w:t>
      </w:r>
    </w:p>
    <w:p>
      <w:pPr>
        <w:spacing w:after="0" w:line="130" w:lineRule="exact"/>
        <w:rPr>
          <w:rFonts w:ascii="Times New Roman" w:cs="Times New Roman" w:eastAsia="Times New Roman" w:hAnsi="Times New Roman"/>
          <w:sz w:val="18"/>
          <w:szCs w:val="18"/>
          <w:color w:val="auto"/>
        </w:rPr>
      </w:pPr>
    </w:p>
    <w:p>
      <w:pPr>
        <w:ind w:left="1540" w:right="100" w:hanging="439"/>
        <w:spacing w:after="0" w:line="282" w:lineRule="auto"/>
        <w:tabs>
          <w:tab w:leader="none" w:pos="154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and the Group are members of the same group (which means that each parent, subsidiary and fellow subsidiary is related to the others).</w:t>
      </w:r>
    </w:p>
    <w:p>
      <w:pPr>
        <w:spacing w:after="0" w:line="67" w:lineRule="exact"/>
        <w:rPr>
          <w:rFonts w:ascii="Times New Roman" w:cs="Times New Roman" w:eastAsia="Times New Roman" w:hAnsi="Times New Roman"/>
          <w:sz w:val="18"/>
          <w:szCs w:val="18"/>
          <w:color w:val="auto"/>
        </w:rPr>
      </w:pPr>
    </w:p>
    <w:p>
      <w:pPr>
        <w:ind w:left="1540" w:right="260" w:hanging="439"/>
        <w:spacing w:after="0" w:line="282" w:lineRule="auto"/>
        <w:tabs>
          <w:tab w:leader="none" w:pos="154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entity is an associate or joint venture of the other entity (or an associate or joint venture of a member of a group of which the other entity is a member).</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entities are joint ventures of the same third party.</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entity is a joint venture of a third entity and the other entity is an associate of the third entity.</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is a post-employment benefit plan for the benefit of employees of either the Group or an entity related to the Group.</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is controlled or jointly controlled by a person identified in (a).</w:t>
      </w:r>
    </w:p>
    <w:p>
      <w:pPr>
        <w:spacing w:after="0" w:line="130" w:lineRule="exact"/>
        <w:rPr>
          <w:rFonts w:ascii="Times New Roman" w:cs="Times New Roman" w:eastAsia="Times New Roman" w:hAnsi="Times New Roman"/>
          <w:sz w:val="18"/>
          <w:szCs w:val="18"/>
          <w:color w:val="auto"/>
        </w:rPr>
      </w:pPr>
    </w:p>
    <w:p>
      <w:pPr>
        <w:ind w:left="1540" w:right="180" w:hanging="439"/>
        <w:spacing w:after="0" w:line="282" w:lineRule="auto"/>
        <w:tabs>
          <w:tab w:leader="none" w:pos="154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identified in (a)(i) has significant influence over the entity or is a member of the key management personnel of the entity (or of a parent of the entity).</w:t>
      </w:r>
    </w:p>
    <w:p>
      <w:pPr>
        <w:spacing w:after="0" w:line="67" w:lineRule="exact"/>
        <w:rPr>
          <w:rFonts w:ascii="Times New Roman" w:cs="Times New Roman" w:eastAsia="Times New Roman" w:hAnsi="Times New Roman"/>
          <w:sz w:val="18"/>
          <w:szCs w:val="18"/>
          <w:color w:val="auto"/>
        </w:rPr>
      </w:pPr>
    </w:p>
    <w:p>
      <w:pPr>
        <w:ind w:left="1540" w:right="500" w:hanging="439"/>
        <w:spacing w:after="0" w:line="282" w:lineRule="auto"/>
        <w:tabs>
          <w:tab w:leader="none" w:pos="154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or any member of a group of which it is a part, provides key management personnel services to the Group or to the Group’s parent.</w:t>
      </w:r>
    </w:p>
    <w:p>
      <w:pPr>
        <w:spacing w:after="0" w:line="54" w:lineRule="exact"/>
        <w:rPr>
          <w:sz w:val="20"/>
          <w:szCs w:val="20"/>
          <w:color w:val="auto"/>
        </w:rPr>
      </w:pPr>
    </w:p>
    <w:p>
      <w:pPr>
        <w:ind w:left="560" w:right="280"/>
        <w:spacing w:after="0" w:line="282" w:lineRule="auto"/>
        <w:rPr>
          <w:sz w:val="20"/>
          <w:szCs w:val="20"/>
          <w:color w:val="auto"/>
        </w:rPr>
      </w:pPr>
      <w:r>
        <w:rPr>
          <w:rFonts w:ascii="Times New Roman" w:cs="Times New Roman" w:eastAsia="Times New Roman" w:hAnsi="Times New Roman"/>
          <w:sz w:val="18"/>
          <w:szCs w:val="18"/>
          <w:color w:val="auto"/>
        </w:rPr>
        <w:t>Close members of the family of a person are those family members who may be expected to influence, or be influenced by, that person in their dealings with the entity.</w:t>
      </w:r>
    </w:p>
    <w:p>
      <w:pPr>
        <w:spacing w:after="0" w:line="306" w:lineRule="exact"/>
        <w:rPr>
          <w:sz w:val="20"/>
          <w:szCs w:val="20"/>
          <w:color w:val="auto"/>
        </w:rPr>
      </w:pPr>
    </w:p>
    <w:p>
      <w:pPr>
        <w:ind w:left="540" w:hanging="424"/>
        <w:spacing w:after="0"/>
        <w:tabs>
          <w:tab w:leader="none" w:pos="540"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estimates and judgments</w:t>
      </w:r>
    </w:p>
    <w:p>
      <w:pPr>
        <w:spacing w:after="0" w:line="121" w:lineRule="exact"/>
        <w:rPr>
          <w:rFonts w:ascii="Times New Roman" w:cs="Times New Roman" w:eastAsia="Times New Roman" w:hAnsi="Times New Roman"/>
          <w:sz w:val="18"/>
          <w:szCs w:val="18"/>
          <w:b w:val="1"/>
          <w:bCs w:val="1"/>
          <w:color w:val="auto"/>
        </w:rPr>
      </w:pPr>
    </w:p>
    <w:p>
      <w:pPr>
        <w:ind w:left="560" w:right="4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Estimates and judgments are continually evaluated and are based on historical experience and other factors, including expectations of future events that are believed to be reasonable under the circumstances.</w:t>
      </w:r>
    </w:p>
    <w:p>
      <w:pPr>
        <w:spacing w:after="0" w:line="53" w:lineRule="exact"/>
        <w:rPr>
          <w:rFonts w:ascii="Times New Roman" w:cs="Times New Roman" w:eastAsia="Times New Roman" w:hAnsi="Times New Roman"/>
          <w:sz w:val="18"/>
          <w:szCs w:val="18"/>
          <w:b w:val="1"/>
          <w:bCs w:val="1"/>
          <w:color w:val="auto"/>
        </w:rPr>
      </w:pPr>
    </w:p>
    <w:p>
      <w:pPr>
        <w:ind w:left="5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makes estimates and assumptions concerning the future. The resulting accounting estimates will, by definition, seldom equal the related actual results. The estimates and assumptions that have a significant risk of causing a material adjustment to the carrying amounts of assets and liabilities within the next financial year are addressed below.</w:t>
      </w:r>
    </w:p>
    <w:p>
      <w:pPr>
        <w:spacing w:after="0" w:line="320" w:lineRule="exact"/>
        <w:rPr>
          <w:sz w:val="20"/>
          <w:szCs w:val="20"/>
          <w:color w:val="auto"/>
        </w:rPr>
      </w:pPr>
    </w:p>
    <w:p>
      <w:pPr>
        <w:ind w:left="540" w:hanging="424"/>
        <w:spacing w:after="0"/>
        <w:tabs>
          <w:tab w:leader="none" w:pos="540" w:val="left"/>
        </w:tabs>
        <w:numPr>
          <w:ilvl w:val="0"/>
          <w:numId w:val="16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Fair value of warrant liabilities</w:t>
      </w:r>
    </w:p>
    <w:p>
      <w:pPr>
        <w:spacing w:after="0" w:line="121" w:lineRule="exact"/>
        <w:rPr>
          <w:rFonts w:ascii="Times New Roman" w:cs="Times New Roman" w:eastAsia="Times New Roman" w:hAnsi="Times New Roman"/>
          <w:sz w:val="18"/>
          <w:szCs w:val="18"/>
          <w:b w:val="1"/>
          <w:bCs w:val="1"/>
          <w:i w:val="1"/>
          <w:iCs w:val="1"/>
          <w:color w:val="auto"/>
        </w:rPr>
      </w:pPr>
    </w:p>
    <w:p>
      <w:pPr>
        <w:ind w:left="560" w:right="14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Group measures the warrant liabilities (Note 2(s)) at fair value. There are no quoted prices in an active market, the fair value of warrant liabilities is established with the assistance of an independent valuer using generally accepted valuation techniques. The assumptions adopted by the independent valuer in the valuation models make maximum use of market inputs. However, it should be noted that some inputs, such as the fair value of the Company’s ordinary shares and the estimated probability of the occurrence of triggering events, require management estimates. Management’s estimates and assumptions are reviewed periodically and are adjusted if necessary. Should any of the estimates and assumptions change, it may lead to a change in the fair value of warrant liabilities.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00"/>
          </w:cols>
          <w:pgMar w:left="320" w:top="482" w:right="47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16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rFonts w:ascii="Times New Roman" w:cs="Times New Roman" w:eastAsia="Times New Roman" w:hAnsi="Times New Roman"/>
          <w:sz w:val="18"/>
          <w:szCs w:val="18"/>
          <w:b w:val="1"/>
          <w:bCs w:val="1"/>
          <w:i w:val="1"/>
          <w:iCs w:val="1"/>
          <w:color w:val="auto"/>
        </w:rPr>
      </w:pPr>
    </w:p>
    <w:p>
      <w:pPr>
        <w:ind w:left="560" w:right="12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Group measures the cost of equity-settled transactions with employees by reference to the fair value of the equity instruments at the date at which they are granted. The fair value is estimated using a model which requires the determination of the appropriate inputs. The Group has to estimate the forfeiture rate in order to determine the amount of share-based compensation expenses charged to the statement of profit or loss. The Group had to estimate the vesting periods of the share awards which were variable and subject to an estimate of when an IPO of the Company would occur before it completed its IPO in October 2024. The assumptions and models used for estimating the fair value of share-based compensation are disclosed in Note 30.</w:t>
      </w:r>
    </w:p>
    <w:p>
      <w:pPr>
        <w:spacing w:after="0" w:line="332" w:lineRule="exact"/>
        <w:rPr>
          <w:sz w:val="20"/>
          <w:szCs w:val="20"/>
          <w:color w:val="auto"/>
        </w:rPr>
      </w:pPr>
    </w:p>
    <w:p>
      <w:pPr>
        <w:ind w:left="540" w:hanging="424"/>
        <w:spacing w:after="0"/>
        <w:tabs>
          <w:tab w:leader="none" w:pos="540"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121" w:lineRule="exact"/>
        <w:rPr>
          <w:rFonts w:ascii="Times New Roman" w:cs="Times New Roman" w:eastAsia="Times New Roman" w:hAnsi="Times New Roman"/>
          <w:sz w:val="18"/>
          <w:szCs w:val="18"/>
          <w:b w:val="1"/>
          <w:bCs w:val="1"/>
          <w:color w:val="auto"/>
        </w:rPr>
      </w:pPr>
    </w:p>
    <w:p>
      <w:pPr>
        <w:ind w:left="560" w:right="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purpose of resources allocation and performance assessment, the chief operating decision maker (“CODM”) reviews the overall results and financial position of the Group as a whole. Accordingly, the Group has only one operating segment and no further discrete financial information nor analysis of this single segment is presented.</w:t>
      </w:r>
    </w:p>
    <w:p>
      <w:pPr>
        <w:spacing w:after="0" w:line="28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Geographic information</w:t>
      </w:r>
    </w:p>
    <w:p>
      <w:pPr>
        <w:spacing w:after="0" w:line="119" w:lineRule="exact"/>
        <w:rPr>
          <w:rFonts w:ascii="Times New Roman" w:cs="Times New Roman" w:eastAsia="Times New Roman" w:hAnsi="Times New Roman"/>
          <w:sz w:val="18"/>
          <w:szCs w:val="18"/>
          <w:b w:val="1"/>
          <w:bCs w:val="1"/>
          <w:color w:val="auto"/>
        </w:rPr>
      </w:pPr>
    </w:p>
    <w:p>
      <w:pPr>
        <w:ind w:left="560" w:right="1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an investment holding company incorporated in the Cayman Islands and the principal place of the Group’s business operation is in the PRC. No geographical information is presented as the Group’s revenue and non-current assets are predominately generated/located in the PRC.</w:t>
      </w:r>
    </w:p>
    <w:p>
      <w:pPr>
        <w:spacing w:after="0" w:line="320" w:lineRule="exact"/>
        <w:rPr>
          <w:sz w:val="20"/>
          <w:szCs w:val="20"/>
          <w:color w:val="auto"/>
        </w:rPr>
      </w:pPr>
    </w:p>
    <w:p>
      <w:pPr>
        <w:ind w:left="540" w:hanging="424"/>
        <w:spacing w:after="0"/>
        <w:tabs>
          <w:tab w:leader="none" w:pos="540"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21" w:lineRule="exact"/>
        <w:rPr>
          <w:rFonts w:ascii="Times New Roman" w:cs="Times New Roman" w:eastAsia="Times New Roman" w:hAnsi="Times New Roman"/>
          <w:sz w:val="18"/>
          <w:szCs w:val="18"/>
          <w:b w:val="1"/>
          <w:bCs w:val="1"/>
          <w:color w:val="auto"/>
        </w:rPr>
      </w:pPr>
    </w:p>
    <w:p>
      <w:pPr>
        <w:ind w:left="56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principal activities of the Group are (i) the sales of autonomous driving vehicles, primarily including robobuses, robotaxis, robosweepers and related sensor suites; (ii) the provision of autonomous driving related operational and technical support services; and (iii) the provision of other technology services, including ADAS R&amp;D services and intelligent data services.</w:t>
      </w:r>
    </w:p>
    <w:p>
      <w:pPr>
        <w:spacing w:after="0" w:line="324" w:lineRule="exact"/>
        <w:rPr>
          <w:sz w:val="20"/>
          <w:szCs w:val="20"/>
          <w:color w:val="auto"/>
        </w:rPr>
      </w:pPr>
    </w:p>
    <w:p>
      <w:pPr>
        <w:ind w:left="540" w:hanging="424"/>
        <w:spacing w:after="0"/>
        <w:tabs>
          <w:tab w:leader="none" w:pos="5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Disaggregation of revenue</w:t>
      </w:r>
    </w:p>
    <w:p>
      <w:pPr>
        <w:spacing w:after="0" w:line="11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Disaggregation of revenue from contracts with customers by major products or service lines and timing of revenue recognition are as follows: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8280" w:type="dxa"/>
            <w:vAlign w:val="bottom"/>
          </w:tcPr>
          <w:p>
            <w:pPr>
              <w:spacing w:after="0"/>
              <w:rPr>
                <w:sz w:val="15"/>
                <w:szCs w:val="15"/>
                <w:color w:val="auto"/>
              </w:rPr>
            </w:pPr>
          </w:p>
        </w:tc>
        <w:tc>
          <w:tcPr>
            <w:tcW w:w="2300" w:type="dxa"/>
            <w:vAlign w:val="bottom"/>
            <w:gridSpan w:val="7"/>
          </w:tcPr>
          <w:p>
            <w:pPr>
              <w:ind w:left="14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r>
      <w:tr>
        <w:trPr>
          <w:trHeight w:val="119"/>
        </w:trPr>
        <w:tc>
          <w:tcPr>
            <w:tcW w:w="8280" w:type="dxa"/>
            <w:vAlign w:val="bottom"/>
          </w:tcPr>
          <w:p>
            <w:pPr>
              <w:spacing w:after="0"/>
              <w:rPr>
                <w:sz w:val="10"/>
                <w:szCs w:val="10"/>
                <w:color w:val="auto"/>
              </w:rPr>
            </w:pPr>
          </w:p>
        </w:tc>
        <w:tc>
          <w:tcPr>
            <w:tcW w:w="640" w:type="dxa"/>
            <w:vAlign w:val="bottom"/>
            <w:tcBorders>
              <w:top w:val="single" w:sz="8" w:color="auto"/>
            </w:tcBorders>
          </w:tcPr>
          <w:p>
            <w:pPr>
              <w:jc w:val="right"/>
              <w:ind w:right="95"/>
              <w:spacing w:after="0" w:line="119" w:lineRule="exact"/>
              <w:rPr>
                <w:sz w:val="20"/>
                <w:szCs w:val="20"/>
                <w:color w:val="auto"/>
              </w:rPr>
            </w:pPr>
            <w:r>
              <w:rPr>
                <w:rFonts w:ascii="Times New Roman" w:cs="Times New Roman" w:eastAsia="Times New Roman" w:hAnsi="Times New Roman"/>
                <w:sz w:val="13"/>
                <w:szCs w:val="13"/>
                <w:i w:val="1"/>
                <w:iCs w:val="1"/>
                <w:color w:val="auto"/>
              </w:rPr>
              <w:t>2022</w:t>
            </w: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94"/>
              <w:spacing w:after="0" w:line="119" w:lineRule="exact"/>
              <w:rPr>
                <w:sz w:val="20"/>
                <w:szCs w:val="20"/>
                <w:color w:val="auto"/>
              </w:rPr>
            </w:pPr>
            <w:r>
              <w:rPr>
                <w:rFonts w:ascii="Times New Roman" w:cs="Times New Roman" w:eastAsia="Times New Roman" w:hAnsi="Times New Roman"/>
                <w:sz w:val="13"/>
                <w:szCs w:val="13"/>
                <w:i w:val="1"/>
                <w:iCs w:val="1"/>
                <w:color w:val="auto"/>
              </w:rPr>
              <w:t>2023</w:t>
            </w: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94"/>
              <w:spacing w:after="0" w:line="119" w:lineRule="exact"/>
              <w:rPr>
                <w:sz w:val="20"/>
                <w:szCs w:val="20"/>
                <w:color w:val="auto"/>
              </w:rPr>
            </w:pPr>
            <w:r>
              <w:rPr>
                <w:rFonts w:ascii="Times New Roman" w:cs="Times New Roman" w:eastAsia="Times New Roman" w:hAnsi="Times New Roman"/>
                <w:sz w:val="13"/>
                <w:szCs w:val="13"/>
                <w:i w:val="1"/>
                <w:iCs w:val="1"/>
                <w:color w:val="auto"/>
              </w:rPr>
              <w:t>2024</w:t>
            </w:r>
          </w:p>
        </w:tc>
        <w:tc>
          <w:tcPr>
            <w:tcW w:w="60" w:type="dxa"/>
            <w:vAlign w:val="bottom"/>
          </w:tcPr>
          <w:p>
            <w:pPr>
              <w:spacing w:after="0"/>
              <w:rPr>
                <w:sz w:val="10"/>
                <w:szCs w:val="10"/>
                <w:color w:val="auto"/>
              </w:rPr>
            </w:pPr>
          </w:p>
        </w:tc>
      </w:tr>
      <w:tr>
        <w:trPr>
          <w:trHeight w:val="171"/>
        </w:trPr>
        <w:tc>
          <w:tcPr>
            <w:tcW w:w="8280" w:type="dxa"/>
            <w:vAlign w:val="bottom"/>
          </w:tcPr>
          <w:p>
            <w:pPr>
              <w:spacing w:after="0"/>
              <w:rPr>
                <w:sz w:val="14"/>
                <w:szCs w:val="14"/>
                <w:color w:val="auto"/>
              </w:rPr>
            </w:pPr>
          </w:p>
        </w:tc>
        <w:tc>
          <w:tcPr>
            <w:tcW w:w="8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color w:val="auto"/>
              </w:rPr>
              <w:t>RMB’000</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RMB’000</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RMB’000</w:t>
            </w: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Disaggregated by major products or service lines: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Autonomous driving related operational and technical support services</w:t>
            </w: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32,627</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85,285</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108,523</w:t>
            </w:r>
          </w:p>
        </w:tc>
      </w:tr>
      <w:tr>
        <w:trPr>
          <w:trHeight w:val="230"/>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technology services</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157,199</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262,369</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164,901</w:t>
            </w:r>
          </w:p>
        </w:tc>
      </w:tr>
      <w:tr>
        <w:trPr>
          <w:trHeight w:val="223"/>
        </w:trPr>
        <w:tc>
          <w:tcPr>
            <w:tcW w:w="8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Provision of services</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189,826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347,654</w:t>
            </w:r>
          </w:p>
        </w:tc>
        <w:tc>
          <w:tcPr>
            <w:tcW w:w="1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273,424</w:t>
            </w:r>
          </w:p>
        </w:tc>
        <w:tc>
          <w:tcPr>
            <w:tcW w:w="60" w:type="dxa"/>
            <w:vAlign w:val="bottom"/>
          </w:tcPr>
          <w:p>
            <w:pPr>
              <w:spacing w:after="0"/>
              <w:rPr>
                <w:sz w:val="19"/>
                <w:szCs w:val="19"/>
                <w:color w:val="auto"/>
              </w:rPr>
            </w:pP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autonomous driving vehicles</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337,717</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54,190</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87,710</w:t>
            </w:r>
          </w:p>
        </w:tc>
      </w:tr>
      <w:tr>
        <w:trPr>
          <w:trHeight w:val="223"/>
        </w:trPr>
        <w:tc>
          <w:tcPr>
            <w:tcW w:w="82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527,543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401,844</w:t>
            </w: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361,134</w:t>
            </w:r>
          </w:p>
        </w:tc>
        <w:tc>
          <w:tcPr>
            <w:tcW w:w="6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337,717</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54,190</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87,710</w:t>
            </w: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189,826</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347,654</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273,424</w:t>
            </w:r>
          </w:p>
        </w:tc>
      </w:tr>
      <w:tr>
        <w:trPr>
          <w:trHeight w:val="223"/>
        </w:trPr>
        <w:tc>
          <w:tcPr>
            <w:tcW w:w="82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527,543</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401,844</w:t>
            </w: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361,134</w:t>
            </w:r>
          </w:p>
        </w:tc>
        <w:tc>
          <w:tcPr>
            <w:tcW w:w="6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right="140"/>
        <w:spacing w:after="0" w:line="282" w:lineRule="auto"/>
        <w:rPr>
          <w:sz w:val="20"/>
          <w:szCs w:val="20"/>
          <w:color w:val="auto"/>
        </w:rPr>
      </w:pPr>
      <w:r>
        <w:rPr>
          <w:rFonts w:ascii="Times New Roman" w:cs="Times New Roman" w:eastAsia="Times New Roman" w:hAnsi="Times New Roman"/>
          <w:sz w:val="18"/>
          <w:szCs w:val="18"/>
          <w:color w:val="auto"/>
        </w:rPr>
        <w:t>The major customers, which individually contributed more than 10% of total revenue of the Group for the years ended December 31, 2022, 2023 and 2024, are as follows. Details of concentrations of credit risk of the Group are set out in Note 31(a).</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7500" w:type="dxa"/>
            <w:vAlign w:val="bottom"/>
          </w:tcPr>
          <w:p>
            <w:pPr>
              <w:spacing w:after="0"/>
              <w:rPr>
                <w:sz w:val="15"/>
                <w:szCs w:val="15"/>
                <w:color w:val="auto"/>
              </w:rPr>
            </w:pPr>
          </w:p>
        </w:tc>
        <w:tc>
          <w:tcPr>
            <w:tcW w:w="2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c>
          <w:tcPr>
            <w:tcW w:w="4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7500" w:type="dxa"/>
            <w:vAlign w:val="bottom"/>
          </w:tcPr>
          <w:p>
            <w:pPr>
              <w:spacing w:after="0"/>
              <w:rPr>
                <w:sz w:val="12"/>
                <w:szCs w:val="12"/>
                <w:color w:val="auto"/>
              </w:rPr>
            </w:pPr>
          </w:p>
        </w:tc>
        <w:tc>
          <w:tcPr>
            <w:tcW w:w="920" w:type="dxa"/>
            <w:vAlign w:val="bottom"/>
          </w:tcPr>
          <w:p>
            <w:pPr>
              <w:jc w:val="right"/>
              <w:ind w:right="476"/>
              <w:spacing w:after="0" w:line="142" w:lineRule="exact"/>
              <w:rPr>
                <w:sz w:val="20"/>
                <w:szCs w:val="20"/>
                <w:color w:val="auto"/>
              </w:rPr>
            </w:pPr>
            <w:r>
              <w:rPr>
                <w:rFonts w:ascii="Times New Roman" w:cs="Times New Roman" w:eastAsia="Times New Roman" w:hAnsi="Times New Roman"/>
                <w:sz w:val="14"/>
                <w:szCs w:val="14"/>
                <w:i w:val="1"/>
                <w:iCs w:val="1"/>
                <w:color w:val="auto"/>
              </w:rPr>
              <w:t>2022</w:t>
            </w:r>
          </w:p>
        </w:tc>
        <w:tc>
          <w:tcPr>
            <w:tcW w:w="1540" w:type="dxa"/>
            <w:vAlign w:val="bottom"/>
          </w:tcPr>
          <w:p>
            <w:pPr>
              <w:jc w:val="right"/>
              <w:ind w:right="814"/>
              <w:spacing w:after="0" w:line="142" w:lineRule="exact"/>
              <w:rPr>
                <w:sz w:val="20"/>
                <w:szCs w:val="20"/>
                <w:color w:val="auto"/>
              </w:rPr>
            </w:pPr>
            <w:r>
              <w:rPr>
                <w:rFonts w:ascii="Times New Roman" w:cs="Times New Roman" w:eastAsia="Times New Roman" w:hAnsi="Times New Roman"/>
                <w:sz w:val="14"/>
                <w:szCs w:val="14"/>
                <w:i w:val="1"/>
                <w:iCs w:val="1"/>
                <w:color w:val="auto"/>
              </w:rPr>
              <w:t>2023</w:t>
            </w: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2024</w:t>
            </w:r>
          </w:p>
        </w:tc>
        <w:tc>
          <w:tcPr>
            <w:tcW w:w="220" w:type="dxa"/>
            <w:vAlign w:val="bottom"/>
          </w:tcPr>
          <w:p>
            <w:pPr>
              <w:spacing w:after="0"/>
              <w:rPr>
                <w:sz w:val="12"/>
                <w:szCs w:val="12"/>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9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30%</w:t>
            </w:r>
          </w:p>
        </w:tc>
        <w:tc>
          <w:tcPr>
            <w:tcW w:w="154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8"/>
                <w:szCs w:val="18"/>
                <w:color w:val="auto"/>
              </w:rPr>
              <w:t>55%</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92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12%</w:t>
            </w:r>
          </w:p>
        </w:tc>
        <w:tc>
          <w:tcPr>
            <w:tcW w:w="154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9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18%</w:t>
            </w:r>
          </w:p>
        </w:tc>
        <w:tc>
          <w:tcPr>
            <w:tcW w:w="154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Customer D</w:t>
            </w:r>
          </w:p>
        </w:tc>
        <w:tc>
          <w:tcPr>
            <w:tcW w:w="92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11%</w:t>
            </w:r>
          </w:p>
        </w:tc>
        <w:tc>
          <w:tcPr>
            <w:tcW w:w="154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6" w:lineRule="exact"/>
        <w:rPr>
          <w:sz w:val="20"/>
          <w:szCs w:val="20"/>
          <w:color w:val="auto"/>
        </w:rPr>
      </w:pPr>
    </w:p>
    <w:p>
      <w:pPr>
        <w:jc w:val="center"/>
        <w:ind w:left="5460" w:right="280" w:hanging="4912"/>
        <w:spacing w:after="0" w:line="454" w:lineRule="auto"/>
        <w:tabs>
          <w:tab w:leader="none" w:pos="87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that the amount of aggregated revenue from such customer is individually less than 10% of the total revenue for respective year. F-37</w:t>
      </w:r>
    </w:p>
    <w:p>
      <w:pPr>
        <w:sectPr>
          <w:pgSz w:w="11900" w:h="16838" w:orient="portrait"/>
          <w:cols w:equalWidth="0" w:num="1">
            <w:col w:w="11140"/>
          </w:cols>
          <w:pgMar w:left="320" w:top="482" w:right="4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tabs>
          <w:tab w:leader="none" w:pos="5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expected to be recognized in the future arising from contracts with customers in existence as of the reporting date</w:t>
      </w:r>
    </w:p>
    <w:p>
      <w:pPr>
        <w:spacing w:after="0" w:line="117" w:lineRule="exact"/>
        <w:rPr>
          <w:rFonts w:ascii="Times New Roman" w:cs="Times New Roman" w:eastAsia="Times New Roman" w:hAnsi="Times New Roman"/>
          <w:sz w:val="18"/>
          <w:szCs w:val="18"/>
          <w:color w:val="auto"/>
        </w:rPr>
      </w:pPr>
    </w:p>
    <w:p>
      <w:pPr>
        <w:ind w:left="560" w:right="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2023 and 2024, the aggregated amount of the transaction price allocated to the remaining performance obligations under the Group’s existing contracts were RMB401.5 million, RMB263.8 million and RMB88.3 million, respectively. These amounts represented revenue expected to be recognized in the future from operational services and ADAS research and development services contracts entered into by the customers with the Group. The Group will recognize the expected revenue in future when or as the work is completed, which is expected to occur over the next one to three years.</w:t>
      </w:r>
    </w:p>
    <w:p>
      <w:pPr>
        <w:spacing w:after="0" w:line="75" w:lineRule="exact"/>
        <w:rPr>
          <w:rFonts w:ascii="Times New Roman" w:cs="Times New Roman" w:eastAsia="Times New Roman" w:hAnsi="Times New Roman"/>
          <w:sz w:val="18"/>
          <w:szCs w:val="18"/>
          <w:color w:val="auto"/>
        </w:rPr>
      </w:pPr>
    </w:p>
    <w:p>
      <w:pPr>
        <w:ind w:left="560" w:righ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has applied the practical expedient in paragraph 121(a) of IFRS 15 such that the above information does not include any remaining performance obligations are part of a contract that has an original expected duration of one year or less. The above information also does not include any amount of royalties under an arrangement with a customer as described in Note 2 (x)(ii).</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6</w:t>
            </w:r>
          </w:p>
        </w:tc>
        <w:tc>
          <w:tcPr>
            <w:tcW w:w="43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Other net income</w:t>
            </w:r>
          </w:p>
        </w:tc>
        <w:tc>
          <w:tcPr>
            <w:tcW w:w="3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0"/>
        </w:trPr>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18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2460" w:type="dxa"/>
            <w:vAlign w:val="bottom"/>
            <w:gridSpan w:val="6"/>
          </w:tcPr>
          <w:p>
            <w:pPr>
              <w:ind w:left="22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r>
      <w:tr>
        <w:trPr>
          <w:trHeight w:val="119"/>
        </w:trPr>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580" w:type="dxa"/>
            <w:vAlign w:val="bottom"/>
            <w:tcBorders>
              <w:top w:val="single" w:sz="8" w:color="auto"/>
            </w:tcBorders>
          </w:tcPr>
          <w:p>
            <w:pPr>
              <w:jc w:val="right"/>
              <w:ind w:right="65"/>
              <w:spacing w:after="0" w:line="119" w:lineRule="exact"/>
              <w:rPr>
                <w:sz w:val="20"/>
                <w:szCs w:val="20"/>
                <w:color w:val="auto"/>
              </w:rPr>
            </w:pPr>
            <w:r>
              <w:rPr>
                <w:rFonts w:ascii="Times New Roman" w:cs="Times New Roman" w:eastAsia="Times New Roman" w:hAnsi="Times New Roman"/>
                <w:sz w:val="13"/>
                <w:szCs w:val="13"/>
                <w:i w:val="1"/>
                <w:iCs w:val="1"/>
                <w:color w:val="auto"/>
              </w:rPr>
              <w:t>2022</w:t>
            </w:r>
          </w:p>
        </w:tc>
        <w:tc>
          <w:tcPr>
            <w:tcW w:w="3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77"/>
              <w:spacing w:after="0" w:line="119" w:lineRule="exact"/>
              <w:rPr>
                <w:sz w:val="20"/>
                <w:szCs w:val="20"/>
                <w:color w:val="auto"/>
              </w:rPr>
            </w:pPr>
            <w:r>
              <w:rPr>
                <w:rFonts w:ascii="Times New Roman" w:cs="Times New Roman" w:eastAsia="Times New Roman" w:hAnsi="Times New Roman"/>
                <w:sz w:val="13"/>
                <w:szCs w:val="13"/>
                <w:i w:val="1"/>
                <w:iCs w:val="1"/>
                <w:color w:val="auto"/>
              </w:rPr>
              <w:t>2023</w:t>
            </w:r>
          </w:p>
        </w:tc>
        <w:tc>
          <w:tcPr>
            <w:tcW w:w="3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77"/>
              <w:spacing w:after="0" w:line="119" w:lineRule="exact"/>
              <w:rPr>
                <w:sz w:val="20"/>
                <w:szCs w:val="20"/>
                <w:color w:val="auto"/>
              </w:rPr>
            </w:pPr>
            <w:r>
              <w:rPr>
                <w:rFonts w:ascii="Times New Roman" w:cs="Times New Roman" w:eastAsia="Times New Roman" w:hAnsi="Times New Roman"/>
                <w:sz w:val="13"/>
                <w:szCs w:val="13"/>
                <w:i w:val="1"/>
                <w:iCs w:val="1"/>
                <w:color w:val="auto"/>
              </w:rPr>
              <w:t>2024</w:t>
            </w:r>
          </w:p>
        </w:tc>
        <w:tc>
          <w:tcPr>
            <w:tcW w:w="60" w:type="dxa"/>
            <w:vAlign w:val="bottom"/>
          </w:tcPr>
          <w:p>
            <w:pPr>
              <w:spacing w:after="0"/>
              <w:rPr>
                <w:sz w:val="10"/>
                <w:szCs w:val="10"/>
                <w:color w:val="auto"/>
              </w:rPr>
            </w:pPr>
          </w:p>
        </w:tc>
      </w:tr>
      <w:tr>
        <w:trPr>
          <w:trHeight w:val="171"/>
        </w:trPr>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w w:val="98"/>
              </w:rPr>
              <w:t>RMB’000</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w w:val="98"/>
              </w:rPr>
              <w:t>RMB’000</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RMB’000</w:t>
            </w: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grants</w:t>
            </w:r>
          </w:p>
        </w:tc>
        <w:tc>
          <w:tcPr>
            <w:tcW w:w="48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19,658</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14,399</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14,132</w:t>
            </w: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(loss)/gain on disposal of non-current assets</w:t>
            </w:r>
          </w:p>
        </w:tc>
        <w:tc>
          <w:tcPr>
            <w:tcW w:w="48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(950)</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(1,087)</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1,013</w:t>
            </w: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48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588</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2,438</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1,346</w:t>
            </w:r>
          </w:p>
        </w:tc>
      </w:tr>
      <w:tr>
        <w:trPr>
          <w:trHeight w:val="223"/>
        </w:trPr>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19,296</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15,750</w:t>
            </w:r>
          </w:p>
        </w:tc>
        <w:tc>
          <w:tcPr>
            <w:tcW w:w="3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16,491</w:t>
            </w:r>
          </w:p>
        </w:tc>
        <w:tc>
          <w:tcPr>
            <w:tcW w:w="60" w:type="dxa"/>
            <w:vAlign w:val="bottom"/>
          </w:tcPr>
          <w:p>
            <w:pPr>
              <w:spacing w:after="0"/>
              <w:rPr>
                <w:sz w:val="19"/>
                <w:szCs w:val="19"/>
                <w:color w:val="auto"/>
              </w:rPr>
            </w:pPr>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840" w:type="dxa"/>
            <w:vAlign w:val="bottom"/>
            <w:gridSpan w:val="3"/>
          </w:tcPr>
          <w:p>
            <w:pPr>
              <w:jc w:val="right"/>
              <w:ind w:right="3780"/>
              <w:spacing w:after="0"/>
              <w:rPr>
                <w:sz w:val="20"/>
                <w:szCs w:val="20"/>
                <w:color w:val="auto"/>
              </w:rPr>
            </w:pPr>
            <w:r>
              <w:rPr>
                <w:rFonts w:ascii="Times New Roman" w:cs="Times New Roman" w:eastAsia="Times New Roman" w:hAnsi="Times New Roman"/>
                <w:sz w:val="18"/>
                <w:szCs w:val="18"/>
                <w:color w:val="auto"/>
              </w:rPr>
              <w:t>F-38</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7</w:t>
            </w:r>
          </w:p>
        </w:tc>
        <w:tc>
          <w:tcPr>
            <w:tcW w:w="79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Expenses by nature</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11"/>
          </w:tcPr>
          <w:p>
            <w:pPr>
              <w:ind w:left="14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c>
          <w:tcPr>
            <w:tcW w:w="0" w:type="dxa"/>
            <w:vAlign w:val="bottom"/>
          </w:tcPr>
          <w:p>
            <w:pPr>
              <w:spacing w:after="0"/>
              <w:rPr>
                <w:sz w:val="1"/>
                <w:szCs w:val="1"/>
                <w:color w:val="auto"/>
              </w:rPr>
            </w:pPr>
          </w:p>
        </w:tc>
      </w:tr>
      <w:tr>
        <w:trPr>
          <w:trHeight w:val="119"/>
        </w:trPr>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0" w:type="dxa"/>
            <w:vAlign w:val="bottom"/>
          </w:tcPr>
          <w:p>
            <w:pPr>
              <w:spacing w:after="0"/>
              <w:rPr>
                <w:sz w:val="10"/>
                <w:szCs w:val="10"/>
                <w:color w:val="auto"/>
              </w:rPr>
            </w:pPr>
          </w:p>
        </w:tc>
        <w:tc>
          <w:tcPr>
            <w:tcW w:w="800" w:type="dxa"/>
            <w:vAlign w:val="bottom"/>
            <w:tcBorders>
              <w:top w:val="single" w:sz="8" w:color="auto"/>
            </w:tcBorders>
            <w:gridSpan w:val="2"/>
          </w:tcPr>
          <w:p>
            <w:pPr>
              <w:jc w:val="right"/>
              <w:ind w:right="183"/>
              <w:spacing w:after="0" w:line="119" w:lineRule="exact"/>
              <w:rPr>
                <w:sz w:val="20"/>
                <w:szCs w:val="20"/>
                <w:color w:val="auto"/>
              </w:rPr>
            </w:pPr>
            <w:r>
              <w:rPr>
                <w:rFonts w:ascii="Times New Roman" w:cs="Times New Roman" w:eastAsia="Times New Roman" w:hAnsi="Times New Roman"/>
                <w:sz w:val="13"/>
                <w:szCs w:val="13"/>
                <w:i w:val="1"/>
                <w:iCs w:val="1"/>
                <w:color w:val="auto"/>
              </w:rPr>
              <w:t>2022</w:t>
            </w: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right"/>
              <w:ind w:right="156"/>
              <w:spacing w:after="0" w:line="119" w:lineRule="exact"/>
              <w:rPr>
                <w:sz w:val="20"/>
                <w:szCs w:val="20"/>
                <w:color w:val="auto"/>
              </w:rPr>
            </w:pPr>
            <w:r>
              <w:rPr>
                <w:rFonts w:ascii="Times New Roman" w:cs="Times New Roman" w:eastAsia="Times New Roman" w:hAnsi="Times New Roman"/>
                <w:sz w:val="13"/>
                <w:szCs w:val="13"/>
                <w:i w:val="1"/>
                <w:iCs w:val="1"/>
                <w:color w:val="auto"/>
              </w:rPr>
              <w:t>2023</w:t>
            </w: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right"/>
              <w:ind w:right="179"/>
              <w:spacing w:after="0" w:line="119" w:lineRule="exact"/>
              <w:rPr>
                <w:sz w:val="20"/>
                <w:szCs w:val="20"/>
                <w:color w:val="auto"/>
              </w:rPr>
            </w:pPr>
            <w:r>
              <w:rPr>
                <w:rFonts w:ascii="Times New Roman" w:cs="Times New Roman" w:eastAsia="Times New Roman" w:hAnsi="Times New Roman"/>
                <w:sz w:val="13"/>
                <w:szCs w:val="13"/>
                <w:i w:val="1"/>
                <w:iCs w:val="1"/>
                <w:color w:val="auto"/>
              </w:rPr>
              <w:t>2024</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94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color w:val="auto"/>
              </w:rPr>
              <w:t>RMB’000</w:t>
            </w:r>
          </w:p>
        </w:tc>
        <w:tc>
          <w:tcPr>
            <w:tcW w:w="9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color w:val="auto"/>
              </w:rPr>
              <w:t>RMB’000</w:t>
            </w:r>
          </w:p>
        </w:tc>
        <w:tc>
          <w:tcPr>
            <w:tcW w:w="8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employee benefits (Note 7(i))</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802,355</w:t>
            </w: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1,497,459</w:t>
            </w: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1,953,723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(Note 16(b))</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192,523</w:t>
            </w:r>
          </w:p>
        </w:tc>
        <w:tc>
          <w:tcPr>
            <w:tcW w:w="12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34,138</w:t>
            </w:r>
          </w:p>
        </w:tc>
        <w:tc>
          <w:tcPr>
            <w:tcW w:w="12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71,716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(Note 7(ii))</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86,552</w:t>
            </w: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89,610</w:t>
            </w: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101,131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 fee</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63,811</w:t>
            </w:r>
          </w:p>
        </w:tc>
        <w:tc>
          <w:tcPr>
            <w:tcW w:w="12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46,918</w:t>
            </w:r>
          </w:p>
        </w:tc>
        <w:tc>
          <w:tcPr>
            <w:tcW w:w="12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107,178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fee from a related party (Note 34)</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30,274</w:t>
            </w: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111,532</w:t>
            </w: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Outsourcing service fee</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27,834</w:t>
            </w:r>
          </w:p>
        </w:tc>
        <w:tc>
          <w:tcPr>
            <w:tcW w:w="12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43,239</w:t>
            </w:r>
          </w:p>
        </w:tc>
        <w:tc>
          <w:tcPr>
            <w:tcW w:w="12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67,438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Utilities and property management fee</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38,210</w:t>
            </w: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31,978</w:t>
            </w: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35,698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72,814</w:t>
            </w:r>
          </w:p>
        </w:tc>
        <w:tc>
          <w:tcPr>
            <w:tcW w:w="120" w:type="dxa"/>
            <w:vAlign w:val="bottom"/>
          </w:tcPr>
          <w:p>
            <w:pPr>
              <w:spacing w:after="0"/>
              <w:rPr>
                <w:sz w:val="19"/>
                <w:szCs w:val="19"/>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88,705</w:t>
            </w:r>
          </w:p>
        </w:tc>
        <w:tc>
          <w:tcPr>
            <w:tcW w:w="12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107,205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cost of revenue, research and development expenses, administrative expenses and selling</w:t>
            </w:r>
          </w:p>
        </w:tc>
        <w:tc>
          <w:tcPr>
            <w:tcW w:w="2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1,314,373</w:t>
            </w:r>
          </w:p>
        </w:tc>
        <w:tc>
          <w:tcPr>
            <w:tcW w:w="12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1,943,579</w:t>
            </w:r>
          </w:p>
        </w:tc>
        <w:tc>
          <w:tcPr>
            <w:tcW w:w="12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2,534,144</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9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Notes: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79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 Payroll and employee benefits:</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Salaries, allowances, bonus and benefits in kind</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460,221</w:t>
            </w:r>
          </w:p>
        </w:tc>
        <w:tc>
          <w:tcPr>
            <w:tcW w:w="12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544,968</w:t>
            </w:r>
          </w:p>
        </w:tc>
        <w:tc>
          <w:tcPr>
            <w:tcW w:w="12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728,373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Contributions to defined contribution retirement plan</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16,705</w:t>
            </w: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20,707</w:t>
            </w: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37,483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expenses (Note 30)</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325,429</w:t>
            </w:r>
          </w:p>
        </w:tc>
        <w:tc>
          <w:tcPr>
            <w:tcW w:w="12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931,784</w:t>
            </w:r>
          </w:p>
        </w:tc>
        <w:tc>
          <w:tcPr>
            <w:tcW w:w="12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1,187,867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802,355</w:t>
            </w: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1,497,459</w:t>
            </w: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1,953,723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9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(ii) Depreciation and amortization: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79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(Note 11)</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50,519</w:t>
            </w: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49,090</w:t>
            </w: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58,312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Right-of-use assets (Note 12)</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31,748</w:t>
            </w:r>
          </w:p>
        </w:tc>
        <w:tc>
          <w:tcPr>
            <w:tcW w:w="12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36,205</w:t>
            </w:r>
          </w:p>
        </w:tc>
        <w:tc>
          <w:tcPr>
            <w:tcW w:w="12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38,484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 (Note 13)</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4,285</w:t>
            </w: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4,315</w:t>
            </w: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86,552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89,610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101,131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8</w:t>
            </w:r>
          </w:p>
        </w:tc>
        <w:tc>
          <w:tcPr>
            <w:tcW w:w="7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Other finance costs</w:t>
            </w: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60" w:type="dxa"/>
            <w:vAlign w:val="bottom"/>
            <w:vMerge w:val="continue"/>
          </w:tcPr>
          <w:p>
            <w:pPr>
              <w:spacing w:after="0"/>
              <w:rPr>
                <w:sz w:val="24"/>
                <w:szCs w:val="24"/>
                <w:color w:val="auto"/>
              </w:rPr>
            </w:pPr>
          </w:p>
        </w:tc>
        <w:tc>
          <w:tcPr>
            <w:tcW w:w="79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11"/>
          </w:tcPr>
          <w:p>
            <w:pPr>
              <w:ind w:left="26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c>
          <w:tcPr>
            <w:tcW w:w="0" w:type="dxa"/>
            <w:vAlign w:val="bottom"/>
          </w:tcPr>
          <w:p>
            <w:pPr>
              <w:spacing w:after="0"/>
              <w:rPr>
                <w:sz w:val="1"/>
                <w:szCs w:val="1"/>
                <w:color w:val="auto"/>
              </w:rPr>
            </w:pPr>
          </w:p>
        </w:tc>
      </w:tr>
      <w:tr>
        <w:trPr>
          <w:trHeight w:val="119"/>
        </w:trPr>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Borders>
              <w:top w:val="single" w:sz="8" w:color="auto"/>
            </w:tcBorders>
          </w:tcPr>
          <w:p>
            <w:pPr>
              <w:ind w:left="140"/>
              <w:spacing w:after="0" w:line="119" w:lineRule="exact"/>
              <w:rPr>
                <w:sz w:val="20"/>
                <w:szCs w:val="20"/>
                <w:color w:val="auto"/>
              </w:rPr>
            </w:pPr>
            <w:r>
              <w:rPr>
                <w:rFonts w:ascii="Times New Roman" w:cs="Times New Roman" w:eastAsia="Times New Roman" w:hAnsi="Times New Roman"/>
                <w:sz w:val="13"/>
                <w:szCs w:val="13"/>
                <w:i w:val="1"/>
                <w:iCs w:val="1"/>
                <w:color w:val="auto"/>
              </w:rPr>
              <w:t>2022</w:t>
            </w: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right"/>
              <w:ind w:right="36"/>
              <w:spacing w:after="0" w:line="119" w:lineRule="exact"/>
              <w:rPr>
                <w:sz w:val="20"/>
                <w:szCs w:val="20"/>
                <w:color w:val="auto"/>
              </w:rPr>
            </w:pPr>
            <w:r>
              <w:rPr>
                <w:rFonts w:ascii="Times New Roman" w:cs="Times New Roman" w:eastAsia="Times New Roman" w:hAnsi="Times New Roman"/>
                <w:sz w:val="13"/>
                <w:szCs w:val="13"/>
                <w:i w:val="1"/>
                <w:iCs w:val="1"/>
                <w:color w:val="auto"/>
              </w:rPr>
              <w:t>2023</w:t>
            </w: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right"/>
              <w:ind w:right="59"/>
              <w:spacing w:after="0" w:line="119" w:lineRule="exact"/>
              <w:rPr>
                <w:sz w:val="20"/>
                <w:szCs w:val="20"/>
                <w:color w:val="auto"/>
              </w:rPr>
            </w:pPr>
            <w:r>
              <w:rPr>
                <w:rFonts w:ascii="Times New Roman" w:cs="Times New Roman" w:eastAsia="Times New Roman" w:hAnsi="Times New Roman"/>
                <w:sz w:val="13"/>
                <w:szCs w:val="13"/>
                <w:i w:val="1"/>
                <w:iCs w:val="1"/>
                <w:color w:val="auto"/>
              </w:rPr>
              <w:t>2024</w:t>
            </w:r>
          </w:p>
        </w:tc>
        <w:tc>
          <w:tcPr>
            <w:tcW w:w="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w w:val="98"/>
              </w:rPr>
              <w:t>RMB’000</w:t>
            </w:r>
          </w:p>
        </w:tc>
        <w:tc>
          <w:tcPr>
            <w:tcW w:w="240" w:type="dxa"/>
            <w:vAlign w:val="bottom"/>
          </w:tcPr>
          <w:p>
            <w:pPr>
              <w:spacing w:after="0"/>
              <w:rPr>
                <w:sz w:val="14"/>
                <w:szCs w:val="14"/>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w w:val="98"/>
              </w:rPr>
              <w:t>RMB’000</w:t>
            </w:r>
          </w:p>
        </w:tc>
        <w:tc>
          <w:tcPr>
            <w:tcW w:w="220" w:type="dxa"/>
            <w:vAlign w:val="bottom"/>
          </w:tcPr>
          <w:p>
            <w:pPr>
              <w:spacing w:after="0"/>
              <w:rPr>
                <w:sz w:val="14"/>
                <w:szCs w:val="14"/>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bank loans (Note 21(c))</w:t>
            </w:r>
          </w:p>
        </w:tc>
        <w:tc>
          <w:tcPr>
            <w:tcW w:w="2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Interest on lease liabilities (Note 21(c))</w:t>
            </w:r>
          </w:p>
        </w:tc>
        <w:tc>
          <w:tcPr>
            <w:tcW w:w="9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3,574</w:t>
            </w:r>
          </w:p>
        </w:tc>
        <w:tc>
          <w:tcPr>
            <w:tcW w:w="9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2,853</w:t>
            </w: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2,276</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the carrying amount of put option liabilities (Note 21(c))</w:t>
            </w:r>
          </w:p>
        </w:tc>
        <w:tc>
          <w:tcPr>
            <w:tcW w:w="9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628</w:t>
            </w:r>
          </w:p>
        </w:tc>
        <w:tc>
          <w:tcPr>
            <w:tcW w:w="9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637</w:t>
            </w: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4,202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3,490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3,451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0" w:type="dxa"/>
            <w:vAlign w:val="bottom"/>
            <w:vMerge w:val="restart"/>
          </w:tcPr>
          <w:p>
            <w:pPr>
              <w:ind w:left="4900"/>
              <w:spacing w:after="0"/>
              <w:rPr>
                <w:sz w:val="20"/>
                <w:szCs w:val="20"/>
                <w:color w:val="auto"/>
              </w:rPr>
            </w:pPr>
            <w:r>
              <w:rPr>
                <w:rFonts w:ascii="Times New Roman" w:cs="Times New Roman" w:eastAsia="Times New Roman" w:hAnsi="Times New Roman"/>
                <w:sz w:val="18"/>
                <w:szCs w:val="18"/>
                <w:color w:val="auto"/>
              </w:rPr>
              <w:t>F-39</w:t>
            </w: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w:t>
      </w:r>
    </w:p>
    <w:p>
      <w:pPr>
        <w:spacing w:after="0" w:line="131" w:lineRule="exact"/>
        <w:rPr>
          <w:sz w:val="20"/>
          <w:szCs w:val="20"/>
          <w:color w:val="auto"/>
        </w:rPr>
      </w:pPr>
    </w:p>
    <w:p>
      <w:pPr>
        <w:ind w:left="540" w:hanging="424"/>
        <w:spacing w:after="0"/>
        <w:tabs>
          <w:tab w:leader="none" w:pos="540" w:val="left"/>
        </w:tabs>
        <w:numPr>
          <w:ilvl w:val="0"/>
          <w:numId w:val="17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Taxation in the consolidated statements of profit or loss represents:</w:t>
      </w:r>
    </w:p>
    <w:p>
      <w:pPr>
        <w:spacing w:after="0" w:line="121" w:lineRule="exact"/>
        <w:rPr>
          <w:rFonts w:ascii="Times New Roman" w:cs="Times New Roman" w:eastAsia="Times New Roman" w:hAnsi="Times New Roman"/>
          <w:sz w:val="18"/>
          <w:szCs w:val="18"/>
          <w:b w:val="1"/>
          <w:bCs w:val="1"/>
          <w:i w:val="1"/>
          <w:iCs w:val="1"/>
          <w:color w:val="auto"/>
        </w:rPr>
      </w:pPr>
    </w:p>
    <w:p>
      <w:pPr>
        <w:ind w:left="560" w:right="18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Group had no current income tax expense for the year ended December 31, 2022, as the entities in the Group had no taxable income in the year. The Group provided the current income tax expense of RMB2.9 million and RMB5.9 million for the years ended December 31, 2023 and 2024, respectively, which represented a withholding tax levied at 10% on interest income earned by the Company in the Cayman Islands and the Group’s subsidiary in Hong Kong which is a non-PRC resident according to the relevant rules and regulations of the Chinese Mainland in 2023 and 2024, and a withholding tax levied at 30% on interest income earned by the Company in the U.S. which is a non-U.S. resident according to the relevant rules and regulations of the U.S in 2024.</w:t>
      </w:r>
    </w:p>
    <w:p>
      <w:pPr>
        <w:spacing w:after="0" w:line="79" w:lineRule="exact"/>
        <w:rPr>
          <w:rFonts w:ascii="Times New Roman" w:cs="Times New Roman" w:eastAsia="Times New Roman" w:hAnsi="Times New Roman"/>
          <w:sz w:val="18"/>
          <w:szCs w:val="18"/>
          <w:b w:val="1"/>
          <w:bCs w:val="1"/>
          <w:i w:val="1"/>
          <w:iCs w:val="1"/>
          <w:color w:val="auto"/>
        </w:rPr>
      </w:pPr>
    </w:p>
    <w:p>
      <w:pPr>
        <w:ind w:left="5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Reconciliation between tax expense and accounting loss at applicable tax rates: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520" w:type="dxa"/>
            <w:vAlign w:val="bottom"/>
          </w:tcPr>
          <w:p>
            <w:pPr>
              <w:spacing w:after="0"/>
              <w:rPr>
                <w:sz w:val="15"/>
                <w:szCs w:val="15"/>
                <w:color w:val="auto"/>
              </w:rPr>
            </w:pPr>
          </w:p>
        </w:tc>
        <w:tc>
          <w:tcPr>
            <w:tcW w:w="304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r>
      <w:tr>
        <w:trPr>
          <w:trHeight w:val="119"/>
        </w:trPr>
        <w:tc>
          <w:tcPr>
            <w:tcW w:w="20" w:type="dxa"/>
            <w:vAlign w:val="bottom"/>
          </w:tcPr>
          <w:p>
            <w:pPr>
              <w:spacing w:after="0"/>
              <w:rPr>
                <w:sz w:val="10"/>
                <w:szCs w:val="10"/>
                <w:color w:val="auto"/>
              </w:rPr>
            </w:pPr>
          </w:p>
        </w:tc>
        <w:tc>
          <w:tcPr>
            <w:tcW w:w="7520" w:type="dxa"/>
            <w:vAlign w:val="bottom"/>
          </w:tcPr>
          <w:p>
            <w:pPr>
              <w:spacing w:after="0"/>
              <w:rPr>
                <w:sz w:val="10"/>
                <w:szCs w:val="10"/>
                <w:color w:val="auto"/>
              </w:rPr>
            </w:pPr>
          </w:p>
        </w:tc>
        <w:tc>
          <w:tcPr>
            <w:tcW w:w="840" w:type="dxa"/>
            <w:vAlign w:val="bottom"/>
            <w:tcBorders>
              <w:top w:val="single" w:sz="8" w:color="auto"/>
            </w:tcBorders>
          </w:tcPr>
          <w:p>
            <w:pPr>
              <w:jc w:val="right"/>
              <w:ind w:right="175"/>
              <w:spacing w:after="0" w:line="119" w:lineRule="exact"/>
              <w:rPr>
                <w:sz w:val="20"/>
                <w:szCs w:val="20"/>
                <w:color w:val="auto"/>
              </w:rPr>
            </w:pPr>
            <w:r>
              <w:rPr>
                <w:rFonts w:ascii="Times New Roman" w:cs="Times New Roman" w:eastAsia="Times New Roman" w:hAnsi="Times New Roman"/>
                <w:sz w:val="13"/>
                <w:szCs w:val="13"/>
                <w:i w:val="1"/>
                <w:iCs w:val="1"/>
                <w:color w:val="auto"/>
              </w:rPr>
              <w:t>2022</w:t>
            </w:r>
          </w:p>
        </w:tc>
        <w:tc>
          <w:tcPr>
            <w:tcW w:w="2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194"/>
              <w:spacing w:after="0" w:line="119" w:lineRule="exact"/>
              <w:rPr>
                <w:sz w:val="20"/>
                <w:szCs w:val="20"/>
                <w:color w:val="auto"/>
              </w:rPr>
            </w:pPr>
            <w:r>
              <w:rPr>
                <w:rFonts w:ascii="Times New Roman" w:cs="Times New Roman" w:eastAsia="Times New Roman" w:hAnsi="Times New Roman"/>
                <w:sz w:val="13"/>
                <w:szCs w:val="13"/>
                <w:i w:val="1"/>
                <w:iCs w:val="1"/>
                <w:color w:val="auto"/>
              </w:rPr>
              <w:t>2023</w:t>
            </w:r>
          </w:p>
        </w:tc>
        <w:tc>
          <w:tcPr>
            <w:tcW w:w="2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194"/>
              <w:spacing w:after="0" w:line="119" w:lineRule="exact"/>
              <w:rPr>
                <w:sz w:val="20"/>
                <w:szCs w:val="20"/>
                <w:color w:val="auto"/>
              </w:rPr>
            </w:pPr>
            <w:r>
              <w:rPr>
                <w:rFonts w:ascii="Times New Roman" w:cs="Times New Roman" w:eastAsia="Times New Roman" w:hAnsi="Times New Roman"/>
                <w:sz w:val="13"/>
                <w:szCs w:val="13"/>
                <w:i w:val="1"/>
                <w:iCs w:val="1"/>
                <w:color w:val="auto"/>
              </w:rPr>
              <w:t>2024</w:t>
            </w:r>
          </w:p>
        </w:tc>
        <w:tc>
          <w:tcPr>
            <w:tcW w:w="1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RMB’000</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RMB’000</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RMB’000</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taxation</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(1,298,496)</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(1,946,235)</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(2,510,940)</w:t>
            </w:r>
          </w:p>
        </w:tc>
      </w:tr>
      <w:tr>
        <w:trPr>
          <w:trHeight w:val="198"/>
        </w:trPr>
        <w:tc>
          <w:tcPr>
            <w:tcW w:w="20" w:type="dxa"/>
            <w:vAlign w:val="bottom"/>
          </w:tcPr>
          <w:p>
            <w:pPr>
              <w:spacing w:after="0"/>
              <w:rPr>
                <w:sz w:val="17"/>
                <w:szCs w:val="17"/>
                <w:color w:val="auto"/>
              </w:rPr>
            </w:pPr>
          </w:p>
        </w:tc>
        <w:tc>
          <w:tcPr>
            <w:tcW w:w="7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Notional tax benefit on loss before taxation, calculated at the rates applicable to losses in the</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jurisdictions concerned</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(102,152)</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(292,888)</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(438,268)</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non-deductible share-based compensation expenses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61,106</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205,417</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230,195</w:t>
            </w: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 additional deduction on research and development expenses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(50,066)</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(76,498)</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(111,813)</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preferential income tax rate applicable to subsidiaries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19,396</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47,479</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73,651</w:t>
            </w: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 non-taxable interest income</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(1,479)</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(14,467)</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(19,894)</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withholding tax on interest income (Note (iii)(iv))</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2,826</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5,868</w:t>
            </w: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 unused tax losses and deductible temporary differences not recognized</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73,195</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130,997</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266,129</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2,866</w:t>
            </w:r>
          </w:p>
        </w:tc>
        <w:tc>
          <w:tcPr>
            <w:tcW w:w="20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5,868</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Notes:</w:t>
      </w:r>
    </w:p>
    <w:p>
      <w:pPr>
        <w:spacing w:after="0" w:line="131" w:lineRule="exact"/>
        <w:rPr>
          <w:sz w:val="20"/>
          <w:szCs w:val="20"/>
          <w:color w:val="auto"/>
        </w:rPr>
      </w:pPr>
    </w:p>
    <w:p>
      <w:pPr>
        <w:ind w:left="1080" w:hanging="532"/>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Islands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current laws of the Cayman Islands, the Company is not subject to tax on income or capital gain.</w:t>
      </w:r>
    </w:p>
    <w:p>
      <w:pPr>
        <w:spacing w:after="0" w:line="374" w:lineRule="exact"/>
        <w:rPr>
          <w:sz w:val="20"/>
          <w:szCs w:val="20"/>
          <w:color w:val="auto"/>
        </w:rPr>
      </w:pPr>
    </w:p>
    <w:p>
      <w:pPr>
        <w:ind w:left="1080" w:hanging="532"/>
        <w:spacing w:after="0"/>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w:t>
      </w:r>
    </w:p>
    <w:p>
      <w:pPr>
        <w:spacing w:after="0" w:line="117" w:lineRule="exact"/>
        <w:rPr>
          <w:sz w:val="20"/>
          <w:szCs w:val="20"/>
          <w:color w:val="auto"/>
        </w:rPr>
      </w:pPr>
    </w:p>
    <w:p>
      <w:pPr>
        <w:ind w:left="560" w:right="40"/>
        <w:spacing w:after="0" w:line="256" w:lineRule="auto"/>
        <w:rPr>
          <w:sz w:val="20"/>
          <w:szCs w:val="20"/>
          <w:color w:val="auto"/>
        </w:rPr>
      </w:pPr>
      <w:r>
        <w:rPr>
          <w:rFonts w:ascii="Times New Roman" w:cs="Times New Roman" w:eastAsia="Times New Roman" w:hAnsi="Times New Roman"/>
          <w:sz w:val="18"/>
          <w:szCs w:val="18"/>
          <w:color w:val="auto"/>
        </w:rPr>
        <w:t>Under the current Hong Kong Inland Revenue Ordinance, the Group’s subsidiary in Hong Kong is subject to Hong Kong Profits Tax at the rate of 16.5% of the estimated assessable profit generated from the operations in Hong Kong. A two-tiered profits tax rates regime was introduced in 2018 where the first Hong Kong Dollar (“HKD”) 2.0 million of assessable profits earned by a company will be taxed at half of the current tax rate (8.25%) whilst the remaining profits will continue to be taxed at 16.5%. No provision for Hong Kong Profits Tax has been made, as the subsidiary of the Group incorporated in Hong Kong did not have assessable profits which are subject to Hong Kong Profits Tax during the years ended December 31, 2022, 2023 and 2024.</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140"/>
          </w:cols>
          <w:pgMar w:left="320" w:top="482" w:right="4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w:t>
      </w:r>
    </w:p>
    <w:p>
      <w:pPr>
        <w:spacing w:after="0" w:line="117" w:lineRule="exact"/>
        <w:rPr>
          <w:sz w:val="20"/>
          <w:szCs w:val="20"/>
          <w:color w:val="auto"/>
        </w:rPr>
      </w:pPr>
    </w:p>
    <w:p>
      <w:pPr>
        <w:ind w:left="560" w:right="60"/>
        <w:spacing w:after="0" w:line="282" w:lineRule="auto"/>
        <w:rPr>
          <w:sz w:val="20"/>
          <w:szCs w:val="20"/>
          <w:color w:val="auto"/>
        </w:rPr>
      </w:pPr>
      <w:r>
        <w:rPr>
          <w:rFonts w:ascii="Times New Roman" w:cs="Times New Roman" w:eastAsia="Times New Roman" w:hAnsi="Times New Roman"/>
          <w:sz w:val="18"/>
          <w:szCs w:val="18"/>
          <w:color w:val="auto"/>
        </w:rPr>
        <w:t>Under the United States Internal Revenue Code, the subsidiary of the Group established in the U.S. is subject to a unified Federal CIT rate of 21% and state income and franchise tax of 8.84%.</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income derived by the Company in the Cayman Islands from the U.S. is subject to 30% U.S. federal withholding tax.</w:t>
      </w:r>
    </w:p>
    <w:p>
      <w:pPr>
        <w:spacing w:after="0" w:line="374" w:lineRule="exact"/>
        <w:rPr>
          <w:sz w:val="20"/>
          <w:szCs w:val="20"/>
          <w:color w:val="auto"/>
        </w:rPr>
      </w:pPr>
    </w:p>
    <w:p>
      <w:pPr>
        <w:ind w:left="1080" w:hanging="532"/>
        <w:spacing w:after="0"/>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w:t>
      </w:r>
    </w:p>
    <w:p>
      <w:pPr>
        <w:spacing w:after="0" w:line="117" w:lineRule="exact"/>
        <w:rPr>
          <w:sz w:val="20"/>
          <w:szCs w:val="20"/>
          <w:color w:val="auto"/>
        </w:rPr>
      </w:pPr>
    </w:p>
    <w:p>
      <w:pPr>
        <w:ind w:left="560" w:right="420"/>
        <w:spacing w:after="0" w:line="282" w:lineRule="auto"/>
        <w:rPr>
          <w:sz w:val="20"/>
          <w:szCs w:val="20"/>
          <w:color w:val="auto"/>
        </w:rPr>
      </w:pPr>
      <w:r>
        <w:rPr>
          <w:rFonts w:ascii="Times New Roman" w:cs="Times New Roman" w:eastAsia="Times New Roman" w:hAnsi="Times New Roman"/>
          <w:sz w:val="18"/>
          <w:szCs w:val="18"/>
          <w:color w:val="auto"/>
        </w:rPr>
        <w:t>Under the PRC Corporate Income Tax (“CIT”) Law, the subsidiaries of the Group established in the PRC and the former VIE are subject to a unified statutory CIT rate of 25%, unless otherwise specified.</w:t>
      </w:r>
    </w:p>
    <w:p>
      <w:pPr>
        <w:spacing w:after="0" w:line="54" w:lineRule="exact"/>
        <w:rPr>
          <w:sz w:val="20"/>
          <w:szCs w:val="20"/>
          <w:color w:val="auto"/>
        </w:rPr>
      </w:pPr>
    </w:p>
    <w:p>
      <w:pPr>
        <w:ind w:left="560" w:right="240"/>
        <w:spacing w:after="0" w:line="266" w:lineRule="auto"/>
        <w:rPr>
          <w:sz w:val="20"/>
          <w:szCs w:val="20"/>
          <w:color w:val="auto"/>
        </w:rPr>
      </w:pPr>
      <w:r>
        <w:rPr>
          <w:rFonts w:ascii="Times New Roman" w:cs="Times New Roman" w:eastAsia="Times New Roman" w:hAnsi="Times New Roman"/>
          <w:sz w:val="18"/>
          <w:szCs w:val="18"/>
          <w:color w:val="auto"/>
        </w:rPr>
        <w:t>Guangzhou Wenyuan has obtained approval from the tax bureau to be taxed as an enterprise with advanced and new technologies for the period from the calendar years from 2022 to 2024 and therefore enjoyed a preferential PRC CIT rate of 15% for the years ended 31 December 2022, 2023 and 2024.</w:t>
      </w:r>
    </w:p>
    <w:p>
      <w:pPr>
        <w:spacing w:after="0" w:line="68" w:lineRule="exact"/>
        <w:rPr>
          <w:sz w:val="20"/>
          <w:szCs w:val="20"/>
          <w:color w:val="auto"/>
        </w:rPr>
      </w:pPr>
    </w:p>
    <w:p>
      <w:pPr>
        <w:ind w:left="560" w:right="120"/>
        <w:spacing w:after="0" w:line="282" w:lineRule="auto"/>
        <w:rPr>
          <w:sz w:val="20"/>
          <w:szCs w:val="20"/>
          <w:color w:val="auto"/>
        </w:rPr>
      </w:pPr>
      <w:r>
        <w:rPr>
          <w:rFonts w:ascii="Times New Roman" w:cs="Times New Roman" w:eastAsia="Times New Roman" w:hAnsi="Times New Roman"/>
          <w:sz w:val="18"/>
          <w:szCs w:val="18"/>
          <w:color w:val="auto"/>
        </w:rPr>
        <w:t>Interest income derived by the Company in the Cayman Islands and the Group’s subsidiary in Hong Kong from the Chinese Mainland are subject to CIT on a withholding basis at rate of 10%.</w:t>
      </w:r>
    </w:p>
    <w:p>
      <w:pPr>
        <w:spacing w:after="0" w:line="54" w:lineRule="exact"/>
        <w:rPr>
          <w:sz w:val="20"/>
          <w:szCs w:val="20"/>
          <w:color w:val="auto"/>
        </w:rPr>
      </w:pPr>
    </w:p>
    <w:p>
      <w:pPr>
        <w:ind w:left="560" w:right="20"/>
        <w:spacing w:after="0" w:line="266" w:lineRule="auto"/>
        <w:rPr>
          <w:sz w:val="20"/>
          <w:szCs w:val="20"/>
          <w:color w:val="auto"/>
        </w:rPr>
      </w:pPr>
      <w:r>
        <w:rPr>
          <w:rFonts w:ascii="Times New Roman" w:cs="Times New Roman" w:eastAsia="Times New Roman" w:hAnsi="Times New Roman"/>
          <w:sz w:val="18"/>
          <w:szCs w:val="18"/>
          <w:color w:val="auto"/>
        </w:rPr>
        <w:t>No provision for income taxes has been made for the years ended December 31, 2022, 2023 and 2024 as the Company and its subsidiaries, and the former VIE and its subsidiaries have either sustained loss for tax purpose or their unused tax losses were sufficient to cover their estimated assessable profits for the year.</w:t>
      </w:r>
    </w:p>
    <w:p>
      <w:pPr>
        <w:spacing w:after="0" w:line="320" w:lineRule="exact"/>
        <w:rPr>
          <w:sz w:val="20"/>
          <w:szCs w:val="20"/>
          <w:color w:val="auto"/>
        </w:rPr>
      </w:pPr>
    </w:p>
    <w:p>
      <w:pPr>
        <w:ind w:left="540" w:hanging="424"/>
        <w:spacing w:after="0"/>
        <w:tabs>
          <w:tab w:leader="none" w:pos="540" w:val="left"/>
        </w:tabs>
        <w:numPr>
          <w:ilvl w:val="0"/>
          <w:numId w:val="17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Deferred tax assets and liabilities recognized</w:t>
      </w:r>
    </w:p>
    <w:p>
      <w:pPr>
        <w:spacing w:after="0" w:line="134" w:lineRule="exact"/>
        <w:rPr>
          <w:rFonts w:ascii="Times New Roman" w:cs="Times New Roman" w:eastAsia="Times New Roman" w:hAnsi="Times New Roman"/>
          <w:sz w:val="18"/>
          <w:szCs w:val="18"/>
          <w:b w:val="1"/>
          <w:bCs w:val="1"/>
          <w:i w:val="1"/>
          <w:iCs w:val="1"/>
          <w:color w:val="auto"/>
        </w:rPr>
      </w:pPr>
    </w:p>
    <w:p>
      <w:pPr>
        <w:ind w:left="1080" w:hanging="532"/>
        <w:spacing w:after="0"/>
        <w:tabs>
          <w:tab w:leader="none" w:pos="108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Movements of each component of deferred tax assets and liabilities: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Assets</w:t>
            </w:r>
          </w:p>
        </w:tc>
        <w:tc>
          <w:tcPr>
            <w:tcW w:w="6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Liabilities</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Deferred tax arising from:</w:t>
            </w:r>
          </w:p>
        </w:tc>
        <w:tc>
          <w:tcPr>
            <w:tcW w:w="1620" w:type="dxa"/>
            <w:vAlign w:val="bottom"/>
          </w:tcPr>
          <w:p>
            <w:pPr>
              <w:spacing w:after="0"/>
              <w:rPr>
                <w:sz w:val="10"/>
                <w:szCs w:val="10"/>
                <w:color w:val="auto"/>
              </w:rPr>
            </w:pPr>
          </w:p>
        </w:tc>
        <w:tc>
          <w:tcPr>
            <w:tcW w:w="88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i w:val="1"/>
                <w:iCs w:val="1"/>
                <w:color w:val="auto"/>
              </w:rPr>
              <w:t>Tax</w:t>
            </w:r>
          </w:p>
        </w:tc>
        <w:tc>
          <w:tcPr>
            <w:tcW w:w="86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i w:val="1"/>
                <w:iCs w:val="1"/>
                <w:color w:val="auto"/>
              </w:rPr>
              <w:t>Lease</w:t>
            </w:r>
          </w:p>
        </w:tc>
        <w:tc>
          <w:tcPr>
            <w:tcW w:w="8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i w:val="1"/>
                <w:iCs w:val="1"/>
                <w:color w:val="auto"/>
              </w:rPr>
              <w:t>Total</w:t>
            </w:r>
          </w:p>
        </w:tc>
        <w:tc>
          <w:tcPr>
            <w:tcW w:w="880" w:type="dxa"/>
            <w:vAlign w:val="bottom"/>
            <w:gridSpan w:val="2"/>
          </w:tcPr>
          <w:p>
            <w:pPr>
              <w:jc w:val="right"/>
              <w:ind w:right="280"/>
              <w:spacing w:after="0" w:line="118" w:lineRule="exact"/>
              <w:rPr>
                <w:sz w:val="20"/>
                <w:szCs w:val="20"/>
                <w:color w:val="auto"/>
              </w:rPr>
            </w:pPr>
            <w:r>
              <w:rPr>
                <w:rFonts w:ascii="Times New Roman" w:cs="Times New Roman" w:eastAsia="Times New Roman" w:hAnsi="Times New Roman"/>
                <w:sz w:val="13"/>
                <w:szCs w:val="13"/>
                <w:i w:val="1"/>
                <w:iCs w:val="1"/>
                <w:color w:val="auto"/>
              </w:rPr>
              <w:t>Intangible</w:t>
            </w:r>
          </w:p>
        </w:tc>
        <w:tc>
          <w:tcPr>
            <w:tcW w:w="100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i w:val="1"/>
                <w:iCs w:val="1"/>
                <w:color w:val="auto"/>
              </w:rPr>
              <w:t>Right-of-use</w:t>
            </w:r>
          </w:p>
        </w:tc>
        <w:tc>
          <w:tcPr>
            <w:tcW w:w="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i w:val="1"/>
                <w:iCs w:val="1"/>
                <w:color w:val="auto"/>
                <w:w w:val="98"/>
              </w:rPr>
              <w:t>Total</w:t>
            </w:r>
          </w:p>
        </w:tc>
        <w:tc>
          <w:tcPr>
            <w:tcW w:w="0" w:type="dxa"/>
            <w:vAlign w:val="bottom"/>
          </w:tcPr>
          <w:p>
            <w:pPr>
              <w:spacing w:after="0"/>
              <w:rPr>
                <w:sz w:val="1"/>
                <w:szCs w:val="1"/>
                <w:color w:val="auto"/>
              </w:rPr>
            </w:pPr>
          </w:p>
        </w:tc>
      </w:tr>
      <w:tr>
        <w:trPr>
          <w:trHeight w:val="173"/>
        </w:trPr>
        <w:tc>
          <w:tcPr>
            <w:tcW w:w="3720" w:type="dxa"/>
            <w:vAlign w:val="bottom"/>
            <w:gridSpan w:val="2"/>
            <w:vMerge w:val="continue"/>
          </w:tcPr>
          <w:p>
            <w:pPr>
              <w:spacing w:after="0"/>
              <w:rPr>
                <w:sz w:val="15"/>
                <w:szCs w:val="15"/>
                <w:color w:val="auto"/>
              </w:rPr>
            </w:pPr>
          </w:p>
        </w:tc>
        <w:tc>
          <w:tcPr>
            <w:tcW w:w="1620" w:type="dxa"/>
            <w:vAlign w:val="bottom"/>
          </w:tcPr>
          <w:p>
            <w:pPr>
              <w:spacing w:after="0"/>
              <w:rPr>
                <w:sz w:val="15"/>
                <w:szCs w:val="15"/>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i w:val="1"/>
                <w:iCs w:val="1"/>
                <w:color w:val="auto"/>
              </w:rPr>
              <w:t>losses</w:t>
            </w: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i w:val="1"/>
                <w:iCs w:val="1"/>
                <w:color w:val="auto"/>
              </w:rPr>
              <w:t>liabilities</w:t>
            </w:r>
          </w:p>
        </w:tc>
        <w:tc>
          <w:tcPr>
            <w:tcW w:w="880" w:type="dxa"/>
            <w:vAlign w:val="bottom"/>
            <w:gridSpan w:val="2"/>
            <w:vMerge w:val="continue"/>
          </w:tcPr>
          <w:p>
            <w:pPr>
              <w:spacing w:after="0"/>
              <w:rPr>
                <w:sz w:val="15"/>
                <w:szCs w:val="15"/>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i w:val="1"/>
                <w:iCs w:val="1"/>
                <w:color w:val="auto"/>
              </w:rPr>
              <w:t>assets</w:t>
            </w: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i w:val="1"/>
                <w:iCs w:val="1"/>
                <w:color w:val="auto"/>
              </w:rPr>
              <w:t>assets</w:t>
            </w: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300" w:type="dxa"/>
            <w:vAlign w:val="bottom"/>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RMB’000</w:t>
            </w:r>
          </w:p>
        </w:tc>
        <w:tc>
          <w:tcPr>
            <w:tcW w:w="28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28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28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28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2022</w:t>
            </w:r>
          </w:p>
        </w:tc>
        <w:tc>
          <w:tcPr>
            <w:tcW w:w="25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4,054</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9,794</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13,848</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(7,479)</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(9,858)</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(Charged) /credited to profit or loss</w:t>
            </w:r>
          </w:p>
        </w:tc>
        <w:tc>
          <w:tcPr>
            <w:tcW w:w="16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(903)</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(2,721)</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(3,624)</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998</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2,626</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3,624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16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3,151</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7,073</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10,224</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(6,481)</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(7,232)</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(Charged) /credited to profit or loss</w:t>
            </w:r>
          </w:p>
        </w:tc>
        <w:tc>
          <w:tcPr>
            <w:tcW w:w="16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(370)</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658</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288</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998</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(1,286)</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6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2,781</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7,731</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10,512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(5,483)</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(8,518)</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(Charged) /credited to profit or loss</w:t>
            </w:r>
          </w:p>
        </w:tc>
        <w:tc>
          <w:tcPr>
            <w:tcW w:w="16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(401)</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(102)</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997</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(895)</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6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2,380</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8,030</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10,410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(4,486)</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(9,413)</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(13,899)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500" w:type="dxa"/>
            <w:vAlign w:val="bottom"/>
            <w:gridSpan w:val="3"/>
          </w:tcPr>
          <w:p>
            <w:pPr>
              <w:jc w:val="right"/>
              <w:ind w:right="980"/>
              <w:spacing w:after="0"/>
              <w:rPr>
                <w:sz w:val="20"/>
                <w:szCs w:val="20"/>
                <w:color w:val="auto"/>
              </w:rPr>
            </w:pPr>
            <w:r>
              <w:rPr>
                <w:rFonts w:ascii="Times New Roman" w:cs="Times New Roman" w:eastAsia="Times New Roman" w:hAnsi="Times New Roman"/>
                <w:sz w:val="18"/>
                <w:szCs w:val="18"/>
                <w:color w:val="auto"/>
              </w:rPr>
              <w:t>F-41</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Reconciliations to the consolidated statements of financial position:</w:t>
      </w:r>
    </w:p>
    <w:p>
      <w:pPr>
        <w:spacing w:after="0" w:line="246"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14"/>
          <w:szCs w:val="14"/>
          <w:i w:val="1"/>
          <w:iCs w:val="1"/>
          <w:color w:val="auto"/>
        </w:rPr>
        <w:t>As of December 31,</w:t>
      </w:r>
    </w:p>
    <w:p>
      <w:pPr>
        <w:spacing w:after="0" w:line="12" w:lineRule="exact"/>
        <w:rPr>
          <w:sz w:val="20"/>
          <w:szCs w:val="20"/>
          <w:color w:val="auto"/>
        </w:rPr>
      </w:pPr>
    </w:p>
    <w:tbl>
      <w:tblPr>
        <w:tblLayout w:type="fixed"/>
        <w:tblInd w:w="560" w:type="dxa"/>
        <w:tblCellMar>
          <w:top w:w="0" w:type="dxa"/>
          <w:left w:w="0" w:type="dxa"/>
          <w:bottom w:w="0" w:type="dxa"/>
          <w:right w:w="0" w:type="dxa"/>
        </w:tblCellMar>
      </w:tblPr>
      <w:tr>
        <w:trPr>
          <w:trHeight w:val="119"/>
        </w:trPr>
        <w:tc>
          <w:tcPr>
            <w:tcW w:w="8960" w:type="dxa"/>
            <w:vAlign w:val="bottom"/>
          </w:tcPr>
          <w:p>
            <w:pPr>
              <w:spacing w:after="0"/>
              <w:rPr>
                <w:sz w:val="10"/>
                <w:szCs w:val="10"/>
                <w:color w:val="auto"/>
              </w:rPr>
            </w:pPr>
          </w:p>
        </w:tc>
        <w:tc>
          <w:tcPr>
            <w:tcW w:w="780" w:type="dxa"/>
            <w:vAlign w:val="bottom"/>
            <w:tcBorders>
              <w:top w:val="single" w:sz="8" w:color="auto"/>
            </w:tcBorders>
          </w:tcPr>
          <w:p>
            <w:pPr>
              <w:jc w:val="right"/>
              <w:ind w:right="260"/>
              <w:spacing w:after="0" w:line="119" w:lineRule="exact"/>
              <w:rPr>
                <w:sz w:val="20"/>
                <w:szCs w:val="20"/>
                <w:color w:val="auto"/>
              </w:rPr>
            </w:pPr>
            <w:r>
              <w:rPr>
                <w:rFonts w:ascii="Times New Roman" w:cs="Times New Roman" w:eastAsia="Times New Roman" w:hAnsi="Times New Roman"/>
                <w:sz w:val="13"/>
                <w:szCs w:val="13"/>
                <w:i w:val="1"/>
                <w:iCs w:val="1"/>
                <w:color w:val="auto"/>
              </w:rPr>
              <w:t>2023</w:t>
            </w:r>
          </w:p>
        </w:tc>
        <w:tc>
          <w:tcPr>
            <w:tcW w:w="720" w:type="dxa"/>
            <w:vAlign w:val="bottom"/>
            <w:tcBorders>
              <w:top w:val="single" w:sz="8" w:color="auto"/>
            </w:tcBorders>
          </w:tcPr>
          <w:p>
            <w:pPr>
              <w:jc w:val="right"/>
              <w:ind w:right="60"/>
              <w:spacing w:after="0" w:line="119" w:lineRule="exact"/>
              <w:rPr>
                <w:sz w:val="20"/>
                <w:szCs w:val="20"/>
                <w:color w:val="auto"/>
              </w:rPr>
            </w:pPr>
            <w:r>
              <w:rPr>
                <w:rFonts w:ascii="Times New Roman" w:cs="Times New Roman" w:eastAsia="Times New Roman" w:hAnsi="Times New Roman"/>
                <w:sz w:val="13"/>
                <w:szCs w:val="13"/>
                <w:i w:val="1"/>
                <w:iCs w:val="1"/>
                <w:color w:val="auto"/>
              </w:rPr>
              <w:t>2024</w:t>
            </w:r>
          </w:p>
        </w:tc>
        <w:tc>
          <w:tcPr>
            <w:tcW w:w="120" w:type="dxa"/>
            <w:vAlign w:val="bottom"/>
          </w:tcPr>
          <w:p>
            <w:pPr>
              <w:spacing w:after="0"/>
              <w:rPr>
                <w:sz w:val="10"/>
                <w:szCs w:val="10"/>
                <w:color w:val="auto"/>
              </w:rPr>
            </w:pPr>
          </w:p>
        </w:tc>
      </w:tr>
      <w:tr>
        <w:trPr>
          <w:trHeight w:val="171"/>
        </w:trPr>
        <w:tc>
          <w:tcPr>
            <w:tcW w:w="8960" w:type="dxa"/>
            <w:vAlign w:val="bottom"/>
          </w:tcPr>
          <w:p>
            <w:pPr>
              <w:spacing w:after="0"/>
              <w:rPr>
                <w:sz w:val="14"/>
                <w:szCs w:val="14"/>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4"/>
                <w:szCs w:val="14"/>
                <w:color w:val="auto"/>
              </w:rPr>
              <w:t>RMB’000</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RMB’000</w:t>
            </w:r>
          </w:p>
        </w:tc>
      </w:tr>
      <w:tr>
        <w:trPr>
          <w:trHeight w:val="216"/>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 in the consolidated statements of financial position</w:t>
            </w:r>
          </w:p>
        </w:tc>
        <w:tc>
          <w:tcPr>
            <w:tcW w:w="7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1,994</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997</w:t>
            </w:r>
          </w:p>
        </w:tc>
      </w:tr>
      <w:tr>
        <w:trPr>
          <w:trHeight w:val="234"/>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liabilities in the consolidated statements of financial position</w:t>
            </w: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(5,483)</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(4,486)</w:t>
            </w:r>
          </w:p>
        </w:tc>
      </w:tr>
    </w:tbl>
    <w:p>
      <w:pPr>
        <w:spacing w:after="0" w:line="324" w:lineRule="exact"/>
        <w:rPr>
          <w:sz w:val="20"/>
          <w:szCs w:val="20"/>
          <w:color w:val="auto"/>
        </w:rPr>
      </w:pPr>
    </w:p>
    <w:p>
      <w:pPr>
        <w:ind w:left="540" w:hanging="424"/>
        <w:spacing w:after="0"/>
        <w:tabs>
          <w:tab w:leader="none" w:pos="540" w:val="left"/>
        </w:tabs>
        <w:numPr>
          <w:ilvl w:val="0"/>
          <w:numId w:val="17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Deferred tax assets not recognized</w:t>
      </w:r>
    </w:p>
    <w:p>
      <w:pPr>
        <w:spacing w:after="0" w:line="121" w:lineRule="exact"/>
        <w:rPr>
          <w:rFonts w:ascii="Times New Roman" w:cs="Times New Roman" w:eastAsia="Times New Roman" w:hAnsi="Times New Roman"/>
          <w:sz w:val="18"/>
          <w:szCs w:val="18"/>
          <w:b w:val="1"/>
          <w:bCs w:val="1"/>
          <w:i w:val="1"/>
          <w:iCs w:val="1"/>
          <w:color w:val="auto"/>
        </w:rPr>
      </w:pPr>
    </w:p>
    <w:p>
      <w:pPr>
        <w:ind w:left="560" w:right="26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Group has not recognized deferred tax assets in respect of cumulative tax losses, including deductible temporary differences, whose expiry dates are:</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7880" w:type="dxa"/>
            <w:vAlign w:val="bottom"/>
          </w:tcPr>
          <w:p>
            <w:pPr>
              <w:spacing w:after="0"/>
              <w:rPr>
                <w:sz w:val="15"/>
                <w:szCs w:val="15"/>
                <w:color w:val="auto"/>
              </w:rPr>
            </w:pPr>
          </w:p>
        </w:tc>
        <w:tc>
          <w:tcPr>
            <w:tcW w:w="1900" w:type="dxa"/>
            <w:vAlign w:val="bottom"/>
            <w:tcBorders>
              <w:bottom w:val="single" w:sz="8" w:color="auto"/>
            </w:tcBorders>
            <w:gridSpan w:val="6"/>
          </w:tcPr>
          <w:p>
            <w:pPr>
              <w:ind w:left="740"/>
              <w:spacing w:after="0"/>
              <w:rPr>
                <w:sz w:val="20"/>
                <w:szCs w:val="20"/>
                <w:color w:val="auto"/>
              </w:rPr>
            </w:pPr>
            <w:r>
              <w:rPr>
                <w:rFonts w:ascii="Times New Roman" w:cs="Times New Roman" w:eastAsia="Times New Roman" w:hAnsi="Times New Roman"/>
                <w:sz w:val="14"/>
                <w:szCs w:val="14"/>
                <w:i w:val="1"/>
                <w:iCs w:val="1"/>
                <w:color w:val="auto"/>
              </w:rPr>
              <w:t>As of December 31,</w:t>
            </w:r>
          </w:p>
        </w:tc>
        <w:tc>
          <w:tcPr>
            <w:tcW w:w="7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19"/>
        </w:trPr>
        <w:tc>
          <w:tcPr>
            <w:tcW w:w="7880" w:type="dxa"/>
            <w:vAlign w:val="bottom"/>
          </w:tcPr>
          <w:p>
            <w:pPr>
              <w:spacing w:after="0"/>
              <w:rPr>
                <w:sz w:val="10"/>
                <w:szCs w:val="10"/>
                <w:color w:val="auto"/>
              </w:rPr>
            </w:pPr>
          </w:p>
        </w:tc>
        <w:tc>
          <w:tcPr>
            <w:tcW w:w="780" w:type="dxa"/>
            <w:vAlign w:val="bottom"/>
          </w:tcPr>
          <w:p>
            <w:pPr>
              <w:jc w:val="right"/>
              <w:ind w:right="178"/>
              <w:spacing w:after="0" w:line="119" w:lineRule="exact"/>
              <w:rPr>
                <w:sz w:val="20"/>
                <w:szCs w:val="20"/>
                <w:color w:val="auto"/>
              </w:rPr>
            </w:pPr>
            <w:r>
              <w:rPr>
                <w:rFonts w:ascii="Times New Roman" w:cs="Times New Roman" w:eastAsia="Times New Roman" w:hAnsi="Times New Roman"/>
                <w:sz w:val="13"/>
                <w:szCs w:val="13"/>
                <w:i w:val="1"/>
                <w:iCs w:val="1"/>
                <w:color w:val="auto"/>
              </w:rPr>
              <w:t>2022</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ind w:right="157"/>
              <w:spacing w:after="0" w:line="119" w:lineRule="exact"/>
              <w:rPr>
                <w:sz w:val="20"/>
                <w:szCs w:val="20"/>
                <w:color w:val="auto"/>
              </w:rPr>
            </w:pPr>
            <w:r>
              <w:rPr>
                <w:rFonts w:ascii="Times New Roman" w:cs="Times New Roman" w:eastAsia="Times New Roman" w:hAnsi="Times New Roman"/>
                <w:sz w:val="13"/>
                <w:szCs w:val="13"/>
                <w:i w:val="1"/>
                <w:iCs w:val="1"/>
                <w:color w:val="auto"/>
              </w:rPr>
              <w:t>2023</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jc w:val="right"/>
              <w:ind w:right="157"/>
              <w:spacing w:after="0" w:line="119" w:lineRule="exact"/>
              <w:rPr>
                <w:sz w:val="20"/>
                <w:szCs w:val="20"/>
                <w:color w:val="auto"/>
              </w:rPr>
            </w:pPr>
            <w:r>
              <w:rPr>
                <w:rFonts w:ascii="Times New Roman" w:cs="Times New Roman" w:eastAsia="Times New Roman" w:hAnsi="Times New Roman"/>
                <w:sz w:val="13"/>
                <w:szCs w:val="13"/>
                <w:i w:val="1"/>
                <w:iCs w:val="1"/>
                <w:color w:val="auto"/>
              </w:rPr>
              <w:t>2024</w:t>
            </w:r>
          </w:p>
        </w:tc>
        <w:tc>
          <w:tcPr>
            <w:tcW w:w="60" w:type="dxa"/>
            <w:vAlign w:val="bottom"/>
          </w:tcPr>
          <w:p>
            <w:pPr>
              <w:spacing w:after="0"/>
              <w:rPr>
                <w:sz w:val="10"/>
                <w:szCs w:val="10"/>
                <w:color w:val="auto"/>
              </w:rPr>
            </w:pPr>
          </w:p>
        </w:tc>
      </w:tr>
      <w:tr>
        <w:trPr>
          <w:trHeight w:val="171"/>
        </w:trPr>
        <w:tc>
          <w:tcPr>
            <w:tcW w:w="7880" w:type="dxa"/>
            <w:vAlign w:val="bottom"/>
          </w:tcPr>
          <w:p>
            <w:pPr>
              <w:spacing w:after="0"/>
              <w:rPr>
                <w:sz w:val="14"/>
                <w:szCs w:val="14"/>
                <w:color w:val="auto"/>
              </w:rPr>
            </w:pPr>
          </w:p>
        </w:tc>
        <w:tc>
          <w:tcPr>
            <w:tcW w:w="9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color w:val="auto"/>
              </w:rPr>
              <w:t>RMB’000</w:t>
            </w: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color w:val="auto"/>
              </w:rPr>
              <w:t>RMB’000</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RMB’000</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18,072</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11,174</w:t>
            </w: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32,408</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More than 1 year but within 5 years</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317,335</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626,232</w:t>
            </w:r>
          </w:p>
        </w:tc>
        <w:tc>
          <w:tcPr>
            <w:tcW w:w="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1,147,924</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More than 5 years</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1,517,663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2,031,678</w:t>
            </w: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3,082,867</w:t>
            </w:r>
          </w:p>
        </w:tc>
      </w:tr>
      <w:tr>
        <w:trPr>
          <w:trHeight w:val="223"/>
        </w:trPr>
        <w:tc>
          <w:tcPr>
            <w:tcW w:w="78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1,853,070</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2,669,084</w:t>
            </w:r>
          </w:p>
        </w:tc>
        <w:tc>
          <w:tcPr>
            <w:tcW w:w="16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4,263,199</w:t>
            </w:r>
          </w:p>
        </w:tc>
        <w:tc>
          <w:tcPr>
            <w:tcW w:w="60" w:type="dxa"/>
            <w:vAlign w:val="bottom"/>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right="220"/>
        <w:spacing w:after="0" w:line="282" w:lineRule="auto"/>
        <w:rPr>
          <w:sz w:val="20"/>
          <w:szCs w:val="20"/>
          <w:color w:val="auto"/>
        </w:rPr>
      </w:pPr>
      <w:r>
        <w:rPr>
          <w:rFonts w:ascii="Times New Roman" w:cs="Times New Roman" w:eastAsia="Times New Roman" w:hAnsi="Times New Roman"/>
          <w:sz w:val="18"/>
          <w:szCs w:val="18"/>
          <w:color w:val="auto"/>
        </w:rPr>
        <w:t>Management is of opinion that it is not probable that future taxable profits against which the losses above can be utilised will be available in the relevant tax jurisdiction and entity.</w:t>
      </w:r>
    </w:p>
    <w:p>
      <w:pPr>
        <w:spacing w:after="0" w:line="306"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10</w:t>
        <w:tab/>
        <w:t>Loss per Class A and Class B ordinary share</w:t>
      </w:r>
    </w:p>
    <w:p>
      <w:pPr>
        <w:spacing w:after="0" w:line="131" w:lineRule="exact"/>
        <w:rPr>
          <w:sz w:val="20"/>
          <w:szCs w:val="20"/>
          <w:color w:val="auto"/>
        </w:rPr>
      </w:pPr>
    </w:p>
    <w:p>
      <w:pPr>
        <w:ind w:left="540" w:hanging="424"/>
        <w:spacing w:after="0"/>
        <w:tabs>
          <w:tab w:leader="none" w:pos="540" w:val="left"/>
        </w:tabs>
        <w:numPr>
          <w:ilvl w:val="0"/>
          <w:numId w:val="17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Basic loss per Class A and Class B ordinary share</w:t>
      </w:r>
    </w:p>
    <w:p>
      <w:pPr>
        <w:spacing w:after="0" w:line="121" w:lineRule="exact"/>
        <w:rPr>
          <w:rFonts w:ascii="Times New Roman" w:cs="Times New Roman" w:eastAsia="Times New Roman" w:hAnsi="Times New Roman"/>
          <w:sz w:val="18"/>
          <w:szCs w:val="18"/>
          <w:b w:val="1"/>
          <w:bCs w:val="1"/>
          <w:i w:val="1"/>
          <w:iCs w:val="1"/>
          <w:color w:val="auto"/>
        </w:rPr>
      </w:pPr>
    </w:p>
    <w:p>
      <w:pPr>
        <w:ind w:left="560" w:right="62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calculation of basic loss per Class A and Class B ordinary share is based on the loss attributable to ordinary equity shareholders of the Company divided by weighted-average number of Class A and Class B ordinary shares outstanding.</w:t>
      </w:r>
    </w:p>
    <w:p>
      <w:pPr>
        <w:spacing w:after="0" w:line="53" w:lineRule="exact"/>
        <w:rPr>
          <w:rFonts w:ascii="Times New Roman" w:cs="Times New Roman" w:eastAsia="Times New Roman" w:hAnsi="Times New Roman"/>
          <w:sz w:val="18"/>
          <w:szCs w:val="18"/>
          <w:b w:val="1"/>
          <w:bCs w:val="1"/>
          <w:i w:val="1"/>
          <w:iCs w:val="1"/>
          <w:color w:val="auto"/>
        </w:rPr>
      </w:pPr>
    </w:p>
    <w:p>
      <w:pPr>
        <w:ind w:left="560" w:right="60"/>
        <w:spacing w:after="0" w:line="25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August 2024, the Company issued 12,806,568 ordinary shares to holders of Series D and Series D+ preferred shares at par value of USD0.00001 each and the Company was entitled an option to repurchase these ordinary shares if an IPO does not consummate on or before March 31, 2025. These ordinary shares were contingently returnable upon issuance; as such they were not initially treated as “outstanding” for the calculation of basic loss per ordinary share and were excluded from the calculation of loss per ordinary share amounts prior to the consummation of the IPO. However, upon the consummation of the IPO in October 2024 and consequently those shares were no longer subject to recall, the weighted average numbers of ordinary shares for the purpose of basic and diluted loss per share for the years presented have been retrospectively adjusted for the bonus element in such issuance.</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140"/>
          </w:cols>
          <w:pgMar w:left="320" w:top="482" w:right="4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right="120"/>
        <w:spacing w:after="0" w:line="261" w:lineRule="auto"/>
        <w:rPr>
          <w:sz w:val="20"/>
          <w:szCs w:val="20"/>
          <w:color w:val="auto"/>
        </w:rPr>
      </w:pPr>
      <w:r>
        <w:rPr>
          <w:rFonts w:ascii="Times New Roman" w:cs="Times New Roman" w:eastAsia="Times New Roman" w:hAnsi="Times New Roman"/>
          <w:sz w:val="18"/>
          <w:szCs w:val="18"/>
          <w:color w:val="auto"/>
        </w:rPr>
        <w:t>Upon and immediately prior to the completion of the IPO in October 2024, the Company adopted a dual-class share structure and all of the Company’s issued ordinary shares before the completion of the IPO were re-designated into 149,442,793 Class A ordinary shares and 54,414,873 Class B ordinary shares. For comparability in the basic and diluted loss per share amounts for the years presented, the historical share capital structure has been re-presented to reflect the re-designation retrospectively.</w:t>
      </w:r>
    </w:p>
    <w:p>
      <w:pPr>
        <w:spacing w:after="0" w:line="72" w:lineRule="exact"/>
        <w:rPr>
          <w:sz w:val="20"/>
          <w:szCs w:val="20"/>
          <w:color w:val="auto"/>
        </w:rPr>
      </w:pPr>
    </w:p>
    <w:p>
      <w:pPr>
        <w:ind w:left="560" w:right="140"/>
        <w:spacing w:after="0" w:line="261" w:lineRule="auto"/>
        <w:rPr>
          <w:sz w:val="20"/>
          <w:szCs w:val="20"/>
          <w:color w:val="auto"/>
        </w:rPr>
      </w:pPr>
      <w:r>
        <w:rPr>
          <w:rFonts w:ascii="Times New Roman" w:cs="Times New Roman" w:eastAsia="Times New Roman" w:hAnsi="Times New Roman"/>
          <w:sz w:val="18"/>
          <w:szCs w:val="18"/>
          <w:color w:val="auto"/>
        </w:rPr>
        <w:t>Holders of the Class A ordinary shares and Class B ordinary shares have the same rights except for voting and conversion rights. In respect of matters requiring the votes of shareholders, the holder of Class B ordinary shares is entitled to 40 votes per share, while the holders of Class A ordinary shares entitle to one vote per share. Each Class B ordinary share is convertible into one Class A ordinary share at any time by the holder thereof, while Class A ordinary shares are not convertible into Class B ordinary shares under any circumstances.</w:t>
      </w:r>
    </w:p>
    <w:p>
      <w:pPr>
        <w:spacing w:after="0" w:line="326" w:lineRule="exact"/>
        <w:rPr>
          <w:sz w:val="20"/>
          <w:szCs w:val="20"/>
          <w:color w:val="auto"/>
        </w:rPr>
      </w:pPr>
    </w:p>
    <w:p>
      <w:pPr>
        <w:ind w:left="1080" w:hanging="532"/>
        <w:spacing w:after="0"/>
        <w:tabs>
          <w:tab w:leader="none" w:pos="1080" w:val="left"/>
        </w:tabs>
        <w:numPr>
          <w:ilvl w:val="0"/>
          <w:numId w:val="17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Weighted average number of Class A and Class B ordinary shares for the purpose of basic loss per Class A and Class B ordinary share</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8220" w:type="dxa"/>
            <w:vAlign w:val="bottom"/>
          </w:tcPr>
          <w:p>
            <w:pPr>
              <w:spacing w:after="0"/>
              <w:rPr>
                <w:sz w:val="15"/>
                <w:szCs w:val="15"/>
                <w:color w:val="auto"/>
              </w:rPr>
            </w:pPr>
          </w:p>
        </w:tc>
        <w:tc>
          <w:tcPr>
            <w:tcW w:w="2360" w:type="dxa"/>
            <w:vAlign w:val="bottom"/>
            <w:gridSpan w:val="7"/>
          </w:tcPr>
          <w:p>
            <w:pPr>
              <w:ind w:left="18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r>
      <w:tr>
        <w:trPr>
          <w:trHeight w:val="119"/>
        </w:trPr>
        <w:tc>
          <w:tcPr>
            <w:tcW w:w="8220" w:type="dxa"/>
            <w:vAlign w:val="bottom"/>
          </w:tcPr>
          <w:p>
            <w:pPr>
              <w:spacing w:after="0"/>
              <w:rPr>
                <w:sz w:val="10"/>
                <w:szCs w:val="10"/>
                <w:color w:val="auto"/>
              </w:rPr>
            </w:pPr>
          </w:p>
        </w:tc>
        <w:tc>
          <w:tcPr>
            <w:tcW w:w="660" w:type="dxa"/>
            <w:vAlign w:val="bottom"/>
            <w:tcBorders>
              <w:top w:val="single" w:sz="8" w:color="auto"/>
            </w:tcBorders>
          </w:tcPr>
          <w:p>
            <w:pPr>
              <w:jc w:val="right"/>
              <w:ind w:right="97"/>
              <w:spacing w:after="0" w:line="119" w:lineRule="exact"/>
              <w:rPr>
                <w:sz w:val="20"/>
                <w:szCs w:val="20"/>
                <w:color w:val="auto"/>
              </w:rPr>
            </w:pPr>
            <w:r>
              <w:rPr>
                <w:rFonts w:ascii="Times New Roman" w:cs="Times New Roman" w:eastAsia="Times New Roman" w:hAnsi="Times New Roman"/>
                <w:sz w:val="13"/>
                <w:szCs w:val="13"/>
                <w:i w:val="1"/>
                <w:iCs w:val="1"/>
                <w:color w:val="auto"/>
              </w:rPr>
              <w:t>2022</w:t>
            </w: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96"/>
              <w:spacing w:after="0" w:line="119" w:lineRule="exact"/>
              <w:rPr>
                <w:sz w:val="20"/>
                <w:szCs w:val="20"/>
                <w:color w:val="auto"/>
              </w:rPr>
            </w:pPr>
            <w:r>
              <w:rPr>
                <w:rFonts w:ascii="Times New Roman" w:cs="Times New Roman" w:eastAsia="Times New Roman" w:hAnsi="Times New Roman"/>
                <w:sz w:val="13"/>
                <w:szCs w:val="13"/>
                <w:i w:val="1"/>
                <w:iCs w:val="1"/>
                <w:color w:val="auto"/>
              </w:rPr>
              <w:t>2023</w:t>
            </w: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96"/>
              <w:spacing w:after="0" w:line="119" w:lineRule="exact"/>
              <w:rPr>
                <w:sz w:val="20"/>
                <w:szCs w:val="20"/>
                <w:color w:val="auto"/>
              </w:rPr>
            </w:pPr>
            <w:r>
              <w:rPr>
                <w:rFonts w:ascii="Times New Roman" w:cs="Times New Roman" w:eastAsia="Times New Roman" w:hAnsi="Times New Roman"/>
                <w:sz w:val="13"/>
                <w:szCs w:val="13"/>
                <w:i w:val="1"/>
                <w:iCs w:val="1"/>
                <w:color w:val="auto"/>
              </w:rPr>
              <w:t>2024</w:t>
            </w:r>
          </w:p>
        </w:tc>
        <w:tc>
          <w:tcPr>
            <w:tcW w:w="60" w:type="dxa"/>
            <w:vAlign w:val="bottom"/>
          </w:tcPr>
          <w:p>
            <w:pPr>
              <w:spacing w:after="0"/>
              <w:rPr>
                <w:sz w:val="10"/>
                <w:szCs w:val="10"/>
                <w:color w:val="auto"/>
              </w:rPr>
            </w:pPr>
          </w:p>
        </w:tc>
      </w:tr>
      <w:tr>
        <w:trPr>
          <w:trHeight w:val="148"/>
        </w:trPr>
        <w:tc>
          <w:tcPr>
            <w:tcW w:w="8220" w:type="dxa"/>
            <w:vAlign w:val="bottom"/>
          </w:tcPr>
          <w:p>
            <w:pPr>
              <w:spacing w:after="0"/>
              <w:rPr>
                <w:sz w:val="12"/>
                <w:szCs w:val="12"/>
                <w:color w:val="auto"/>
              </w:rPr>
            </w:pPr>
          </w:p>
        </w:tc>
        <w:tc>
          <w:tcPr>
            <w:tcW w:w="86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Number of</w:t>
            </w:r>
          </w:p>
        </w:tc>
      </w:tr>
      <w:tr>
        <w:trPr>
          <w:trHeight w:val="148"/>
        </w:trPr>
        <w:tc>
          <w:tcPr>
            <w:tcW w:w="8220" w:type="dxa"/>
            <w:vAlign w:val="bottom"/>
          </w:tcPr>
          <w:p>
            <w:pPr>
              <w:spacing w:after="0"/>
              <w:rPr>
                <w:sz w:val="12"/>
                <w:szCs w:val="12"/>
                <w:color w:val="auto"/>
              </w:rPr>
            </w:pPr>
          </w:p>
        </w:tc>
        <w:tc>
          <w:tcPr>
            <w:tcW w:w="860" w:type="dxa"/>
            <w:vAlign w:val="bottom"/>
            <w:gridSpan w:val="3"/>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shares</w:t>
            </w:r>
          </w:p>
        </w:tc>
      </w:tr>
      <w:tr>
        <w:trPr>
          <w:trHeight w:val="171"/>
        </w:trPr>
        <w:tc>
          <w:tcPr>
            <w:tcW w:w="8220" w:type="dxa"/>
            <w:vAlign w:val="bottom"/>
          </w:tcPr>
          <w:p>
            <w:pPr>
              <w:spacing w:after="0"/>
              <w:rPr>
                <w:sz w:val="14"/>
                <w:szCs w:val="14"/>
                <w:color w:val="auto"/>
              </w:rPr>
            </w:pPr>
          </w:p>
        </w:tc>
        <w:tc>
          <w:tcPr>
            <w:tcW w:w="8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color w:val="auto"/>
              </w:rPr>
              <w:t>’000</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’000</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’000</w:t>
            </w: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Class A and Class B ordinary shares as of January 1</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103,850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103,850</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105,614</w:t>
            </w: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Effect of bonus element in issuance of ordinary shares to Series D and Series D+ preferred shareholders</w:t>
            </w: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12,807</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12,807</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12,807</w:t>
            </w: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ordinary shares issued</w:t>
            </w: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897</w:t>
            </w:r>
          </w:p>
        </w:tc>
        <w:tc>
          <w:tcPr>
            <w:tcW w:w="7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894</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34,990</w:t>
            </w: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Effect of Class A ordinary shares issued upon IPO and exercise of the over-allotment option</w:t>
            </w:r>
          </w:p>
        </w:tc>
        <w:tc>
          <w:tcPr>
            <w:tcW w:w="8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16,350</w:t>
            </w: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Class A and Class B ordinary shares converted from preferred shares</w:t>
            </w:r>
          </w:p>
        </w:tc>
        <w:tc>
          <w:tcPr>
            <w:tcW w:w="8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100,188</w:t>
            </w: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Effect of ordinary shares repurchased</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(332)</w:t>
            </w:r>
          </w:p>
        </w:tc>
        <w:tc>
          <w:tcPr>
            <w:tcW w:w="7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ordinary shares deemed to be in issue*</w:t>
            </w:r>
          </w:p>
        </w:tc>
        <w:tc>
          <w:tcPr>
            <w:tcW w:w="8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24,701</w:t>
            </w:r>
          </w:p>
        </w:tc>
      </w:tr>
      <w:tr>
        <w:trPr>
          <w:trHeight w:val="223"/>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Class A and Class B ordinary shares for the year</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117,222</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117,551</w:t>
            </w: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294,650</w:t>
            </w:r>
          </w:p>
        </w:tc>
        <w:tc>
          <w:tcPr>
            <w:tcW w:w="60" w:type="dxa"/>
            <w:vAlign w:val="bottom"/>
          </w:tcPr>
          <w:p>
            <w:pPr>
              <w:spacing w:after="0"/>
              <w:rPr>
                <w:sz w:val="19"/>
                <w:szCs w:val="19"/>
                <w:color w:val="auto"/>
              </w:rPr>
            </w:pPr>
          </w:p>
        </w:tc>
      </w:tr>
      <w:tr>
        <w:trPr>
          <w:trHeight w:val="20"/>
        </w:trPr>
        <w:tc>
          <w:tcPr>
            <w:tcW w:w="8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Note:</w:t>
      </w:r>
    </w:p>
    <w:p>
      <w:pPr>
        <w:spacing w:after="0" w:line="131" w:lineRule="exact"/>
        <w:rPr>
          <w:sz w:val="20"/>
          <w:szCs w:val="20"/>
          <w:color w:val="auto"/>
        </w:rPr>
      </w:pPr>
    </w:p>
    <w:p>
      <w:pPr>
        <w:ind w:left="880" w:hanging="332"/>
        <w:spacing w:after="0"/>
        <w:tabs>
          <w:tab w:leader="none" w:pos="8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deemed to be in issue represent the vested RSUs granted to qualified directors and employees.</w:t>
      </w:r>
    </w:p>
    <w:p>
      <w:pPr>
        <w:spacing w:after="0" w:line="372" w:lineRule="exact"/>
        <w:rPr>
          <w:sz w:val="20"/>
          <w:szCs w:val="20"/>
          <w:color w:val="auto"/>
        </w:rPr>
      </w:pPr>
    </w:p>
    <w:tbl>
      <w:tblPr>
        <w:tblLayout w:type="fixed"/>
        <w:tblInd w:w="540" w:type="dxa"/>
        <w:tblCellMar>
          <w:top w:w="0" w:type="dxa"/>
          <w:left w:w="0" w:type="dxa"/>
          <w:bottom w:w="0" w:type="dxa"/>
          <w:right w:w="0" w:type="dxa"/>
        </w:tblCellMar>
      </w:tblPr>
      <w:tr>
        <w:trPr>
          <w:trHeight w:val="236"/>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(ii)</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Calculations of basic loss per Class A and Class B ordinary share</w:t>
            </w: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304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r>
      <w:tr>
        <w:trPr>
          <w:trHeight w:val="142"/>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000" w:type="dxa"/>
            <w:vAlign w:val="bottom"/>
            <w:tcBorders>
              <w:top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i w:val="1"/>
                <w:iCs w:val="1"/>
                <w:color w:val="auto"/>
              </w:rPr>
              <w:t>2022</w:t>
            </w:r>
          </w:p>
        </w:tc>
        <w:tc>
          <w:tcPr>
            <w:tcW w:w="1040" w:type="dxa"/>
            <w:vAlign w:val="bottom"/>
            <w:tcBorders>
              <w:top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i w:val="1"/>
                <w:iCs w:val="1"/>
                <w:color w:val="auto"/>
              </w:rPr>
              <w:t>2023</w:t>
            </w:r>
          </w:p>
        </w:tc>
        <w:tc>
          <w:tcPr>
            <w:tcW w:w="880" w:type="dxa"/>
            <w:vAlign w:val="bottom"/>
            <w:tcBorders>
              <w:top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i w:val="1"/>
                <w:iCs w:val="1"/>
                <w:color w:val="auto"/>
              </w:rPr>
              <w:t>2024</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year (in RMB’000)</w:t>
            </w: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(1,298,496)</w:t>
            </w:r>
          </w:p>
        </w:tc>
        <w:tc>
          <w:tcPr>
            <w:tcW w:w="10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(1,949,101)</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(2,516,808)</w:t>
            </w:r>
          </w:p>
        </w:tc>
      </w:tr>
      <w:tr>
        <w:trPr>
          <w:trHeight w:val="216"/>
        </w:trPr>
        <w:tc>
          <w:tcPr>
            <w:tcW w:w="2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Deemed distribution to a preferred shareholder (in RMB’000) (Note 27(ii))</w:t>
            </w:r>
          </w:p>
        </w:tc>
        <w:tc>
          <w:tcPr>
            <w:tcW w:w="10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(32,767)</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attributable to ordinary shareholders of the Company (in RMB’000)</w:t>
            </w: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(1,298,496)</w:t>
            </w:r>
          </w:p>
        </w:tc>
        <w:tc>
          <w:tcPr>
            <w:tcW w:w="10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(1,981,868)</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(2,516,808)</w:t>
            </w:r>
          </w:p>
        </w:tc>
      </w:tr>
      <w:tr>
        <w:trPr>
          <w:trHeight w:val="216"/>
        </w:trPr>
        <w:tc>
          <w:tcPr>
            <w:tcW w:w="2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number of Class A and Class B ordinary shares in issue (in ’000)</w:t>
            </w: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117,222</w:t>
            </w:r>
          </w:p>
        </w:tc>
        <w:tc>
          <w:tcPr>
            <w:tcW w:w="10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117,551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294,650</w:t>
            </w: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loss per Class A and Class B ordinary share (in RMB)</w:t>
            </w: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(11.08)</w:t>
            </w:r>
          </w:p>
        </w:tc>
        <w:tc>
          <w:tcPr>
            <w:tcW w:w="10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(16.86)</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(8.54)</w:t>
            </w:r>
          </w:p>
        </w:tc>
      </w:tr>
    </w:tbl>
    <w:p>
      <w:pPr>
        <w:spacing w:after="0" w:line="342" w:lineRule="exact"/>
        <w:rPr>
          <w:sz w:val="20"/>
          <w:szCs w:val="20"/>
          <w:color w:val="auto"/>
        </w:rPr>
      </w:pPr>
    </w:p>
    <w:p>
      <w:pPr>
        <w:ind w:left="540" w:hanging="424"/>
        <w:spacing w:after="0"/>
        <w:tabs>
          <w:tab w:leader="none" w:pos="540" w:val="left"/>
        </w:tabs>
        <w:numPr>
          <w:ilvl w:val="0"/>
          <w:numId w:val="18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Diluted loss per Class A and Class B ordinary share</w:t>
      </w:r>
    </w:p>
    <w:p>
      <w:pPr>
        <w:spacing w:after="0" w:line="121" w:lineRule="exact"/>
        <w:rPr>
          <w:rFonts w:ascii="Times New Roman" w:cs="Times New Roman" w:eastAsia="Times New Roman" w:hAnsi="Times New Roman"/>
          <w:sz w:val="18"/>
          <w:szCs w:val="18"/>
          <w:b w:val="1"/>
          <w:bCs w:val="1"/>
          <w:i w:val="1"/>
          <w:iCs w:val="1"/>
          <w:color w:val="auto"/>
        </w:rPr>
      </w:pPr>
    </w:p>
    <w:p>
      <w:pPr>
        <w:ind w:left="560" w:right="46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Diluted loss per Class A and Class B ordinary share is calculated by adjusting the weighted average number of Class A and Class B ordinary shares outstanding after adjustment for the effects of all dilutive potential ordinary shares.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140"/>
          </w:cols>
          <w:pgMar w:left="320" w:top="482" w:right="4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right="140"/>
        <w:spacing w:after="0" w:line="261" w:lineRule="auto"/>
        <w:rPr>
          <w:sz w:val="20"/>
          <w:szCs w:val="20"/>
          <w:color w:val="auto"/>
        </w:rPr>
      </w:pPr>
      <w:r>
        <w:rPr>
          <w:rFonts w:ascii="Times New Roman" w:cs="Times New Roman" w:eastAsia="Times New Roman" w:hAnsi="Times New Roman"/>
          <w:sz w:val="18"/>
          <w:szCs w:val="18"/>
          <w:color w:val="auto"/>
        </w:rPr>
        <w:t>There was no difference between basic and diluted loss per Class A and Class B ordinary share during the years ended December 31, 2022, 2023 and 2024 due to the anti-dilutive effects of: 1) preferred shares and other financial instruments subject to redemption and other preferential rights issued by the Company (Note 23); 2) non-redeemable preferred shares (Note 29); and 3) the share options (Note 30); and 4) financial liabilities measured at FVTPL (Note 27).</w:t>
      </w:r>
    </w:p>
    <w:p>
      <w:pPr>
        <w:spacing w:after="0" w:line="324"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11</w:t>
        <w:tab/>
        <w:t>Property and equipment</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Office</w:t>
            </w: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Leasehold</w:t>
            </w: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equipment and</w:t>
            </w: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Construction</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electronic</w:t>
            </w:r>
          </w:p>
        </w:tc>
        <w:tc>
          <w:tcPr>
            <w:tcW w:w="1000" w:type="dxa"/>
            <w:vAlign w:val="bottom"/>
            <w:gridSpan w:val="2"/>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i w:val="1"/>
                <w:iCs w:val="1"/>
                <w:color w:val="auto"/>
              </w:rPr>
              <w:t>Machinery</w:t>
            </w:r>
          </w:p>
        </w:tc>
        <w:tc>
          <w:tcPr>
            <w:tcW w:w="11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i w:val="1"/>
                <w:iCs w:val="1"/>
                <w:color w:val="auto"/>
              </w:rPr>
              <w:t>Motor vehicles</w:t>
            </w:r>
          </w:p>
        </w:tc>
        <w:tc>
          <w:tcPr>
            <w:tcW w:w="1060" w:type="dxa"/>
            <w:vAlign w:val="bottom"/>
            <w:gridSpan w:val="2"/>
            <w:vMerge w:val="continue"/>
          </w:tcPr>
          <w:p>
            <w:pPr>
              <w:spacing w:after="0"/>
              <w:rPr>
                <w:sz w:val="12"/>
                <w:szCs w:val="12"/>
                <w:color w:val="auto"/>
              </w:rPr>
            </w:pPr>
          </w:p>
        </w:tc>
        <w:tc>
          <w:tcPr>
            <w:tcW w:w="820" w:type="dxa"/>
            <w:vAlign w:val="bottom"/>
            <w:gridSpan w:val="2"/>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i w:val="1"/>
                <w:iCs w:val="1"/>
                <w:color w:val="auto"/>
              </w:rPr>
              <w:t>Total</w:t>
            </w:r>
          </w:p>
        </w:tc>
        <w:tc>
          <w:tcPr>
            <w:tcW w:w="0" w:type="dxa"/>
            <w:vAlign w:val="bottom"/>
          </w:tcPr>
          <w:p>
            <w:pPr>
              <w:spacing w:after="0"/>
              <w:rPr>
                <w:sz w:val="1"/>
                <w:szCs w:val="1"/>
                <w:color w:val="auto"/>
              </w:rPr>
            </w:pPr>
          </w:p>
        </w:tc>
      </w:tr>
      <w:tr>
        <w:trPr>
          <w:trHeight w:val="175"/>
        </w:trPr>
        <w:tc>
          <w:tcPr>
            <w:tcW w:w="430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improvement</w:t>
            </w: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equipment</w:t>
            </w:r>
          </w:p>
        </w:tc>
        <w:tc>
          <w:tcPr>
            <w:tcW w:w="100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in progress</w:t>
            </w: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28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28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280" w:type="dxa"/>
            <w:vAlign w:val="bottom"/>
          </w:tcPr>
          <w:p>
            <w:pPr>
              <w:spacing w:after="0"/>
              <w:rPr>
                <w:sz w:val="12"/>
                <w:szCs w:val="12"/>
                <w:color w:val="auto"/>
              </w:rPr>
            </w:pPr>
          </w:p>
        </w:tc>
        <w:tc>
          <w:tcPr>
            <w:tcW w:w="880" w:type="dxa"/>
            <w:vAlign w:val="bottom"/>
            <w:tcBorders>
              <w:top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28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28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3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As of January 1, 2023</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35,497</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68,595</w:t>
            </w:r>
          </w:p>
        </w:tc>
        <w:tc>
          <w:tcPr>
            <w:tcW w:w="10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117,267</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38,249</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48</w:t>
            </w: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259,656</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Additions</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3,633</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19,563</w:t>
            </w:r>
          </w:p>
        </w:tc>
        <w:tc>
          <w:tcPr>
            <w:tcW w:w="10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11,185</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1,884</w:t>
            </w:r>
          </w:p>
        </w:tc>
        <w:tc>
          <w:tcPr>
            <w:tcW w:w="10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142</w:t>
            </w: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36,407</w:t>
            </w: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Disposals</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w:t>
            </w: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(4,119)</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(5,519)</w:t>
            </w:r>
          </w:p>
        </w:tc>
        <w:tc>
          <w:tcPr>
            <w:tcW w:w="10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(9,929)</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332</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w:t>
            </w:r>
          </w:p>
        </w:tc>
        <w:tc>
          <w:tcPr>
            <w:tcW w:w="10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694</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165</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1,292</w:t>
            </w:r>
          </w:p>
        </w:tc>
        <w:tc>
          <w:tcPr>
            <w:tcW w:w="0" w:type="dxa"/>
            <w:vAlign w:val="bottom"/>
          </w:tcPr>
          <w:p>
            <w:pPr>
              <w:spacing w:after="0"/>
              <w:rPr>
                <w:sz w:val="1"/>
                <w:szCs w:val="1"/>
                <w:color w:val="auto"/>
              </w:rPr>
            </w:pPr>
          </w:p>
        </w:tc>
      </w:tr>
      <w:tr>
        <w:trPr>
          <w:trHeight w:val="230"/>
        </w:trPr>
        <w:tc>
          <w:tcPr>
            <w:tcW w:w="43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39,462</w:t>
            </w:r>
          </w:p>
        </w:tc>
        <w:tc>
          <w:tcPr>
            <w:tcW w:w="28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87,967</w:t>
            </w:r>
          </w:p>
        </w:tc>
        <w:tc>
          <w:tcPr>
            <w:tcW w:w="28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125,027</w:t>
            </w:r>
          </w:p>
        </w:tc>
        <w:tc>
          <w:tcPr>
            <w:tcW w:w="28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34,779</w:t>
            </w:r>
          </w:p>
        </w:tc>
        <w:tc>
          <w:tcPr>
            <w:tcW w:w="280" w:type="dxa"/>
            <w:vAlign w:val="bottom"/>
          </w:tcPr>
          <w:p>
            <w:pPr>
              <w:spacing w:after="0"/>
              <w:rPr>
                <w:sz w:val="20"/>
                <w:szCs w:val="20"/>
                <w:color w:val="auto"/>
              </w:rPr>
            </w:pPr>
          </w:p>
        </w:tc>
        <w:tc>
          <w:tcPr>
            <w:tcW w:w="7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w w:val="96"/>
              </w:rPr>
              <w:t>191</w:t>
            </w:r>
          </w:p>
        </w:tc>
        <w:tc>
          <w:tcPr>
            <w:tcW w:w="2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287,426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Additions</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9,739</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61,440</w:t>
            </w:r>
          </w:p>
        </w:tc>
        <w:tc>
          <w:tcPr>
            <w:tcW w:w="10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12,866</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5,148</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w:t>
            </w: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89,261</w:t>
            </w: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Transfer in/(out)</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78</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132</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w:t>
            </w: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Transfers from inventories</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50,286</w:t>
            </w:r>
          </w:p>
        </w:tc>
        <w:tc>
          <w:tcPr>
            <w:tcW w:w="10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50,286</w:t>
            </w: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Disposals</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w:t>
            </w: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(609)</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(8,062)</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297</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104</w:t>
            </w:r>
          </w:p>
        </w:tc>
        <w:tc>
          <w:tcPr>
            <w:tcW w:w="10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671</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158</w:t>
            </w:r>
          </w:p>
        </w:tc>
        <w:tc>
          <w:tcPr>
            <w:tcW w:w="10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30"/>
        </w:trPr>
        <w:tc>
          <w:tcPr>
            <w:tcW w:w="43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49,498</w:t>
            </w:r>
          </w:p>
        </w:tc>
        <w:tc>
          <w:tcPr>
            <w:tcW w:w="28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149,391</w:t>
            </w:r>
          </w:p>
        </w:tc>
        <w:tc>
          <w:tcPr>
            <w:tcW w:w="28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138,033</w:t>
            </w:r>
          </w:p>
        </w:tc>
        <w:tc>
          <w:tcPr>
            <w:tcW w:w="28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82,441</w:t>
            </w:r>
          </w:p>
        </w:tc>
        <w:tc>
          <w:tcPr>
            <w:tcW w:w="280" w:type="dxa"/>
            <w:vAlign w:val="bottom"/>
          </w:tcPr>
          <w:p>
            <w:pPr>
              <w:spacing w:after="0"/>
              <w:rPr>
                <w:sz w:val="20"/>
                <w:szCs w:val="20"/>
                <w:color w:val="auto"/>
              </w:rPr>
            </w:pPr>
          </w:p>
        </w:tc>
        <w:tc>
          <w:tcPr>
            <w:tcW w:w="7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w w:val="96"/>
              </w:rPr>
              <w:t>— </w:t>
            </w:r>
          </w:p>
        </w:tc>
        <w:tc>
          <w:tcPr>
            <w:tcW w:w="2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419,363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3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As of January 1, 2023</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(20,408)</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(22,883)</w:t>
            </w: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(86,582)</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(15,905)</w:t>
            </w:r>
          </w:p>
        </w:tc>
        <w:tc>
          <w:tcPr>
            <w:tcW w:w="106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(145,778)</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(8,651)</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(20,964)</w:t>
            </w: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(12,709)</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(6,766)</w:t>
            </w:r>
          </w:p>
        </w:tc>
        <w:tc>
          <w:tcPr>
            <w:tcW w:w="10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(49,090)</w:t>
            </w: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Disposals</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106</w:t>
            </w:r>
          </w:p>
        </w:tc>
        <w:tc>
          <w:tcPr>
            <w:tcW w:w="10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2,786</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4,047</w:t>
            </w:r>
          </w:p>
        </w:tc>
        <w:tc>
          <w:tcPr>
            <w:tcW w:w="10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6,939</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w:t>
            </w: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(502)</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10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0" w:type="dxa"/>
            <w:vAlign w:val="bottom"/>
          </w:tcPr>
          <w:p>
            <w:pPr>
              <w:spacing w:after="0"/>
              <w:rPr>
                <w:sz w:val="1"/>
                <w:szCs w:val="1"/>
                <w:color w:val="auto"/>
              </w:rPr>
            </w:pPr>
          </w:p>
        </w:tc>
      </w:tr>
      <w:tr>
        <w:trPr>
          <w:trHeight w:val="230"/>
        </w:trPr>
        <w:tc>
          <w:tcPr>
            <w:tcW w:w="43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(29,310)</w:t>
            </w:r>
          </w:p>
        </w:tc>
        <w:tc>
          <w:tcPr>
            <w:tcW w:w="28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(43,829)</w:t>
            </w:r>
          </w:p>
        </w:tc>
        <w:tc>
          <w:tcPr>
            <w:tcW w:w="28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(97,007)</w:t>
            </w:r>
          </w:p>
        </w:tc>
        <w:tc>
          <w:tcPr>
            <w:tcW w:w="28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(18,706)</w:t>
            </w:r>
          </w:p>
        </w:tc>
        <w:tc>
          <w:tcPr>
            <w:tcW w:w="280" w:type="dxa"/>
            <w:vAlign w:val="bottom"/>
          </w:tcPr>
          <w:p>
            <w:pPr>
              <w:spacing w:after="0"/>
              <w:rPr>
                <w:sz w:val="20"/>
                <w:szCs w:val="20"/>
                <w:color w:val="auto"/>
              </w:rPr>
            </w:pPr>
          </w:p>
        </w:tc>
        <w:tc>
          <w:tcPr>
            <w:tcW w:w="7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w w:val="96"/>
              </w:rPr>
              <w:t>— </w:t>
            </w:r>
          </w:p>
        </w:tc>
        <w:tc>
          <w:tcPr>
            <w:tcW w:w="2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(188,852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(8,202)</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(29,478)</w:t>
            </w: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(12,435)</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(8,197)</w:t>
            </w:r>
          </w:p>
        </w:tc>
        <w:tc>
          <w:tcPr>
            <w:tcW w:w="10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(58,312)</w:t>
            </w: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Disposals</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w:t>
            </w:r>
          </w:p>
        </w:tc>
        <w:tc>
          <w:tcPr>
            <w:tcW w:w="10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56</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6,910</w:t>
            </w:r>
          </w:p>
        </w:tc>
        <w:tc>
          <w:tcPr>
            <w:tcW w:w="10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6,987</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w:t>
            </w: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(523)</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10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r>
        <w:trPr>
          <w:trHeight w:val="230"/>
        </w:trPr>
        <w:tc>
          <w:tcPr>
            <w:tcW w:w="43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(37,798)</w:t>
            </w:r>
          </w:p>
        </w:tc>
        <w:tc>
          <w:tcPr>
            <w:tcW w:w="28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(73,374)</w:t>
            </w:r>
          </w:p>
        </w:tc>
        <w:tc>
          <w:tcPr>
            <w:tcW w:w="28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(109,909</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(20,103)</w:t>
            </w:r>
          </w:p>
        </w:tc>
        <w:tc>
          <w:tcPr>
            <w:tcW w:w="280" w:type="dxa"/>
            <w:vAlign w:val="bottom"/>
          </w:tcPr>
          <w:p>
            <w:pPr>
              <w:spacing w:after="0"/>
              <w:rPr>
                <w:sz w:val="20"/>
                <w:szCs w:val="20"/>
                <w:color w:val="auto"/>
              </w:rPr>
            </w:pPr>
          </w:p>
        </w:tc>
        <w:tc>
          <w:tcPr>
            <w:tcW w:w="7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w w:val="96"/>
              </w:rPr>
              <w:t>— </w:t>
            </w:r>
          </w:p>
        </w:tc>
        <w:tc>
          <w:tcPr>
            <w:tcW w:w="2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(241,184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Carrying amounts: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3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10,152</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44,138</w:t>
            </w:r>
          </w:p>
        </w:tc>
        <w:tc>
          <w:tcPr>
            <w:tcW w:w="10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28,020</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16,073</w:t>
            </w:r>
          </w:p>
        </w:tc>
        <w:tc>
          <w:tcPr>
            <w:tcW w:w="106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191</w:t>
            </w: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98,574</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11,700</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76,017</w:t>
            </w:r>
          </w:p>
        </w:tc>
        <w:tc>
          <w:tcPr>
            <w:tcW w:w="10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28,124</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62,338</w:t>
            </w:r>
          </w:p>
        </w:tc>
        <w:tc>
          <w:tcPr>
            <w:tcW w:w="10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178,179</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0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F-44</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12</w:t>
        <w:tab/>
        <w:t>Right-of-use assets</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540" w:type="dxa"/>
            <w:vAlign w:val="bottom"/>
          </w:tcPr>
          <w:p>
            <w:pPr>
              <w:spacing w:after="0"/>
              <w:rPr>
                <w:sz w:val="15"/>
                <w:szCs w:val="15"/>
                <w:color w:val="auto"/>
              </w:rPr>
            </w:pPr>
          </w:p>
        </w:tc>
        <w:tc>
          <w:tcPr>
            <w:tcW w:w="1020" w:type="dxa"/>
            <w:vAlign w:val="bottom"/>
            <w:gridSpan w:val="2"/>
          </w:tcPr>
          <w:p>
            <w:pPr>
              <w:jc w:val="right"/>
              <w:ind w:right="341"/>
              <w:spacing w:after="0"/>
              <w:rPr>
                <w:sz w:val="20"/>
                <w:szCs w:val="20"/>
                <w:color w:val="auto"/>
              </w:rPr>
            </w:pPr>
            <w:r>
              <w:rPr>
                <w:rFonts w:ascii="Times New Roman" w:cs="Times New Roman" w:eastAsia="Times New Roman" w:hAnsi="Times New Roman"/>
                <w:sz w:val="14"/>
                <w:szCs w:val="14"/>
                <w:b w:val="1"/>
                <w:bCs w:val="1"/>
                <w:i w:val="1"/>
                <w:iCs w:val="1"/>
                <w:color w:val="auto"/>
              </w:rPr>
              <w:t>Property</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i w:val="1"/>
                <w:iCs w:val="1"/>
                <w:color w:val="auto"/>
              </w:rPr>
              <w:t>Motor vehicles</w:t>
            </w:r>
          </w:p>
        </w:tc>
        <w:tc>
          <w:tcPr>
            <w:tcW w:w="820" w:type="dxa"/>
            <w:vAlign w:val="bottom"/>
            <w:gridSpan w:val="2"/>
          </w:tcPr>
          <w:p>
            <w:pPr>
              <w:jc w:val="right"/>
              <w:ind w:right="241"/>
              <w:spacing w:after="0"/>
              <w:rPr>
                <w:sz w:val="20"/>
                <w:szCs w:val="20"/>
                <w:color w:val="auto"/>
              </w:rPr>
            </w:pPr>
            <w:r>
              <w:rPr>
                <w:rFonts w:ascii="Times New Roman" w:cs="Times New Roman" w:eastAsia="Times New Roman" w:hAnsi="Times New Roman"/>
                <w:sz w:val="14"/>
                <w:szCs w:val="14"/>
                <w:b w:val="1"/>
                <w:bCs w:val="1"/>
                <w:i w:val="1"/>
                <w:iCs w:val="1"/>
                <w:color w:val="auto"/>
              </w:rPr>
              <w:t>Total</w:t>
            </w:r>
          </w:p>
        </w:tc>
      </w:tr>
      <w:tr>
        <w:trPr>
          <w:trHeight w:val="142"/>
        </w:trPr>
        <w:tc>
          <w:tcPr>
            <w:tcW w:w="2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320" w:type="dxa"/>
            <w:vAlign w:val="bottom"/>
          </w:tcPr>
          <w:p>
            <w:pPr>
              <w:spacing w:after="0"/>
              <w:rPr>
                <w:sz w:val="12"/>
                <w:szCs w:val="12"/>
                <w:color w:val="auto"/>
              </w:rPr>
            </w:pPr>
          </w:p>
        </w:tc>
        <w:tc>
          <w:tcPr>
            <w:tcW w:w="880" w:type="dxa"/>
            <w:vAlign w:val="bottom"/>
            <w:tcBorders>
              <w:top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30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324"/>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January 1, 2023</w:t>
            </w: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132,246</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8,734</w:t>
            </w: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140,980</w:t>
            </w: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23,271</w:t>
            </w: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23,271</w:t>
            </w: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Derecognition</w:t>
            </w:r>
          </w:p>
        </w:tc>
        <w:tc>
          <w:tcPr>
            <w:tcW w:w="10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(6,035)</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(6,035)</w:t>
            </w: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585</w:t>
            </w: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585</w:t>
            </w:r>
          </w:p>
        </w:tc>
      </w:tr>
      <w:tr>
        <w:trPr>
          <w:trHeight w:val="230"/>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150,067</w:t>
            </w:r>
          </w:p>
        </w:tc>
        <w:tc>
          <w:tcPr>
            <w:tcW w:w="3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8,734</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158,801</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59,159</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4,488</w:t>
            </w: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63,647</w:t>
            </w: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Derecognition</w:t>
            </w:r>
          </w:p>
        </w:tc>
        <w:tc>
          <w:tcPr>
            <w:tcW w:w="10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(60,738)</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(5,059)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(65,797)</w:t>
            </w: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300</w:t>
            </w: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300</w:t>
            </w:r>
          </w:p>
        </w:tc>
      </w:tr>
      <w:tr>
        <w:trPr>
          <w:trHeight w:val="230"/>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148,788</w:t>
            </w:r>
          </w:p>
        </w:tc>
        <w:tc>
          <w:tcPr>
            <w:tcW w:w="3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8,163</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156,951</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324"/>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January 1, 2023</w:t>
            </w:r>
          </w:p>
        </w:tc>
        <w:tc>
          <w:tcPr>
            <w:tcW w:w="10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(72,845)</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(3,725)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(76,570)</w:t>
            </w: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 for the year</w:t>
            </w:r>
          </w:p>
        </w:tc>
        <w:tc>
          <w:tcPr>
            <w:tcW w:w="10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(34,630)</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(1,575)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(36,205)</w:t>
            </w: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Derecognition</w:t>
            </w: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6,035</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6,035</w:t>
            </w: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10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(403)</w:t>
            </w: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w:t>
            </w:r>
          </w:p>
        </w:tc>
      </w:tr>
      <w:tr>
        <w:trPr>
          <w:trHeight w:val="230"/>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(101,843</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(5,300)</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(107,143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 for the year</w:t>
            </w:r>
          </w:p>
        </w:tc>
        <w:tc>
          <w:tcPr>
            <w:tcW w:w="10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(36,609)</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(1,875)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(38,484)</w:t>
            </w: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Derecognition</w:t>
            </w: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57,531</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4,848</w:t>
            </w: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62,379</w:t>
            </w: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10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(139)</w:t>
            </w: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0"/>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(81,060)</w:t>
            </w:r>
          </w:p>
        </w:tc>
        <w:tc>
          <w:tcPr>
            <w:tcW w:w="3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(2,327)</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(83,387)</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Carrying amounts:</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324"/>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48,224</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3,434</w:t>
            </w: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51,658</w:t>
            </w: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67,728</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5,836</w:t>
            </w: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73,564</w:t>
            </w: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analysis of expense items in relation to leases recognized in profit or loss is as follows: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8220" w:type="dxa"/>
            <w:vAlign w:val="bottom"/>
          </w:tcPr>
          <w:p>
            <w:pPr>
              <w:spacing w:after="0"/>
              <w:rPr>
                <w:sz w:val="15"/>
                <w:szCs w:val="15"/>
                <w:color w:val="auto"/>
              </w:rPr>
            </w:pPr>
          </w:p>
        </w:tc>
        <w:tc>
          <w:tcPr>
            <w:tcW w:w="2360" w:type="dxa"/>
            <w:vAlign w:val="bottom"/>
            <w:gridSpan w:val="6"/>
          </w:tcPr>
          <w:p>
            <w:pPr>
              <w:ind w:left="18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r>
      <w:tr>
        <w:trPr>
          <w:trHeight w:val="119"/>
        </w:trPr>
        <w:tc>
          <w:tcPr>
            <w:tcW w:w="8220" w:type="dxa"/>
            <w:vAlign w:val="bottom"/>
          </w:tcPr>
          <w:p>
            <w:pPr>
              <w:spacing w:after="0"/>
              <w:rPr>
                <w:sz w:val="10"/>
                <w:szCs w:val="10"/>
                <w:color w:val="auto"/>
              </w:rPr>
            </w:pPr>
          </w:p>
        </w:tc>
        <w:tc>
          <w:tcPr>
            <w:tcW w:w="600" w:type="dxa"/>
            <w:vAlign w:val="bottom"/>
            <w:tcBorders>
              <w:top w:val="single" w:sz="8" w:color="auto"/>
            </w:tcBorders>
          </w:tcPr>
          <w:p>
            <w:pPr>
              <w:jc w:val="right"/>
              <w:ind w:right="77"/>
              <w:spacing w:after="0" w:line="119" w:lineRule="exact"/>
              <w:rPr>
                <w:sz w:val="20"/>
                <w:szCs w:val="20"/>
                <w:color w:val="auto"/>
              </w:rPr>
            </w:pPr>
            <w:r>
              <w:rPr>
                <w:rFonts w:ascii="Times New Roman" w:cs="Times New Roman" w:eastAsia="Times New Roman" w:hAnsi="Times New Roman"/>
                <w:sz w:val="13"/>
                <w:szCs w:val="13"/>
                <w:i w:val="1"/>
                <w:iCs w:val="1"/>
                <w:color w:val="auto"/>
              </w:rPr>
              <w:t>2022</w:t>
            </w:r>
          </w:p>
        </w:tc>
        <w:tc>
          <w:tcPr>
            <w:tcW w:w="2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55"/>
              <w:spacing w:after="0" w:line="119" w:lineRule="exact"/>
              <w:rPr>
                <w:sz w:val="20"/>
                <w:szCs w:val="20"/>
                <w:color w:val="auto"/>
              </w:rPr>
            </w:pPr>
            <w:r>
              <w:rPr>
                <w:rFonts w:ascii="Times New Roman" w:cs="Times New Roman" w:eastAsia="Times New Roman" w:hAnsi="Times New Roman"/>
                <w:sz w:val="13"/>
                <w:szCs w:val="13"/>
                <w:i w:val="1"/>
                <w:iCs w:val="1"/>
                <w:color w:val="auto"/>
              </w:rPr>
              <w:t>2023</w:t>
            </w:r>
          </w:p>
        </w:tc>
        <w:tc>
          <w:tcPr>
            <w:tcW w:w="2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75"/>
              <w:spacing w:after="0" w:line="119" w:lineRule="exact"/>
              <w:rPr>
                <w:sz w:val="20"/>
                <w:szCs w:val="20"/>
                <w:color w:val="auto"/>
              </w:rPr>
            </w:pPr>
            <w:r>
              <w:rPr>
                <w:rFonts w:ascii="Times New Roman" w:cs="Times New Roman" w:eastAsia="Times New Roman" w:hAnsi="Times New Roman"/>
                <w:sz w:val="13"/>
                <w:szCs w:val="13"/>
                <w:i w:val="1"/>
                <w:iCs w:val="1"/>
                <w:color w:val="auto"/>
              </w:rPr>
              <w:t>2024</w:t>
            </w:r>
          </w:p>
        </w:tc>
        <w:tc>
          <w:tcPr>
            <w:tcW w:w="60" w:type="dxa"/>
            <w:vAlign w:val="bottom"/>
          </w:tcPr>
          <w:p>
            <w:pPr>
              <w:spacing w:after="0"/>
              <w:rPr>
                <w:sz w:val="10"/>
                <w:szCs w:val="10"/>
                <w:color w:val="auto"/>
              </w:rPr>
            </w:pPr>
          </w:p>
        </w:tc>
      </w:tr>
      <w:tr>
        <w:trPr>
          <w:trHeight w:val="171"/>
        </w:trPr>
        <w:tc>
          <w:tcPr>
            <w:tcW w:w="822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RMB’000</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w w:val="98"/>
              </w:rPr>
              <w:t>RMB’000</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RMB’000</w:t>
            </w: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charge of right-of-use assets by class of underlying asset:</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Properties</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30,035</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34,630</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36,609</w:t>
            </w: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1,713</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1,575</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1,875</w:t>
            </w:r>
          </w:p>
        </w:tc>
      </w:tr>
      <w:tr>
        <w:trPr>
          <w:trHeight w:val="223"/>
        </w:trPr>
        <w:tc>
          <w:tcPr>
            <w:tcW w:w="82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31,748</w:t>
            </w:r>
          </w:p>
        </w:tc>
        <w:tc>
          <w:tcPr>
            <w:tcW w:w="2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36,205</w:t>
            </w: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38,484</w:t>
            </w:r>
          </w:p>
        </w:tc>
        <w:tc>
          <w:tcPr>
            <w:tcW w:w="60" w:type="dxa"/>
            <w:vAlign w:val="bottom"/>
          </w:tcPr>
          <w:p>
            <w:pPr>
              <w:spacing w:after="0"/>
              <w:rPr>
                <w:sz w:val="19"/>
                <w:szCs w:val="19"/>
                <w:color w:val="auto"/>
              </w:rPr>
            </w:pPr>
          </w:p>
        </w:tc>
      </w:tr>
      <w:tr>
        <w:trPr>
          <w:trHeight w:val="20"/>
        </w:trPr>
        <w:tc>
          <w:tcPr>
            <w:tcW w:w="8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lease liabilities (Note 8)</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3,574</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2,853</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2,275</w:t>
            </w:r>
          </w:p>
        </w:tc>
      </w:tr>
      <w:tr>
        <w:trPr>
          <w:trHeight w:val="198"/>
        </w:trPr>
        <w:tc>
          <w:tcPr>
            <w:tcW w:w="8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Expense relating to short-term leases and other leases with remaining lease term ending on or before</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26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933</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1,686</w:t>
            </w:r>
          </w:p>
        </w:tc>
      </w:tr>
      <w:tr>
        <w:trPr>
          <w:trHeight w:val="27"/>
        </w:trPr>
        <w:tc>
          <w:tcPr>
            <w:tcW w:w="8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36,688</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39,991</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42,445</w:t>
            </w:r>
          </w:p>
        </w:tc>
      </w:tr>
      <w:tr>
        <w:trPr>
          <w:trHeight w:val="20"/>
        </w:trPr>
        <w:tc>
          <w:tcPr>
            <w:tcW w:w="8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3" w:lineRule="exact"/>
        <w:rPr>
          <w:sz w:val="20"/>
          <w:szCs w:val="20"/>
          <w:color w:val="auto"/>
        </w:rPr>
      </w:pPr>
    </w:p>
    <w:p>
      <w:pPr>
        <w:jc w:val="center"/>
        <w:ind w:right="380"/>
        <w:spacing w:after="0" w:line="454" w:lineRule="auto"/>
        <w:rPr>
          <w:sz w:val="20"/>
          <w:szCs w:val="20"/>
          <w:color w:val="auto"/>
        </w:rPr>
      </w:pPr>
      <w:r>
        <w:rPr>
          <w:rFonts w:ascii="Times New Roman" w:cs="Times New Roman" w:eastAsia="Times New Roman" w:hAnsi="Times New Roman"/>
          <w:sz w:val="18"/>
          <w:szCs w:val="18"/>
          <w:color w:val="auto"/>
        </w:rPr>
        <w:t>Details of total cash outflow for leases and the maturity analysis of lease liabilities are set out in Note 21(d) and Note 22, respectively. F-45</w:t>
      </w:r>
    </w:p>
    <w:p>
      <w:pPr>
        <w:sectPr>
          <w:pgSz w:w="11900" w:h="16838" w:orient="portrait"/>
          <w:cols w:equalWidth="0" w:num="1">
            <w:col w:w="11140"/>
          </w:cols>
          <w:pgMar w:left="320" w:top="482" w:right="4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Notes:</w:t>
      </w:r>
    </w:p>
    <w:p>
      <w:pPr>
        <w:spacing w:after="0" w:line="131" w:lineRule="exact"/>
        <w:rPr>
          <w:sz w:val="20"/>
          <w:szCs w:val="20"/>
          <w:color w:val="auto"/>
        </w:rPr>
      </w:pPr>
    </w:p>
    <w:p>
      <w:pPr>
        <w:ind w:left="1080" w:hanging="532"/>
        <w:spacing w:after="0"/>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Properties</w:t>
      </w:r>
    </w:p>
    <w:p>
      <w:pPr>
        <w:spacing w:after="0" w:line="117" w:lineRule="exact"/>
        <w:rPr>
          <w:sz w:val="20"/>
          <w:szCs w:val="20"/>
          <w:color w:val="auto"/>
        </w:rPr>
      </w:pPr>
    </w:p>
    <w:p>
      <w:pPr>
        <w:ind w:left="560" w:right="200"/>
        <w:spacing w:after="0" w:line="282" w:lineRule="auto"/>
        <w:rPr>
          <w:sz w:val="20"/>
          <w:szCs w:val="20"/>
          <w:color w:val="auto"/>
        </w:rPr>
      </w:pPr>
      <w:r>
        <w:rPr>
          <w:rFonts w:ascii="Times New Roman" w:cs="Times New Roman" w:eastAsia="Times New Roman" w:hAnsi="Times New Roman"/>
          <w:sz w:val="18"/>
          <w:szCs w:val="18"/>
          <w:color w:val="auto"/>
        </w:rPr>
        <w:t>The Group leases properties for its office premises, staff accommodations and garage. The leases of offices and parking space typically run for a period of one to five years.</w:t>
      </w:r>
    </w:p>
    <w:p>
      <w:pPr>
        <w:spacing w:after="0" w:line="67" w:lineRule="exact"/>
        <w:rPr>
          <w:sz w:val="20"/>
          <w:szCs w:val="20"/>
          <w:color w:val="auto"/>
        </w:rPr>
      </w:pPr>
    </w:p>
    <w:p>
      <w:pPr>
        <w:ind w:left="1080" w:hanging="532"/>
        <w:spacing w:after="0"/>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Vehicles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Group leases vehicles with lease terms of five years.</w:t>
      </w:r>
    </w:p>
    <w:p>
      <w:pPr>
        <w:spacing w:after="0" w:line="37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13</w:t>
        <w:tab/>
        <w:t>Intangible assets</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200" w:type="dxa"/>
            <w:vAlign w:val="bottom"/>
          </w:tcPr>
          <w:p>
            <w:pPr>
              <w:spacing w:after="0"/>
              <w:rPr>
                <w:sz w:val="15"/>
                <w:szCs w:val="15"/>
                <w:color w:val="auto"/>
              </w:rPr>
            </w:pPr>
          </w:p>
        </w:tc>
        <w:tc>
          <w:tcPr>
            <w:tcW w:w="820" w:type="dxa"/>
            <w:vAlign w:val="bottom"/>
            <w:gridSpan w:val="2"/>
          </w:tcPr>
          <w:p>
            <w:pPr>
              <w:jc w:val="right"/>
              <w:ind w:right="241"/>
              <w:spacing w:after="0"/>
              <w:rPr>
                <w:sz w:val="20"/>
                <w:szCs w:val="20"/>
                <w:color w:val="auto"/>
              </w:rPr>
            </w:pPr>
            <w:r>
              <w:rPr>
                <w:rFonts w:ascii="Times New Roman" w:cs="Times New Roman" w:eastAsia="Times New Roman" w:hAnsi="Times New Roman"/>
                <w:sz w:val="14"/>
                <w:szCs w:val="14"/>
                <w:b w:val="1"/>
                <w:bCs w:val="1"/>
                <w:i w:val="1"/>
                <w:iCs w:val="1"/>
                <w:color w:val="auto"/>
              </w:rPr>
              <w:t>Patent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i w:val="1"/>
                <w:iCs w:val="1"/>
                <w:color w:val="auto"/>
              </w:rPr>
              <w:t>Software</w:t>
            </w:r>
          </w:p>
        </w:tc>
        <w:tc>
          <w:tcPr>
            <w:tcW w:w="740" w:type="dxa"/>
            <w:vAlign w:val="bottom"/>
            <w:gridSpan w:val="2"/>
          </w:tcPr>
          <w:p>
            <w:pPr>
              <w:jc w:val="right"/>
              <w:ind w:right="201"/>
              <w:spacing w:after="0"/>
              <w:rPr>
                <w:sz w:val="20"/>
                <w:szCs w:val="20"/>
                <w:color w:val="auto"/>
              </w:rPr>
            </w:pPr>
            <w:r>
              <w:rPr>
                <w:rFonts w:ascii="Times New Roman" w:cs="Times New Roman" w:eastAsia="Times New Roman" w:hAnsi="Times New Roman"/>
                <w:sz w:val="14"/>
                <w:szCs w:val="14"/>
                <w:b w:val="1"/>
                <w:bCs w:val="1"/>
                <w:i w:val="1"/>
                <w:iCs w:val="1"/>
                <w:color w:val="auto"/>
              </w:rPr>
              <w:t>Total</w:t>
            </w:r>
          </w:p>
        </w:tc>
      </w:tr>
      <w:tr>
        <w:trPr>
          <w:trHeight w:val="142"/>
        </w:trPr>
        <w:tc>
          <w:tcPr>
            <w:tcW w:w="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20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20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RMB’000</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324"/>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January 1, 2023</w:t>
            </w: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31,900</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4,251</w:t>
            </w: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36,151</w:t>
            </w: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w:t>
            </w:r>
          </w:p>
        </w:tc>
        <w:tc>
          <w:tcPr>
            <w:tcW w:w="8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304</w:t>
            </w: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304</w:t>
            </w: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Disposals</w:t>
            </w:r>
          </w:p>
        </w:tc>
        <w:tc>
          <w:tcPr>
            <w:tcW w:w="8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8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w:t>
            </w: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230"/>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31,900</w:t>
            </w:r>
          </w:p>
        </w:tc>
        <w:tc>
          <w:tcPr>
            <w:tcW w:w="20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4,474</w:t>
            </w:r>
          </w:p>
        </w:tc>
        <w:tc>
          <w:tcPr>
            <w:tcW w:w="20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36,374</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w:t>
            </w:r>
          </w:p>
        </w:tc>
        <w:tc>
          <w:tcPr>
            <w:tcW w:w="8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1,504</w:t>
            </w: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1,504</w:t>
            </w: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Disposals</w:t>
            </w:r>
          </w:p>
        </w:tc>
        <w:tc>
          <w:tcPr>
            <w:tcW w:w="8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8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19</w:t>
            </w:r>
          </w:p>
        </w:tc>
      </w:tr>
      <w:tr>
        <w:trPr>
          <w:trHeight w:val="230"/>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31,900</w:t>
            </w:r>
          </w:p>
        </w:tc>
        <w:tc>
          <w:tcPr>
            <w:tcW w:w="20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5,894</w:t>
            </w:r>
          </w:p>
        </w:tc>
        <w:tc>
          <w:tcPr>
            <w:tcW w:w="20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37,794</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324"/>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January 1, 2023</w:t>
            </w:r>
          </w:p>
        </w:tc>
        <w:tc>
          <w:tcPr>
            <w:tcW w:w="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(5,982)</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(1,566)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(7,548)</w:t>
            </w: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8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(3,987)</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(328)</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(4,315)</w:t>
            </w:r>
          </w:p>
        </w:tc>
      </w:tr>
      <w:tr>
        <w:trPr>
          <w:trHeight w:val="230"/>
        </w:trPr>
        <w:tc>
          <w:tcPr>
            <w:tcW w:w="20" w:type="dxa"/>
            <w:vAlign w:val="bottom"/>
          </w:tcPr>
          <w:p>
            <w:pPr>
              <w:spacing w:after="0"/>
              <w:rPr>
                <w:sz w:val="19"/>
                <w:szCs w:val="19"/>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Disposals</w:t>
            </w:r>
          </w:p>
        </w:tc>
        <w:tc>
          <w:tcPr>
            <w:tcW w:w="8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w:t>
            </w: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8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r>
      <w:tr>
        <w:trPr>
          <w:trHeight w:val="230"/>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(9,969)</w:t>
            </w:r>
          </w:p>
        </w:tc>
        <w:tc>
          <w:tcPr>
            <w:tcW w:w="20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(1,811)</w:t>
            </w:r>
          </w:p>
        </w:tc>
        <w:tc>
          <w:tcPr>
            <w:tcW w:w="20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(11,780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8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(3,988)</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(347)</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(4,335)</w:t>
            </w: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Disposals</w:t>
            </w:r>
          </w:p>
        </w:tc>
        <w:tc>
          <w:tcPr>
            <w:tcW w:w="8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8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230"/>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(13,957</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(2,173)</w:t>
            </w:r>
          </w:p>
        </w:tc>
        <w:tc>
          <w:tcPr>
            <w:tcW w:w="20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(16,130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Carrying amounts: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324"/>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21,931</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2,663</w:t>
            </w: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24,594</w:t>
            </w: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17,943</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3,721</w:t>
            </w: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21,664</w:t>
            </w: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121" w:lineRule="exact"/>
        <w:rPr>
          <w:rFonts w:ascii="Times New Roman" w:cs="Times New Roman" w:eastAsia="Times New Roman" w:hAnsi="Times New Roman"/>
          <w:sz w:val="18"/>
          <w:szCs w:val="18"/>
          <w:b w:val="1"/>
          <w:bCs w:val="1"/>
          <w:color w:val="auto"/>
        </w:rPr>
      </w:pPr>
    </w:p>
    <w:p>
      <w:pPr>
        <w:ind w:left="56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goodwill arises from its business acquisition in 2021. As the acquisition gave an extra boost to the Group’s research and development capabilities, the business of the acquired companies was integrated into the Group’s businesses to provide autonomous driving technology related solutions after the business acquisition. The Group has determined that the overall business constitutes one single CGU, named Auto-driving CGU. All the goodwill has been allocated to the Auto-driving CGU.</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140"/>
          </w:cols>
          <w:pgMar w:left="320" w:top="482" w:right="4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Impairment test of goodwill</w:t>
      </w:r>
    </w:p>
    <w:p>
      <w:pPr>
        <w:spacing w:after="0" w:line="119" w:lineRule="exact"/>
        <w:rPr>
          <w:sz w:val="20"/>
          <w:szCs w:val="20"/>
          <w:color w:val="auto"/>
        </w:rPr>
      </w:pPr>
    </w:p>
    <w:p>
      <w:pPr>
        <w:ind w:left="560" w:right="40"/>
        <w:spacing w:after="0" w:line="258" w:lineRule="auto"/>
        <w:rPr>
          <w:sz w:val="20"/>
          <w:szCs w:val="20"/>
          <w:color w:val="auto"/>
        </w:rPr>
      </w:pPr>
      <w:r>
        <w:rPr>
          <w:rFonts w:ascii="Times New Roman" w:cs="Times New Roman" w:eastAsia="Times New Roman" w:hAnsi="Times New Roman"/>
          <w:sz w:val="18"/>
          <w:szCs w:val="18"/>
          <w:color w:val="auto"/>
        </w:rPr>
        <w:t>The recoverable amounts of the Auto-driving CGU are determined based on the higher of value-in-use and the fair value less costs of disposal. These calculations use cash flow projections based on financial budgets approved by the management covering a period of five years. Cash flows beyond the budget period are extrapolated using an estimated growth rate which is consistent with long-term average growth rates for the business in which the Auto-driving CGU operates. The cash flows are discounted using a discount rate. The discount rate used is pre-tax and reflects specific risks relating to the Auto-driving CGU.</w:t>
      </w:r>
    </w:p>
    <w:p>
      <w:pPr>
        <w:spacing w:after="0" w:line="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Key assumptions used for the annual impairment test of goodwill were as follows:</w:t>
      </w:r>
    </w:p>
    <w:p>
      <w:pPr>
        <w:spacing w:after="0" w:line="246"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4"/>
          <w:szCs w:val="14"/>
          <w:i w:val="1"/>
          <w:i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7620</wp:posOffset>
            </wp:positionV>
            <wp:extent cx="89154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6">
                      <a:extLst>
                        <a:ext uri="{28A0092B-C50C-407E-A947-70E740481C1C}"/>
                      </a:extLst>
                    </a:blip>
                    <a:srcRect/>
                    <a:stretch>
                      <a:fillRect/>
                    </a:stretch>
                  </pic:blipFill>
                  <pic:spPr bwMode="auto">
                    <a:xfrm>
                      <a:off x="0" y="0"/>
                      <a:ext cx="891540" cy="8890"/>
                    </a:xfrm>
                    <a:prstGeom prst="rect">
                      <a:avLst/>
                    </a:prstGeom>
                    <a:noFill/>
                  </pic:spPr>
                </pic:pic>
              </a:graphicData>
            </a:graphic>
          </wp:anchor>
        </w:drawing>
      </w:r>
    </w:p>
    <w:p>
      <w:pPr>
        <w:ind w:left="9660"/>
        <w:spacing w:after="0"/>
        <w:tabs>
          <w:tab w:leader="none" w:pos="10480" w:val="left"/>
        </w:tabs>
        <w:rPr>
          <w:sz w:val="20"/>
          <w:szCs w:val="20"/>
          <w:color w:val="auto"/>
        </w:rPr>
      </w:pPr>
      <w:r>
        <w:rPr>
          <w:rFonts w:ascii="Times New Roman" w:cs="Times New Roman" w:eastAsia="Times New Roman" w:hAnsi="Times New Roman"/>
          <w:sz w:val="14"/>
          <w:szCs w:val="14"/>
          <w:i w:val="1"/>
          <w:iCs w:val="1"/>
          <w:color w:val="auto"/>
        </w:rPr>
        <w:t>2023</w:t>
      </w:r>
      <w:r>
        <w:rPr>
          <w:sz w:val="20"/>
          <w:szCs w:val="20"/>
          <w:color w:val="auto"/>
        </w:rPr>
        <w:tab/>
      </w:r>
      <w:r>
        <w:rPr>
          <w:rFonts w:ascii="Times New Roman" w:cs="Times New Roman" w:eastAsia="Times New Roman" w:hAnsi="Times New Roman"/>
          <w:sz w:val="14"/>
          <w:szCs w:val="14"/>
          <w:i w:val="1"/>
          <w:iCs w:val="1"/>
          <w:color w:val="auto"/>
        </w:rPr>
        <w:t>2024</w:t>
      </w:r>
    </w:p>
    <w:p>
      <w:pPr>
        <w:spacing w:after="0" w:line="9"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discount rate</w:t>
            </w:r>
          </w:p>
        </w:tc>
        <w:tc>
          <w:tcPr>
            <w:tcW w:w="4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18.6%</w:t>
            </w: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Estimated growth rate</w:t>
            </w:r>
          </w:p>
        </w:tc>
        <w:tc>
          <w:tcPr>
            <w:tcW w:w="4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71" w:lineRule="exact"/>
        <w:rPr>
          <w:sz w:val="20"/>
          <w:szCs w:val="20"/>
          <w:color w:val="auto"/>
        </w:rPr>
      </w:pPr>
    </w:p>
    <w:p>
      <w:pPr>
        <w:ind w:left="560" w:right="40"/>
        <w:spacing w:after="0" w:line="261" w:lineRule="auto"/>
        <w:rPr>
          <w:sz w:val="20"/>
          <w:szCs w:val="20"/>
          <w:color w:val="auto"/>
        </w:rPr>
      </w:pPr>
      <w:r>
        <w:rPr>
          <w:rFonts w:ascii="Times New Roman" w:cs="Times New Roman" w:eastAsia="Times New Roman" w:hAnsi="Times New Roman"/>
          <w:sz w:val="18"/>
          <w:szCs w:val="18"/>
          <w:color w:val="auto"/>
        </w:rPr>
        <w:t>Based on the impairment test performed, the recoverable amount of the Auto-driving CGU exceeded the carrying amount as of December 31, 2023 and 2024, respectively. Therefore, management determined that goodwill was not impaired as of December 31, 2023 and 2024. Based on the management’s expectations reasonably possible changes in key assumptions disclosed above would not cause the carrying amount of the Auto-driving CGU to exceed its recoverable amount.</w:t>
      </w:r>
    </w:p>
    <w:p>
      <w:pPr>
        <w:spacing w:after="0" w:line="324"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15</w:t>
        <w:tab/>
        <w:t>Restricted cash</w:t>
      </w:r>
    </w:p>
    <w:p>
      <w:pPr>
        <w:spacing w:after="0" w:line="250"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060" w:type="dxa"/>
            <w:vAlign w:val="bottom"/>
          </w:tcPr>
          <w:p>
            <w:pPr>
              <w:spacing w:after="0"/>
              <w:rPr>
                <w:sz w:val="15"/>
                <w:szCs w:val="15"/>
                <w:color w:val="auto"/>
              </w:rPr>
            </w:pPr>
          </w:p>
        </w:tc>
        <w:tc>
          <w:tcPr>
            <w:tcW w:w="1500" w:type="dxa"/>
            <w:vAlign w:val="bottom"/>
            <w:gridSpan w:val="5"/>
          </w:tcPr>
          <w:p>
            <w:pPr>
              <w:ind w:left="140"/>
              <w:spacing w:after="0"/>
              <w:rPr>
                <w:sz w:val="20"/>
                <w:szCs w:val="20"/>
                <w:color w:val="auto"/>
              </w:rPr>
            </w:pPr>
            <w:r>
              <w:rPr>
                <w:rFonts w:ascii="Times New Roman" w:cs="Times New Roman" w:eastAsia="Times New Roman" w:hAnsi="Times New Roman"/>
                <w:sz w:val="14"/>
                <w:szCs w:val="14"/>
                <w:i w:val="1"/>
                <w:iCs w:val="1"/>
                <w:color w:val="auto"/>
              </w:rPr>
              <w:t>As of December 31,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060" w:type="dxa"/>
            <w:vAlign w:val="bottom"/>
          </w:tcPr>
          <w:p>
            <w:pPr>
              <w:spacing w:after="0"/>
              <w:rPr>
                <w:sz w:val="10"/>
                <w:szCs w:val="10"/>
                <w:color w:val="auto"/>
              </w:rPr>
            </w:pPr>
          </w:p>
        </w:tc>
        <w:tc>
          <w:tcPr>
            <w:tcW w:w="580" w:type="dxa"/>
            <w:vAlign w:val="bottom"/>
            <w:tcBorders>
              <w:top w:val="single" w:sz="8" w:color="auto"/>
            </w:tcBorders>
          </w:tcPr>
          <w:p>
            <w:pPr>
              <w:ind w:left="140"/>
              <w:spacing w:after="0" w:line="119" w:lineRule="exact"/>
              <w:rPr>
                <w:sz w:val="20"/>
                <w:szCs w:val="20"/>
                <w:color w:val="auto"/>
              </w:rPr>
            </w:pPr>
            <w:r>
              <w:rPr>
                <w:rFonts w:ascii="Times New Roman" w:cs="Times New Roman" w:eastAsia="Times New Roman" w:hAnsi="Times New Roman"/>
                <w:sz w:val="13"/>
                <w:szCs w:val="13"/>
                <w:i w:val="1"/>
                <w:iCs w:val="1"/>
                <w:color w:val="auto"/>
              </w:rPr>
              <w:t>2023</w:t>
            </w: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75"/>
              <w:spacing w:after="0" w:line="119" w:lineRule="exact"/>
              <w:rPr>
                <w:sz w:val="20"/>
                <w:szCs w:val="20"/>
                <w:color w:val="auto"/>
              </w:rPr>
            </w:pPr>
            <w:r>
              <w:rPr>
                <w:rFonts w:ascii="Times New Roman" w:cs="Times New Roman" w:eastAsia="Times New Roman" w:hAnsi="Times New Roman"/>
                <w:sz w:val="13"/>
                <w:szCs w:val="13"/>
                <w:i w:val="1"/>
                <w:iCs w:val="1"/>
                <w:color w:val="auto"/>
              </w:rPr>
              <w:t>2024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w w:val="98"/>
              </w:rPr>
              <w:t>RMB’000</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Deposits for renting office (Note (i))</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1,575</w:t>
            </w:r>
          </w:p>
        </w:tc>
        <w:tc>
          <w:tcPr>
            <w:tcW w:w="2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for others</w:t>
            </w:r>
          </w:p>
        </w:tc>
        <w:tc>
          <w:tcPr>
            <w:tcW w:w="8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90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Deposits for renting office (Note (i))</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6,537</w:t>
            </w:r>
          </w:p>
        </w:tc>
        <w:tc>
          <w:tcPr>
            <w:tcW w:w="24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card and other deposits</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3,657</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10,194</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Notes:</w:t>
      </w:r>
    </w:p>
    <w:p>
      <w:pPr>
        <w:spacing w:after="0" w:line="131" w:lineRule="exact"/>
        <w:rPr>
          <w:sz w:val="20"/>
          <w:szCs w:val="20"/>
          <w:color w:val="auto"/>
        </w:rPr>
      </w:pPr>
    </w:p>
    <w:p>
      <w:pPr>
        <w:ind w:left="1080" w:hanging="532"/>
        <w:spacing w:after="0"/>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for renting office represents cash held in collateral bank accounts in the U.S. with designated usage of deposits for renting office.</w:t>
      </w:r>
    </w:p>
    <w:p>
      <w:pPr>
        <w:spacing w:after="0" w:line="37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w:t>
            </w:r>
          </w:p>
        </w:tc>
        <w:tc>
          <w:tcPr>
            <w:tcW w:w="92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38"/>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w:t>
            </w:r>
          </w:p>
        </w:tc>
        <w:tc>
          <w:tcPr>
            <w:tcW w:w="92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Inventories comprise:</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80" w:type="dxa"/>
            <w:vAlign w:val="bottom"/>
          </w:tcPr>
          <w:p>
            <w:pPr>
              <w:spacing w:after="0"/>
              <w:rPr>
                <w:sz w:val="24"/>
                <w:szCs w:val="24"/>
                <w:color w:val="auto"/>
              </w:rPr>
            </w:pPr>
          </w:p>
        </w:tc>
        <w:tc>
          <w:tcPr>
            <w:tcW w:w="1500" w:type="dxa"/>
            <w:vAlign w:val="bottom"/>
            <w:gridSpan w:val="4"/>
          </w:tcPr>
          <w:p>
            <w:pPr>
              <w:ind w:left="140"/>
              <w:spacing w:after="0"/>
              <w:rPr>
                <w:sz w:val="20"/>
                <w:szCs w:val="20"/>
                <w:color w:val="auto"/>
              </w:rPr>
            </w:pPr>
            <w:r>
              <w:rPr>
                <w:rFonts w:ascii="Times New Roman" w:cs="Times New Roman" w:eastAsia="Times New Roman" w:hAnsi="Times New Roman"/>
                <w:sz w:val="14"/>
                <w:szCs w:val="14"/>
                <w:i w:val="1"/>
                <w:iCs w:val="1"/>
                <w:color w:val="auto"/>
              </w:rPr>
              <w:t>As of December 31,</w:t>
            </w:r>
          </w:p>
        </w:tc>
      </w:tr>
      <w:tr>
        <w:trPr>
          <w:trHeight w:val="119"/>
        </w:trPr>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80" w:type="dxa"/>
            <w:vAlign w:val="bottom"/>
          </w:tcPr>
          <w:p>
            <w:pPr>
              <w:spacing w:after="0"/>
              <w:rPr>
                <w:sz w:val="10"/>
                <w:szCs w:val="10"/>
                <w:color w:val="auto"/>
              </w:rPr>
            </w:pPr>
          </w:p>
        </w:tc>
        <w:tc>
          <w:tcPr>
            <w:tcW w:w="640" w:type="dxa"/>
            <w:vAlign w:val="bottom"/>
            <w:tcBorders>
              <w:top w:val="single" w:sz="8" w:color="auto"/>
            </w:tcBorders>
          </w:tcPr>
          <w:p>
            <w:pPr>
              <w:jc w:val="right"/>
              <w:ind w:right="100"/>
              <w:spacing w:after="0" w:line="119" w:lineRule="exact"/>
              <w:rPr>
                <w:sz w:val="20"/>
                <w:szCs w:val="20"/>
                <w:color w:val="auto"/>
              </w:rPr>
            </w:pPr>
            <w:r>
              <w:rPr>
                <w:rFonts w:ascii="Times New Roman" w:cs="Times New Roman" w:eastAsia="Times New Roman" w:hAnsi="Times New Roman"/>
                <w:sz w:val="13"/>
                <w:szCs w:val="13"/>
                <w:i w:val="1"/>
                <w:iCs w:val="1"/>
                <w:color w:val="auto"/>
              </w:rPr>
              <w:t>2023</w:t>
            </w: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98"/>
              <w:spacing w:after="0" w:line="119" w:lineRule="exact"/>
              <w:rPr>
                <w:sz w:val="20"/>
                <w:szCs w:val="20"/>
                <w:color w:val="auto"/>
              </w:rPr>
            </w:pPr>
            <w:r>
              <w:rPr>
                <w:rFonts w:ascii="Times New Roman" w:cs="Times New Roman" w:eastAsia="Times New Roman" w:hAnsi="Times New Roman"/>
                <w:sz w:val="13"/>
                <w:szCs w:val="13"/>
                <w:i w:val="1"/>
                <w:iCs w:val="1"/>
                <w:color w:val="auto"/>
              </w:rPr>
              <w:t>2024</w:t>
            </w:r>
          </w:p>
        </w:tc>
        <w:tc>
          <w:tcPr>
            <w:tcW w:w="60" w:type="dxa"/>
            <w:vAlign w:val="bottom"/>
          </w:tcPr>
          <w:p>
            <w:pPr>
              <w:spacing w:after="0"/>
              <w:rPr>
                <w:sz w:val="10"/>
                <w:szCs w:val="10"/>
                <w:color w:val="auto"/>
              </w:rPr>
            </w:pPr>
          </w:p>
        </w:tc>
      </w:tr>
      <w:tr>
        <w:trPr>
          <w:trHeight w:val="171"/>
        </w:trPr>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RMB’000</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RMB’000</w:t>
            </w:r>
          </w:p>
        </w:tc>
      </w:tr>
      <w:tr>
        <w:trPr>
          <w:trHeight w:val="216"/>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supplies</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58,151</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76,961</w:t>
            </w:r>
          </w:p>
        </w:tc>
      </w:tr>
      <w:tr>
        <w:trPr>
          <w:trHeight w:val="216"/>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 (Note (i))</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160,069</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127,744</w:t>
            </w:r>
          </w:p>
        </w:tc>
      </w:tr>
      <w:tr>
        <w:trPr>
          <w:trHeight w:val="27"/>
        </w:trPr>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218,220</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204,705</w:t>
            </w:r>
          </w:p>
        </w:tc>
      </w:tr>
      <w:tr>
        <w:trPr>
          <w:trHeight w:val="20"/>
        </w:trPr>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Note:</w:t>
      </w:r>
    </w:p>
    <w:p>
      <w:pPr>
        <w:spacing w:after="0" w:line="131" w:lineRule="exact"/>
        <w:rPr>
          <w:sz w:val="20"/>
          <w:szCs w:val="20"/>
          <w:color w:val="auto"/>
        </w:rPr>
      </w:pPr>
    </w:p>
    <w:p>
      <w:pPr>
        <w:ind w:left="5460" w:right="5240" w:hanging="4912"/>
        <w:spacing w:after="0" w:line="495" w:lineRule="auto"/>
        <w:tabs>
          <w:tab w:leader="none" w:pos="1094"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Work in progress represents vehicles in the process of deployment. F-47</w:t>
      </w:r>
    </w:p>
    <w:p>
      <w:pPr>
        <w:sectPr>
          <w:pgSz w:w="11900" w:h="16838" w:orient="portrait"/>
          <w:cols w:equalWidth="0" w:num="1">
            <w:col w:w="11140"/>
          </w:cols>
          <w:pgMar w:left="320" w:top="482" w:right="4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18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The analysis of the amount of inventories recognized as cost of revenue and included in profit or loss is as follows: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160" w:type="dxa"/>
            <w:vAlign w:val="bottom"/>
          </w:tcPr>
          <w:p>
            <w:pPr>
              <w:spacing w:after="0"/>
              <w:rPr>
                <w:sz w:val="15"/>
                <w:szCs w:val="15"/>
                <w:color w:val="auto"/>
              </w:rPr>
            </w:pPr>
          </w:p>
        </w:tc>
        <w:tc>
          <w:tcPr>
            <w:tcW w:w="242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c>
          <w:tcPr>
            <w:tcW w:w="0" w:type="dxa"/>
            <w:vAlign w:val="bottom"/>
          </w:tcPr>
          <w:p>
            <w:pPr>
              <w:spacing w:after="0"/>
              <w:rPr>
                <w:sz w:val="1"/>
                <w:szCs w:val="1"/>
                <w:color w:val="auto"/>
              </w:rPr>
            </w:pPr>
          </w:p>
        </w:tc>
      </w:tr>
      <w:tr>
        <w:trPr>
          <w:trHeight w:val="119"/>
        </w:trPr>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160" w:type="dxa"/>
            <w:vAlign w:val="bottom"/>
          </w:tcPr>
          <w:p>
            <w:pPr>
              <w:spacing w:after="0"/>
              <w:rPr>
                <w:sz w:val="10"/>
                <w:szCs w:val="10"/>
                <w:color w:val="auto"/>
              </w:rPr>
            </w:pPr>
          </w:p>
        </w:tc>
        <w:tc>
          <w:tcPr>
            <w:tcW w:w="660" w:type="dxa"/>
            <w:vAlign w:val="bottom"/>
            <w:tcBorders>
              <w:top w:val="single" w:sz="8" w:color="auto"/>
            </w:tcBorders>
          </w:tcPr>
          <w:p>
            <w:pPr>
              <w:jc w:val="right"/>
              <w:ind w:right="100"/>
              <w:spacing w:after="0" w:line="119" w:lineRule="exact"/>
              <w:rPr>
                <w:sz w:val="20"/>
                <w:szCs w:val="20"/>
                <w:color w:val="auto"/>
              </w:rPr>
            </w:pPr>
            <w:r>
              <w:rPr>
                <w:rFonts w:ascii="Times New Roman" w:cs="Times New Roman" w:eastAsia="Times New Roman" w:hAnsi="Times New Roman"/>
                <w:sz w:val="13"/>
                <w:szCs w:val="13"/>
                <w:i w:val="1"/>
                <w:iCs w:val="1"/>
                <w:color w:val="auto"/>
              </w:rPr>
              <w:t>2022</w:t>
            </w:r>
          </w:p>
        </w:tc>
        <w:tc>
          <w:tcPr>
            <w:tcW w:w="2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57"/>
              <w:spacing w:after="0" w:line="119" w:lineRule="exact"/>
              <w:rPr>
                <w:sz w:val="20"/>
                <w:szCs w:val="20"/>
                <w:color w:val="auto"/>
              </w:rPr>
            </w:pPr>
            <w:r>
              <w:rPr>
                <w:rFonts w:ascii="Times New Roman" w:cs="Times New Roman" w:eastAsia="Times New Roman" w:hAnsi="Times New Roman"/>
                <w:sz w:val="13"/>
                <w:szCs w:val="13"/>
                <w:i w:val="1"/>
                <w:iCs w:val="1"/>
                <w:color w:val="auto"/>
              </w:rPr>
              <w:t>2023</w:t>
            </w:r>
          </w:p>
        </w:tc>
        <w:tc>
          <w:tcPr>
            <w:tcW w:w="2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16"/>
              <w:spacing w:after="0" w:line="119" w:lineRule="exact"/>
              <w:rPr>
                <w:sz w:val="20"/>
                <w:szCs w:val="20"/>
                <w:color w:val="auto"/>
              </w:rPr>
            </w:pPr>
            <w:r>
              <w:rPr>
                <w:rFonts w:ascii="Times New Roman" w:cs="Times New Roman" w:eastAsia="Times New Roman" w:hAnsi="Times New Roman"/>
                <w:sz w:val="13"/>
                <w:szCs w:val="13"/>
                <w:i w:val="1"/>
                <w:iCs w:val="1"/>
                <w:color w:val="auto"/>
              </w:rPr>
              <w:t>2024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RMB’000</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w w:val="98"/>
              </w:rPr>
              <w:t>RMB’000</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amounts of inventories sold</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192,523</w:t>
            </w: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27,739</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46,055</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Write down of inventories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6,399</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25,661</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192,523</w:t>
            </w:r>
          </w:p>
        </w:tc>
        <w:tc>
          <w:tcPr>
            <w:tcW w:w="2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34,138</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71,716</w:t>
            </w: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17</w:t>
            </w:r>
          </w:p>
        </w:tc>
        <w:tc>
          <w:tcPr>
            <w:tcW w:w="8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Contract assets and contract liabilities</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320" w:type="dxa"/>
            <w:vAlign w:val="bottom"/>
            <w:vMerge w:val="continue"/>
          </w:tcPr>
          <w:p>
            <w:pPr>
              <w:spacing w:after="0"/>
              <w:rPr>
                <w:sz w:val="24"/>
                <w:szCs w:val="24"/>
                <w:color w:val="auto"/>
              </w:rPr>
            </w:pPr>
          </w:p>
        </w:tc>
        <w:tc>
          <w:tcPr>
            <w:tcW w:w="828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w:t>
            </w:r>
          </w:p>
        </w:tc>
        <w:tc>
          <w:tcPr>
            <w:tcW w:w="8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Contract assets</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i w:val="1"/>
                <w:iCs w:val="1"/>
                <w:color w:val="auto"/>
              </w:rPr>
              <w:t>As of December 31,</w:t>
            </w:r>
          </w:p>
        </w:tc>
        <w:tc>
          <w:tcPr>
            <w:tcW w:w="0" w:type="dxa"/>
            <w:vAlign w:val="bottom"/>
          </w:tcPr>
          <w:p>
            <w:pPr>
              <w:spacing w:after="0"/>
              <w:rPr>
                <w:sz w:val="1"/>
                <w:szCs w:val="1"/>
                <w:color w:val="auto"/>
              </w:rPr>
            </w:pPr>
          </w:p>
        </w:tc>
      </w:tr>
      <w:tr>
        <w:trPr>
          <w:trHeight w:val="119"/>
        </w:trPr>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Borders>
              <w:top w:val="single" w:sz="8" w:color="auto"/>
            </w:tcBorders>
          </w:tcPr>
          <w:p>
            <w:pPr>
              <w:jc w:val="right"/>
              <w:ind w:right="57"/>
              <w:spacing w:after="0" w:line="119" w:lineRule="exact"/>
              <w:rPr>
                <w:sz w:val="20"/>
                <w:szCs w:val="20"/>
                <w:color w:val="auto"/>
              </w:rPr>
            </w:pPr>
            <w:r>
              <w:rPr>
                <w:rFonts w:ascii="Times New Roman" w:cs="Times New Roman" w:eastAsia="Times New Roman" w:hAnsi="Times New Roman"/>
                <w:sz w:val="13"/>
                <w:szCs w:val="13"/>
                <w:i w:val="1"/>
                <w:iCs w:val="1"/>
                <w:color w:val="auto"/>
              </w:rPr>
              <w:t>2023</w:t>
            </w:r>
          </w:p>
        </w:tc>
        <w:tc>
          <w:tcPr>
            <w:tcW w:w="2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56"/>
              <w:spacing w:after="0" w:line="119" w:lineRule="exact"/>
              <w:rPr>
                <w:sz w:val="20"/>
                <w:szCs w:val="20"/>
                <w:color w:val="auto"/>
              </w:rPr>
            </w:pPr>
            <w:r>
              <w:rPr>
                <w:rFonts w:ascii="Times New Roman" w:cs="Times New Roman" w:eastAsia="Times New Roman" w:hAnsi="Times New Roman"/>
                <w:sz w:val="13"/>
                <w:szCs w:val="13"/>
                <w:i w:val="1"/>
                <w:iCs w:val="1"/>
                <w:color w:val="auto"/>
              </w:rPr>
              <w:t>2024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w w:val="98"/>
              </w:rPr>
              <w:t>RMB’000</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1"/>
              </w:rPr>
              <w:t>RMB’000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Contract assets</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20" w:type="dxa"/>
            <w:vAlign w:val="bottom"/>
          </w:tcPr>
          <w:p>
            <w:pPr>
              <w:spacing w:after="0"/>
              <w:rPr>
                <w:sz w:val="24"/>
                <w:szCs w:val="24"/>
                <w:color w:val="auto"/>
              </w:rPr>
            </w:pPr>
          </w:p>
        </w:tc>
        <w:tc>
          <w:tcPr>
            <w:tcW w:w="8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Arising from sales of autonomous driving vehicles</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14,751</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Arising from provision of services</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77,841</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18,280</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Less: loss allowance (Note 31(a))</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(9,516)</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(9,647)</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83,076</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28,566</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Current portion</w:t>
            </w: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828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82,826</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portion (Note19)</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250</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60" w:right="100"/>
        <w:spacing w:after="0" w:line="266" w:lineRule="auto"/>
        <w:rPr>
          <w:sz w:val="20"/>
          <w:szCs w:val="20"/>
          <w:color w:val="auto"/>
        </w:rPr>
      </w:pPr>
      <w:r>
        <w:rPr>
          <w:rFonts w:ascii="Times New Roman" w:cs="Times New Roman" w:eastAsia="Times New Roman" w:hAnsi="Times New Roman"/>
          <w:sz w:val="18"/>
          <w:szCs w:val="18"/>
          <w:color w:val="auto"/>
        </w:rPr>
        <w:t>All of the amounts are expected to be recovered within one year from the end of each of the reporting year, except for the amounts of RMB250 thousand and RMB561 thousand as of December 31, 2023 and 2024 related to retentions included in other non-current assets, which are expected to be recovered over one year.</w:t>
      </w:r>
    </w:p>
    <w:p>
      <w:pPr>
        <w:spacing w:after="0" w:line="68" w:lineRule="exact"/>
        <w:rPr>
          <w:sz w:val="20"/>
          <w:szCs w:val="20"/>
          <w:color w:val="auto"/>
        </w:rPr>
      </w:pPr>
    </w:p>
    <w:p>
      <w:pPr>
        <w:ind w:left="560" w:right="160"/>
        <w:spacing w:after="0" w:line="261" w:lineRule="auto"/>
        <w:rPr>
          <w:sz w:val="20"/>
          <w:szCs w:val="20"/>
          <w:color w:val="auto"/>
        </w:rPr>
      </w:pPr>
      <w:r>
        <w:rPr>
          <w:rFonts w:ascii="Times New Roman" w:cs="Times New Roman" w:eastAsia="Times New Roman" w:hAnsi="Times New Roman"/>
          <w:sz w:val="18"/>
          <w:szCs w:val="18"/>
          <w:color w:val="auto"/>
        </w:rPr>
        <w:t>The Group typically agrees to a retention period between one to three years for the sales of autonomous driving vehicles after the autonomous driving vehicles have been accepted by the customers upon the completion of the landing deployment services by the Group. The related retentions are included in the contract assets until the end of the retention period as the Group’s entitlement to the retentions is conditional on the Group’s work satisfactorily passing retention period. Based on historical experience the Group was able to collect the retentions.</w:t>
      </w:r>
    </w:p>
    <w:p>
      <w:pPr>
        <w:spacing w:after="0" w:line="180" w:lineRule="exact"/>
        <w:rPr>
          <w:sz w:val="20"/>
          <w:szCs w:val="20"/>
          <w:color w:val="auto"/>
        </w:rPr>
      </w:pPr>
    </w:p>
    <w:p>
      <w:pPr>
        <w:ind w:left="560" w:right="20"/>
        <w:spacing w:after="0" w:line="282" w:lineRule="auto"/>
        <w:rPr>
          <w:sz w:val="20"/>
          <w:szCs w:val="20"/>
          <w:color w:val="auto"/>
        </w:rPr>
      </w:pPr>
      <w:r>
        <w:rPr>
          <w:rFonts w:ascii="Times New Roman" w:cs="Times New Roman" w:eastAsia="Times New Roman" w:hAnsi="Times New Roman"/>
          <w:sz w:val="18"/>
          <w:szCs w:val="18"/>
          <w:color w:val="auto"/>
        </w:rPr>
        <w:t>In addition, the Group’s service contracts include payment schedules which require stage payments over the service period once the milestones are reached.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140"/>
          </w:cols>
          <w:pgMar w:left="320" w:top="482" w:right="4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(b)</w:t>
        <w:tab/>
        <w:t>Contract liabilities</w:t>
      </w:r>
    </w:p>
    <w:p>
      <w:pPr>
        <w:spacing w:after="0" w:line="250"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9080" w:type="dxa"/>
            <w:vAlign w:val="bottom"/>
          </w:tcPr>
          <w:p>
            <w:pPr>
              <w:spacing w:after="0"/>
              <w:rPr>
                <w:sz w:val="15"/>
                <w:szCs w:val="15"/>
                <w:color w:val="auto"/>
              </w:rPr>
            </w:pPr>
          </w:p>
        </w:tc>
        <w:tc>
          <w:tcPr>
            <w:tcW w:w="1500" w:type="dxa"/>
            <w:vAlign w:val="bottom"/>
            <w:gridSpan w:val="5"/>
          </w:tcPr>
          <w:p>
            <w:pPr>
              <w:ind w:left="140"/>
              <w:spacing w:after="0"/>
              <w:rPr>
                <w:sz w:val="20"/>
                <w:szCs w:val="20"/>
                <w:color w:val="auto"/>
              </w:rPr>
            </w:pPr>
            <w:r>
              <w:rPr>
                <w:rFonts w:ascii="Times New Roman" w:cs="Times New Roman" w:eastAsia="Times New Roman" w:hAnsi="Times New Roman"/>
                <w:sz w:val="14"/>
                <w:szCs w:val="14"/>
                <w:i w:val="1"/>
                <w:iCs w:val="1"/>
                <w:color w:val="auto"/>
              </w:rPr>
              <w:t>As of December 31,</w:t>
            </w:r>
          </w:p>
        </w:tc>
      </w:tr>
      <w:tr>
        <w:trPr>
          <w:trHeight w:val="119"/>
        </w:trPr>
        <w:tc>
          <w:tcPr>
            <w:tcW w:w="9080" w:type="dxa"/>
            <w:vAlign w:val="bottom"/>
          </w:tcPr>
          <w:p>
            <w:pPr>
              <w:spacing w:after="0"/>
              <w:rPr>
                <w:sz w:val="10"/>
                <w:szCs w:val="10"/>
                <w:color w:val="auto"/>
              </w:rPr>
            </w:pPr>
          </w:p>
        </w:tc>
        <w:tc>
          <w:tcPr>
            <w:tcW w:w="580" w:type="dxa"/>
            <w:vAlign w:val="bottom"/>
            <w:tcBorders>
              <w:top w:val="single" w:sz="8" w:color="auto"/>
            </w:tcBorders>
          </w:tcPr>
          <w:p>
            <w:pPr>
              <w:ind w:left="140"/>
              <w:spacing w:after="0" w:line="119" w:lineRule="exact"/>
              <w:rPr>
                <w:sz w:val="20"/>
                <w:szCs w:val="20"/>
                <w:color w:val="auto"/>
              </w:rPr>
            </w:pPr>
            <w:r>
              <w:rPr>
                <w:rFonts w:ascii="Times New Roman" w:cs="Times New Roman" w:eastAsia="Times New Roman" w:hAnsi="Times New Roman"/>
                <w:sz w:val="13"/>
                <w:szCs w:val="13"/>
                <w:i w:val="1"/>
                <w:iCs w:val="1"/>
                <w:color w:val="auto"/>
              </w:rPr>
              <w:t>2023</w:t>
            </w: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78"/>
              <w:spacing w:after="0" w:line="119" w:lineRule="exact"/>
              <w:rPr>
                <w:sz w:val="20"/>
                <w:szCs w:val="20"/>
                <w:color w:val="auto"/>
              </w:rPr>
            </w:pPr>
            <w:r>
              <w:rPr>
                <w:rFonts w:ascii="Times New Roman" w:cs="Times New Roman" w:eastAsia="Times New Roman" w:hAnsi="Times New Roman"/>
                <w:sz w:val="13"/>
                <w:szCs w:val="13"/>
                <w:i w:val="1"/>
                <w:iCs w:val="1"/>
                <w:color w:val="auto"/>
              </w:rPr>
              <w:t>2024</w:t>
            </w:r>
          </w:p>
        </w:tc>
        <w:tc>
          <w:tcPr>
            <w:tcW w:w="60" w:type="dxa"/>
            <w:vAlign w:val="bottom"/>
          </w:tcPr>
          <w:p>
            <w:pPr>
              <w:spacing w:after="0"/>
              <w:rPr>
                <w:sz w:val="10"/>
                <w:szCs w:val="10"/>
                <w:color w:val="auto"/>
              </w:rPr>
            </w:pPr>
          </w:p>
        </w:tc>
      </w:tr>
      <w:tr>
        <w:trPr>
          <w:trHeight w:val="171"/>
        </w:trPr>
        <w:tc>
          <w:tcPr>
            <w:tcW w:w="9080" w:type="dxa"/>
            <w:vAlign w:val="bottom"/>
          </w:tcPr>
          <w:p>
            <w:pPr>
              <w:spacing w:after="0"/>
              <w:rPr>
                <w:sz w:val="14"/>
                <w:szCs w:val="14"/>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w w:val="98"/>
              </w:rPr>
              <w:t>RMB’000</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RMB’000</w:t>
            </w:r>
          </w:p>
        </w:tc>
      </w:tr>
      <w:tr>
        <w:trPr>
          <w:trHeight w:val="216"/>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Contract liabilities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Billings in advance of performance</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12,498</w:t>
            </w:r>
          </w:p>
        </w:tc>
        <w:tc>
          <w:tcPr>
            <w:tcW w:w="2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2,119</w:t>
            </w:r>
          </w:p>
        </w:tc>
      </w:tr>
      <w:tr>
        <w:trPr>
          <w:trHeight w:val="216"/>
        </w:trPr>
        <w:tc>
          <w:tcPr>
            <w:tcW w:w="9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Billings in advance of goods transferred</w:t>
            </w:r>
          </w:p>
        </w:tc>
        <w:tc>
          <w:tcPr>
            <w:tcW w:w="8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2,357</w:t>
            </w:r>
          </w:p>
        </w:tc>
      </w:tr>
      <w:tr>
        <w:trPr>
          <w:trHeight w:val="223"/>
        </w:trPr>
        <w:tc>
          <w:tcPr>
            <w:tcW w:w="9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12,498</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4,476</w:t>
            </w:r>
          </w:p>
        </w:tc>
        <w:tc>
          <w:tcPr>
            <w:tcW w:w="60" w:type="dxa"/>
            <w:vAlign w:val="bottom"/>
          </w:tcPr>
          <w:p>
            <w:pPr>
              <w:spacing w:after="0"/>
              <w:rPr>
                <w:sz w:val="19"/>
                <w:szCs w:val="19"/>
                <w:color w:val="auto"/>
              </w:rPr>
            </w:pPr>
          </w:p>
        </w:tc>
      </w:tr>
      <w:tr>
        <w:trPr>
          <w:trHeight w:val="20"/>
        </w:trPr>
        <w:tc>
          <w:tcPr>
            <w:tcW w:w="90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right="260"/>
        <w:spacing w:after="0" w:line="282" w:lineRule="auto"/>
        <w:rPr>
          <w:sz w:val="20"/>
          <w:szCs w:val="20"/>
          <w:color w:val="auto"/>
        </w:rPr>
      </w:pPr>
      <w:r>
        <w:rPr>
          <w:rFonts w:ascii="Times New Roman" w:cs="Times New Roman" w:eastAsia="Times New Roman" w:hAnsi="Times New Roman"/>
          <w:sz w:val="18"/>
          <w:szCs w:val="18"/>
          <w:color w:val="auto"/>
        </w:rPr>
        <w:t>All of the contract liabilities are expected to be recognized as revenue within one year and the amount of RMB12.5 million included in contract liabilities as of December 31, 2023 was recognized as revenue in the year ended December 31, 2024.</w:t>
      </w:r>
    </w:p>
    <w:p>
      <w:pPr>
        <w:spacing w:after="0" w:line="306"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18</w:t>
        <w:tab/>
        <w:t>Trade receivables, prepayments and other receivables</w:t>
      </w:r>
    </w:p>
    <w:p>
      <w:pPr>
        <w:spacing w:after="0" w:line="250"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940" w:type="dxa"/>
            <w:vAlign w:val="bottom"/>
          </w:tcPr>
          <w:p>
            <w:pPr>
              <w:spacing w:after="0"/>
              <w:rPr>
                <w:sz w:val="15"/>
                <w:szCs w:val="15"/>
                <w:color w:val="auto"/>
              </w:rPr>
            </w:pPr>
          </w:p>
        </w:tc>
        <w:tc>
          <w:tcPr>
            <w:tcW w:w="162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i w:val="1"/>
                <w:iCs w:val="1"/>
                <w:color w:val="auto"/>
              </w:rPr>
              <w:t>As of December 31,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660" w:type="dxa"/>
            <w:vAlign w:val="bottom"/>
            <w:tcBorders>
              <w:top w:val="single" w:sz="8" w:color="auto"/>
            </w:tcBorders>
          </w:tcPr>
          <w:p>
            <w:pPr>
              <w:jc w:val="right"/>
              <w:ind w:right="94"/>
              <w:spacing w:after="0" w:line="119" w:lineRule="exact"/>
              <w:rPr>
                <w:sz w:val="20"/>
                <w:szCs w:val="20"/>
                <w:color w:val="auto"/>
              </w:rPr>
            </w:pPr>
            <w:r>
              <w:rPr>
                <w:rFonts w:ascii="Times New Roman" w:cs="Times New Roman" w:eastAsia="Times New Roman" w:hAnsi="Times New Roman"/>
                <w:sz w:val="13"/>
                <w:szCs w:val="13"/>
                <w:color w:val="auto"/>
              </w:rPr>
              <w:t>2023</w:t>
            </w:r>
          </w:p>
        </w:tc>
        <w:tc>
          <w:tcPr>
            <w:tcW w:w="2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93"/>
              <w:spacing w:after="0" w:line="119" w:lineRule="exact"/>
              <w:rPr>
                <w:sz w:val="20"/>
                <w:szCs w:val="20"/>
                <w:color w:val="auto"/>
              </w:rPr>
            </w:pPr>
            <w:r>
              <w:rPr>
                <w:rFonts w:ascii="Times New Roman" w:cs="Times New Roman" w:eastAsia="Times New Roman" w:hAnsi="Times New Roman"/>
                <w:sz w:val="13"/>
                <w:szCs w:val="13"/>
                <w:color w:val="auto"/>
              </w:rPr>
              <w:t>2024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RMB’000</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302,482</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318,044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Less: loss allowance (Note 31(a))</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(35,549)</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(65,437)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Trade receivables, net of loss allowance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266,933</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252,607</w:t>
            </w:r>
          </w:p>
        </w:tc>
        <w:tc>
          <w:tcPr>
            <w:tcW w:w="0" w:type="dxa"/>
            <w:vAlign w:val="bottom"/>
          </w:tcPr>
          <w:p>
            <w:pPr>
              <w:spacing w:after="0"/>
              <w:rPr>
                <w:sz w:val="1"/>
                <w:szCs w:val="1"/>
                <w:color w:val="auto"/>
              </w:rPr>
            </w:pPr>
          </w:p>
        </w:tc>
      </w:tr>
      <w:tr>
        <w:trPr>
          <w:trHeight w:val="223"/>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Receivables from payments made on behalf of customers, net of allowance</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52,952</w:t>
            </w:r>
          </w:p>
        </w:tc>
        <w:tc>
          <w:tcPr>
            <w:tcW w:w="2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from loans to employees (Note (i))</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10,859</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18,501</w:t>
            </w:r>
          </w:p>
        </w:tc>
        <w:tc>
          <w:tcPr>
            <w:tcW w:w="0" w:type="dxa"/>
            <w:vAlign w:val="bottom"/>
          </w:tcPr>
          <w:p>
            <w:pPr>
              <w:spacing w:after="0"/>
              <w:rPr>
                <w:sz w:val="1"/>
                <w:szCs w:val="1"/>
                <w:color w:val="auto"/>
              </w:rPr>
            </w:pPr>
          </w:p>
        </w:tc>
      </w:tr>
      <w:tr>
        <w:trPr>
          <w:trHeight w:val="324"/>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receivables</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63,811</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50,418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Trade and other receivables at amortized cost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330,744</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303,025</w:t>
            </w:r>
          </w:p>
        </w:tc>
        <w:tc>
          <w:tcPr>
            <w:tcW w:w="0" w:type="dxa"/>
            <w:vAlign w:val="bottom"/>
          </w:tcPr>
          <w:p>
            <w:pPr>
              <w:spacing w:after="0"/>
              <w:rPr>
                <w:sz w:val="1"/>
                <w:szCs w:val="1"/>
                <w:color w:val="auto"/>
              </w:rPr>
            </w:pPr>
          </w:p>
        </w:tc>
      </w:tr>
      <w:tr>
        <w:trPr>
          <w:trHeight w:val="20"/>
        </w:trPr>
        <w:tc>
          <w:tcPr>
            <w:tcW w:w="8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Prepayments to suppliers</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60" w:type="dxa"/>
            <w:vAlign w:val="bottom"/>
            <w:gridSpan w:val="2"/>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49,955</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Refundable value-added tax</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49,493</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29,271</w:t>
            </w:r>
          </w:p>
        </w:tc>
        <w:tc>
          <w:tcPr>
            <w:tcW w:w="2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Prepayments and others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128,719</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147,234</w:t>
            </w:r>
          </w:p>
        </w:tc>
        <w:tc>
          <w:tcPr>
            <w:tcW w:w="0" w:type="dxa"/>
            <w:vAlign w:val="bottom"/>
          </w:tcPr>
          <w:p>
            <w:pPr>
              <w:spacing w:after="0"/>
              <w:rPr>
                <w:sz w:val="1"/>
                <w:szCs w:val="1"/>
                <w:color w:val="auto"/>
              </w:rPr>
            </w:pPr>
          </w:p>
        </w:tc>
      </w:tr>
      <w:tr>
        <w:trPr>
          <w:trHeight w:val="20"/>
        </w:trPr>
        <w:tc>
          <w:tcPr>
            <w:tcW w:w="8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Prepayments and other receivables</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60" w:type="dxa"/>
            <w:vAlign w:val="bottom"/>
            <w:gridSpan w:val="2"/>
            <w:vMerge w:val="continue"/>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192,530</w:t>
            </w:r>
          </w:p>
        </w:tc>
        <w:tc>
          <w:tcPr>
            <w:tcW w:w="20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197,652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trade receivables, prepayments and other receivables</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459,463</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450,259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vMerge w:val="restart"/>
          </w:tcPr>
          <w:p>
            <w:pPr>
              <w:ind w:left="4880"/>
              <w:spacing w:after="0"/>
              <w:rPr>
                <w:sz w:val="20"/>
                <w:szCs w:val="20"/>
                <w:color w:val="auto"/>
              </w:rPr>
            </w:pPr>
            <w:r>
              <w:rPr>
                <w:rFonts w:ascii="Times New Roman" w:cs="Times New Roman" w:eastAsia="Times New Roman" w:hAnsi="Times New Roman"/>
                <w:sz w:val="18"/>
                <w:szCs w:val="18"/>
                <w:color w:val="auto"/>
              </w:rPr>
              <w:t>F-49</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94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Note:</w:t>
      </w:r>
    </w:p>
    <w:p>
      <w:pPr>
        <w:spacing w:after="0" w:line="131" w:lineRule="exact"/>
        <w:rPr>
          <w:sz w:val="20"/>
          <w:szCs w:val="20"/>
          <w:color w:val="auto"/>
        </w:rPr>
      </w:pPr>
    </w:p>
    <w:p>
      <w:pPr>
        <w:ind w:left="1080" w:right="160" w:hanging="532"/>
        <w:spacing w:after="0" w:line="261" w:lineRule="auto"/>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2023, the Group provided a one-year loan with a principal amount of USD1.5 million (equivalent to RMB10.9 million) to an employee at an interest rate of 4.43%. The principal of USD1.0 million (equivalent to RMB7.1 million) was repaid in 2024, and the term for the remaining principal of USD0.5 million (equivalent to RMB3.6 million) and the cumulative interest of USD0.1 million (equivalent to RMB0.6 million) was extended to be repaid in June 2025.</w:t>
      </w:r>
    </w:p>
    <w:p>
      <w:pPr>
        <w:spacing w:after="0" w:line="72" w:lineRule="exact"/>
        <w:rPr>
          <w:sz w:val="20"/>
          <w:szCs w:val="20"/>
          <w:color w:val="auto"/>
        </w:rPr>
      </w:pPr>
    </w:p>
    <w:p>
      <w:pPr>
        <w:ind w:left="1100" w:right="400"/>
        <w:spacing w:after="0" w:line="282" w:lineRule="auto"/>
        <w:rPr>
          <w:sz w:val="20"/>
          <w:szCs w:val="20"/>
          <w:color w:val="auto"/>
        </w:rPr>
      </w:pPr>
      <w:r>
        <w:rPr>
          <w:rFonts w:ascii="Times New Roman" w:cs="Times New Roman" w:eastAsia="Times New Roman" w:hAnsi="Times New Roman"/>
          <w:sz w:val="18"/>
          <w:szCs w:val="18"/>
          <w:color w:val="auto"/>
        </w:rPr>
        <w:t>In December 2024, the Group provided one-year loan with a principal amount of USD2.0 million (equivalent to RMB14.2 million) to another employee at an interest rate of 4.30%.</w:t>
      </w:r>
    </w:p>
    <w:p>
      <w:pPr>
        <w:spacing w:after="0" w:line="54" w:lineRule="exact"/>
        <w:rPr>
          <w:sz w:val="20"/>
          <w:szCs w:val="20"/>
          <w:color w:val="auto"/>
        </w:rPr>
      </w:pPr>
    </w:p>
    <w:p>
      <w:pPr>
        <w:ind w:left="560" w:right="180"/>
        <w:spacing w:after="0" w:line="282" w:lineRule="auto"/>
        <w:rPr>
          <w:sz w:val="20"/>
          <w:szCs w:val="20"/>
          <w:color w:val="auto"/>
        </w:rPr>
      </w:pPr>
      <w:r>
        <w:rPr>
          <w:rFonts w:ascii="Times New Roman" w:cs="Times New Roman" w:eastAsia="Times New Roman" w:hAnsi="Times New Roman"/>
          <w:sz w:val="18"/>
          <w:szCs w:val="18"/>
          <w:color w:val="auto"/>
        </w:rPr>
        <w:t>All of the trade and other receivables are expected to be recovered or recognized as expense within one year. Trade receivables are normally due within 30 to 90 days from the invoice date. Further details on the Group’s credit policy are set out in Note 31(a).</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Aging analysis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at the end of each reporting period, the aging analysis of trade receivables based on the invoice date, is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500" w:type="dxa"/>
            <w:vAlign w:val="bottom"/>
            <w:gridSpan w:val="4"/>
          </w:tcPr>
          <w:p>
            <w:pPr>
              <w:ind w:left="140"/>
              <w:spacing w:after="0"/>
              <w:rPr>
                <w:sz w:val="20"/>
                <w:szCs w:val="20"/>
                <w:color w:val="auto"/>
              </w:rPr>
            </w:pPr>
            <w:r>
              <w:rPr>
                <w:rFonts w:ascii="Times New Roman" w:cs="Times New Roman" w:eastAsia="Times New Roman" w:hAnsi="Times New Roman"/>
                <w:sz w:val="14"/>
                <w:szCs w:val="14"/>
                <w:i w:val="1"/>
                <w:iCs w:val="1"/>
                <w:color w:val="auto"/>
              </w:rPr>
              <w:t>As of December 31,</w:t>
            </w: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640" w:type="dxa"/>
            <w:vAlign w:val="bottom"/>
            <w:tcBorders>
              <w:top w:val="single" w:sz="8" w:color="auto"/>
            </w:tcBorders>
          </w:tcPr>
          <w:p>
            <w:pPr>
              <w:jc w:val="right"/>
              <w:ind w:right="103"/>
              <w:spacing w:after="0" w:line="119" w:lineRule="exact"/>
              <w:rPr>
                <w:sz w:val="20"/>
                <w:szCs w:val="20"/>
                <w:color w:val="auto"/>
              </w:rPr>
            </w:pPr>
            <w:r>
              <w:rPr>
                <w:rFonts w:ascii="Times New Roman" w:cs="Times New Roman" w:eastAsia="Times New Roman" w:hAnsi="Times New Roman"/>
                <w:sz w:val="13"/>
                <w:szCs w:val="13"/>
                <w:i w:val="1"/>
                <w:iCs w:val="1"/>
                <w:color w:val="auto"/>
              </w:rPr>
              <w:t>2023</w:t>
            </w:r>
          </w:p>
        </w:tc>
        <w:tc>
          <w:tcPr>
            <w:tcW w:w="2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98"/>
              <w:spacing w:after="0" w:line="119" w:lineRule="exact"/>
              <w:rPr>
                <w:sz w:val="20"/>
                <w:szCs w:val="20"/>
                <w:color w:val="auto"/>
              </w:rPr>
            </w:pPr>
            <w:r>
              <w:rPr>
                <w:rFonts w:ascii="Times New Roman" w:cs="Times New Roman" w:eastAsia="Times New Roman" w:hAnsi="Times New Roman"/>
                <w:sz w:val="13"/>
                <w:szCs w:val="13"/>
                <w:i w:val="1"/>
                <w:iCs w:val="1"/>
                <w:color w:val="auto"/>
              </w:rPr>
              <w:t>2024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RMB’000</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RMB’000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584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182,978</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179,986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More than 1 year</w:t>
            </w:r>
          </w:p>
        </w:tc>
        <w:tc>
          <w:tcPr>
            <w:tcW w:w="50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119,504</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138,058</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302,482</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318,044</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19   Other non-current assets</w:t>
            </w:r>
          </w:p>
        </w:tc>
        <w:tc>
          <w:tcPr>
            <w:tcW w:w="50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4520" w:type="dxa"/>
            <w:vAlign w:val="bottom"/>
            <w:gridSpan w:val="2"/>
            <w:vMerge w:val="continue"/>
          </w:tcPr>
          <w:p>
            <w:pPr>
              <w:spacing w:after="0"/>
              <w:rPr>
                <w:sz w:val="24"/>
                <w:szCs w:val="24"/>
                <w:color w:val="auto"/>
              </w:rPr>
            </w:pPr>
          </w:p>
        </w:tc>
        <w:tc>
          <w:tcPr>
            <w:tcW w:w="5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4080" w:type="dxa"/>
            <w:vAlign w:val="bottom"/>
          </w:tcPr>
          <w:p>
            <w:pPr>
              <w:spacing w:after="0"/>
              <w:rPr>
                <w:sz w:val="23"/>
                <w:szCs w:val="23"/>
                <w:color w:val="auto"/>
              </w:rPr>
            </w:pPr>
          </w:p>
        </w:tc>
        <w:tc>
          <w:tcPr>
            <w:tcW w:w="5000" w:type="dxa"/>
            <w:vAlign w:val="bottom"/>
          </w:tcPr>
          <w:p>
            <w:pPr>
              <w:spacing w:after="0"/>
              <w:rPr>
                <w:sz w:val="23"/>
                <w:szCs w:val="23"/>
                <w:color w:val="auto"/>
              </w:rPr>
            </w:pPr>
          </w:p>
        </w:tc>
        <w:tc>
          <w:tcPr>
            <w:tcW w:w="1500" w:type="dxa"/>
            <w:vAlign w:val="bottom"/>
            <w:gridSpan w:val="4"/>
          </w:tcPr>
          <w:p>
            <w:pPr>
              <w:ind w:left="140"/>
              <w:spacing w:after="0"/>
              <w:rPr>
                <w:sz w:val="20"/>
                <w:szCs w:val="20"/>
                <w:color w:val="auto"/>
              </w:rPr>
            </w:pPr>
            <w:r>
              <w:rPr>
                <w:rFonts w:ascii="Times New Roman" w:cs="Times New Roman" w:eastAsia="Times New Roman" w:hAnsi="Times New Roman"/>
                <w:sz w:val="14"/>
                <w:szCs w:val="14"/>
                <w:i w:val="1"/>
                <w:iCs w:val="1"/>
                <w:color w:val="auto"/>
              </w:rPr>
              <w:t>As of December 31,</w:t>
            </w: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640" w:type="dxa"/>
            <w:vAlign w:val="bottom"/>
            <w:tcBorders>
              <w:top w:val="single" w:sz="8" w:color="auto"/>
            </w:tcBorders>
          </w:tcPr>
          <w:p>
            <w:pPr>
              <w:ind w:left="140"/>
              <w:spacing w:after="0" w:line="119" w:lineRule="exact"/>
              <w:rPr>
                <w:sz w:val="20"/>
                <w:szCs w:val="20"/>
                <w:color w:val="auto"/>
              </w:rPr>
            </w:pPr>
            <w:r>
              <w:rPr>
                <w:rFonts w:ascii="Times New Roman" w:cs="Times New Roman" w:eastAsia="Times New Roman" w:hAnsi="Times New Roman"/>
                <w:sz w:val="13"/>
                <w:szCs w:val="13"/>
                <w:i w:val="1"/>
                <w:iCs w:val="1"/>
                <w:color w:val="auto"/>
              </w:rPr>
              <w:t>2023</w:t>
            </w:r>
          </w:p>
        </w:tc>
        <w:tc>
          <w:tcPr>
            <w:tcW w:w="2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78"/>
              <w:spacing w:after="0" w:line="119" w:lineRule="exact"/>
              <w:rPr>
                <w:sz w:val="20"/>
                <w:szCs w:val="20"/>
                <w:color w:val="auto"/>
              </w:rPr>
            </w:pPr>
            <w:r>
              <w:rPr>
                <w:rFonts w:ascii="Times New Roman" w:cs="Times New Roman" w:eastAsia="Times New Roman" w:hAnsi="Times New Roman"/>
                <w:sz w:val="13"/>
                <w:szCs w:val="13"/>
                <w:i w:val="1"/>
                <w:iCs w:val="1"/>
                <w:color w:val="auto"/>
              </w:rPr>
              <w:t>2024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w w:val="98"/>
              </w:rPr>
              <w:t>RMB’000</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 for leasing motor vehicles</w:t>
            </w:r>
          </w:p>
        </w:tc>
        <w:tc>
          <w:tcPr>
            <w:tcW w:w="56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19,327</w:t>
            </w:r>
          </w:p>
        </w:tc>
        <w:tc>
          <w:tcPr>
            <w:tcW w:w="20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18,239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Prepayment for property and equipment</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2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assets-non-current, net of allowance</w:t>
            </w:r>
          </w:p>
        </w:tc>
        <w:tc>
          <w:tcPr>
            <w:tcW w:w="56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21,082</w:t>
            </w: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5840" w:type="dxa"/>
            <w:vAlign w:val="bottom"/>
            <w:gridSpan w:val="3"/>
          </w:tcPr>
          <w:p>
            <w:pPr>
              <w:jc w:val="right"/>
              <w:ind w:right="4680"/>
              <w:spacing w:after="0"/>
              <w:rPr>
                <w:sz w:val="20"/>
                <w:szCs w:val="20"/>
                <w:color w:val="auto"/>
              </w:rPr>
            </w:pPr>
            <w:r>
              <w:rPr>
                <w:rFonts w:ascii="Times New Roman" w:cs="Times New Roman" w:eastAsia="Times New Roman" w:hAnsi="Times New Roman"/>
                <w:sz w:val="18"/>
                <w:szCs w:val="18"/>
                <w:color w:val="auto"/>
              </w:rPr>
              <w:t>F-50</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20</w:t>
        <w:tab/>
        <w:t>Financial assets at FVTPL</w:t>
      </w:r>
    </w:p>
    <w:p>
      <w:pPr>
        <w:spacing w:after="0" w:line="128"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8380" w:type="dxa"/>
            <w:vAlign w:val="bottom"/>
          </w:tcPr>
          <w:p>
            <w:pPr>
              <w:spacing w:after="0"/>
              <w:rPr>
                <w:sz w:val="15"/>
                <w:szCs w:val="15"/>
                <w:color w:val="auto"/>
              </w:rPr>
            </w:pPr>
          </w:p>
        </w:tc>
        <w:tc>
          <w:tcPr>
            <w:tcW w:w="1740" w:type="dxa"/>
            <w:vAlign w:val="bottom"/>
            <w:gridSpan w:val="4"/>
          </w:tcPr>
          <w:p>
            <w:pPr>
              <w:ind w:left="280"/>
              <w:spacing w:after="0"/>
              <w:rPr>
                <w:sz w:val="20"/>
                <w:szCs w:val="20"/>
                <w:color w:val="auto"/>
              </w:rPr>
            </w:pPr>
            <w:r>
              <w:rPr>
                <w:rFonts w:ascii="Times New Roman" w:cs="Times New Roman" w:eastAsia="Times New Roman" w:hAnsi="Times New Roman"/>
                <w:sz w:val="14"/>
                <w:szCs w:val="14"/>
                <w:i w:val="1"/>
                <w:iCs w:val="1"/>
                <w:color w:val="auto"/>
              </w:rPr>
              <w:t>As of December 31,</w:t>
            </w:r>
          </w:p>
        </w:tc>
      </w:tr>
      <w:tr>
        <w:trPr>
          <w:trHeight w:val="119"/>
        </w:trPr>
        <w:tc>
          <w:tcPr>
            <w:tcW w:w="8380" w:type="dxa"/>
            <w:vAlign w:val="bottom"/>
          </w:tcPr>
          <w:p>
            <w:pPr>
              <w:spacing w:after="0"/>
              <w:rPr>
                <w:sz w:val="10"/>
                <w:szCs w:val="10"/>
                <w:color w:val="auto"/>
              </w:rPr>
            </w:pPr>
          </w:p>
        </w:tc>
        <w:tc>
          <w:tcPr>
            <w:tcW w:w="660" w:type="dxa"/>
            <w:vAlign w:val="bottom"/>
            <w:tcBorders>
              <w:top w:val="single" w:sz="8" w:color="auto"/>
            </w:tcBorders>
          </w:tcPr>
          <w:p>
            <w:pPr>
              <w:jc w:val="right"/>
              <w:ind w:right="100"/>
              <w:spacing w:after="0" w:line="119" w:lineRule="exact"/>
              <w:rPr>
                <w:sz w:val="20"/>
                <w:szCs w:val="20"/>
                <w:color w:val="auto"/>
              </w:rPr>
            </w:pPr>
            <w:r>
              <w:rPr>
                <w:rFonts w:ascii="Times New Roman" w:cs="Times New Roman" w:eastAsia="Times New Roman" w:hAnsi="Times New Roman"/>
                <w:sz w:val="13"/>
                <w:szCs w:val="13"/>
                <w:i w:val="1"/>
                <w:iCs w:val="1"/>
                <w:color w:val="auto"/>
              </w:rPr>
              <w:t>2023</w:t>
            </w:r>
          </w:p>
        </w:tc>
        <w:tc>
          <w:tcPr>
            <w:tcW w:w="2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178"/>
              <w:spacing w:after="0" w:line="119" w:lineRule="exact"/>
              <w:rPr>
                <w:sz w:val="20"/>
                <w:szCs w:val="20"/>
                <w:color w:val="auto"/>
              </w:rPr>
            </w:pPr>
            <w:r>
              <w:rPr>
                <w:rFonts w:ascii="Times New Roman" w:cs="Times New Roman" w:eastAsia="Times New Roman" w:hAnsi="Times New Roman"/>
                <w:sz w:val="13"/>
                <w:szCs w:val="13"/>
                <w:i w:val="1"/>
                <w:iCs w:val="1"/>
                <w:color w:val="auto"/>
              </w:rPr>
              <w:t>2024</w:t>
            </w:r>
          </w:p>
        </w:tc>
        <w:tc>
          <w:tcPr>
            <w:tcW w:w="40" w:type="dxa"/>
            <w:vAlign w:val="bottom"/>
          </w:tcPr>
          <w:p>
            <w:pPr>
              <w:spacing w:after="0"/>
              <w:rPr>
                <w:sz w:val="10"/>
                <w:szCs w:val="10"/>
                <w:color w:val="auto"/>
              </w:rPr>
            </w:pPr>
          </w:p>
        </w:tc>
      </w:tr>
      <w:tr>
        <w:trPr>
          <w:trHeight w:val="171"/>
        </w:trPr>
        <w:tc>
          <w:tcPr>
            <w:tcW w:w="838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RMB’000</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RMB’000</w:t>
            </w:r>
          </w:p>
        </w:tc>
      </w:tr>
      <w:tr>
        <w:trPr>
          <w:trHeight w:val="216"/>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 Investment in a listed company</w:t>
            </w: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56,919</w:t>
            </w:r>
          </w:p>
        </w:tc>
      </w:tr>
      <w:tr>
        <w:trPr>
          <w:trHeight w:val="216"/>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 Non-equity investments</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317,042</w:t>
            </w:r>
          </w:p>
        </w:tc>
        <w:tc>
          <w:tcPr>
            <w:tcW w:w="2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1,685,146</w:t>
            </w:r>
          </w:p>
        </w:tc>
        <w:tc>
          <w:tcPr>
            <w:tcW w:w="40" w:type="dxa"/>
            <w:vAlign w:val="bottom"/>
          </w:tcPr>
          <w:p>
            <w:pPr>
              <w:spacing w:after="0"/>
              <w:rPr>
                <w:sz w:val="19"/>
                <w:szCs w:val="19"/>
                <w:color w:val="auto"/>
              </w:rPr>
            </w:pPr>
          </w:p>
        </w:tc>
      </w:tr>
      <w:tr>
        <w:trPr>
          <w:trHeight w:val="216"/>
        </w:trPr>
        <w:tc>
          <w:tcPr>
            <w:tcW w:w="8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317,042</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1,742,065</w:t>
            </w:r>
          </w:p>
        </w:tc>
      </w:tr>
      <w:tr>
        <w:trPr>
          <w:trHeight w:val="20"/>
        </w:trPr>
        <w:tc>
          <w:tcPr>
            <w:tcW w:w="8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right="240"/>
        <w:spacing w:after="0" w:line="266" w:lineRule="auto"/>
        <w:rPr>
          <w:sz w:val="20"/>
          <w:szCs w:val="20"/>
          <w:color w:val="auto"/>
        </w:rPr>
      </w:pPr>
      <w:r>
        <w:rPr>
          <w:rFonts w:ascii="Times New Roman" w:cs="Times New Roman" w:eastAsia="Times New Roman" w:hAnsi="Times New Roman"/>
          <w:sz w:val="18"/>
          <w:szCs w:val="18"/>
          <w:color w:val="auto"/>
        </w:rPr>
        <w:t>The non-equity investments represent wealth management products issued by banks with variable returns. The variable returns of these wealth management products are determined by the performance of underlying assets including government bonds and money market funds. These financial assets are measured at fair value with changes recorded through profit or loss.</w:t>
      </w:r>
    </w:p>
    <w:p>
      <w:pPr>
        <w:spacing w:after="0" w:line="68" w:lineRule="exact"/>
        <w:rPr>
          <w:sz w:val="20"/>
          <w:szCs w:val="20"/>
          <w:color w:val="auto"/>
        </w:rPr>
      </w:pPr>
    </w:p>
    <w:p>
      <w:pPr>
        <w:ind w:left="560" w:right="20"/>
        <w:spacing w:after="0" w:line="261" w:lineRule="auto"/>
        <w:rPr>
          <w:sz w:val="20"/>
          <w:szCs w:val="20"/>
          <w:color w:val="auto"/>
        </w:rPr>
      </w:pPr>
      <w:r>
        <w:rPr>
          <w:rFonts w:ascii="Times New Roman" w:cs="Times New Roman" w:eastAsia="Times New Roman" w:hAnsi="Times New Roman"/>
          <w:sz w:val="18"/>
          <w:szCs w:val="18"/>
          <w:color w:val="auto"/>
        </w:rPr>
        <w:t>In June 2024, the Company committed to subscribe 4,416,000 ordinary shares of a listed company with a total consideration of USD20.0 million, or USD4.53 per share. The Group paid the subscription consideration and received the shares in July 2024. The investment was initially recorded at USD20.0 million (equivalent to RMB138.7 million) and subsequently measured at fair value. The Company recognized a loss of USD11.9 million (equivalent to RMB84.6 million) in fair value change for the year ended December 31, 2024.</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Please see more information about the fair value valuation in Note 31(e).</w:t>
      </w:r>
    </w:p>
    <w:p>
      <w:pPr>
        <w:spacing w:after="0" w:line="370" w:lineRule="exact"/>
        <w:rPr>
          <w:sz w:val="20"/>
          <w:szCs w:val="20"/>
          <w:color w:val="auto"/>
        </w:rPr>
      </w:pPr>
    </w:p>
    <w:p>
      <w:pPr>
        <w:ind w:left="540" w:hanging="424"/>
        <w:spacing w:after="0"/>
        <w:tabs>
          <w:tab w:leader="none" w:pos="54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cash equivalents and time deposits</w:t>
      </w:r>
    </w:p>
    <w:p>
      <w:pPr>
        <w:spacing w:after="0" w:line="13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1"/>
          <w:numId w:val="18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Cash, cash equivalents and time deposits comprise:</w:t>
      </w:r>
    </w:p>
    <w:p>
      <w:pPr>
        <w:spacing w:after="0" w:line="250"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4"/>
          <w:szCs w:val="14"/>
          <w:i w:val="1"/>
          <w:iCs w:val="1"/>
          <w:color w:val="auto"/>
        </w:rPr>
        <w:t>As of December 31,</w:t>
      </w:r>
    </w:p>
    <w:p>
      <w:pPr>
        <w:spacing w:after="0" w:line="12" w:lineRule="exact"/>
        <w:rPr>
          <w:sz w:val="20"/>
          <w:szCs w:val="20"/>
          <w:color w:val="auto"/>
        </w:rPr>
      </w:pPr>
    </w:p>
    <w:tbl>
      <w:tblPr>
        <w:tblLayout w:type="fixed"/>
        <w:tblInd w:w="560" w:type="dxa"/>
        <w:tblCellMar>
          <w:top w:w="0" w:type="dxa"/>
          <w:left w:w="0" w:type="dxa"/>
          <w:bottom w:w="0" w:type="dxa"/>
          <w:right w:w="0" w:type="dxa"/>
        </w:tblCellMar>
      </w:tblPr>
      <w:tr>
        <w:trPr>
          <w:trHeight w:val="119"/>
        </w:trPr>
        <w:tc>
          <w:tcPr>
            <w:tcW w:w="8240" w:type="dxa"/>
            <w:vAlign w:val="bottom"/>
          </w:tcPr>
          <w:p>
            <w:pPr>
              <w:spacing w:after="0"/>
              <w:rPr>
                <w:sz w:val="10"/>
                <w:szCs w:val="10"/>
                <w:color w:val="auto"/>
              </w:rPr>
            </w:pPr>
          </w:p>
        </w:tc>
        <w:tc>
          <w:tcPr>
            <w:tcW w:w="960" w:type="dxa"/>
            <w:vAlign w:val="bottom"/>
            <w:tcBorders>
              <w:top w:val="single" w:sz="8" w:color="auto"/>
            </w:tcBorders>
          </w:tcPr>
          <w:p>
            <w:pPr>
              <w:jc w:val="right"/>
              <w:ind w:right="340"/>
              <w:spacing w:after="0" w:line="119" w:lineRule="exact"/>
              <w:rPr>
                <w:sz w:val="20"/>
                <w:szCs w:val="20"/>
                <w:color w:val="auto"/>
              </w:rPr>
            </w:pPr>
            <w:r>
              <w:rPr>
                <w:rFonts w:ascii="Times New Roman" w:cs="Times New Roman" w:eastAsia="Times New Roman" w:hAnsi="Times New Roman"/>
                <w:sz w:val="13"/>
                <w:szCs w:val="13"/>
                <w:i w:val="1"/>
                <w:iCs w:val="1"/>
                <w:color w:val="auto"/>
              </w:rPr>
              <w:t>2023</w:t>
            </w:r>
          </w:p>
        </w:tc>
        <w:tc>
          <w:tcPr>
            <w:tcW w:w="880" w:type="dxa"/>
            <w:vAlign w:val="bottom"/>
            <w:tcBorders>
              <w:top w:val="single" w:sz="8" w:color="auto"/>
            </w:tcBorders>
          </w:tcPr>
          <w:p>
            <w:pPr>
              <w:jc w:val="right"/>
              <w:ind w:right="180"/>
              <w:spacing w:after="0" w:line="119" w:lineRule="exact"/>
              <w:rPr>
                <w:sz w:val="20"/>
                <w:szCs w:val="20"/>
                <w:color w:val="auto"/>
              </w:rPr>
            </w:pPr>
            <w:r>
              <w:rPr>
                <w:rFonts w:ascii="Times New Roman" w:cs="Times New Roman" w:eastAsia="Times New Roman" w:hAnsi="Times New Roman"/>
                <w:sz w:val="13"/>
                <w:szCs w:val="13"/>
                <w:i w:val="1"/>
                <w:iCs w:val="1"/>
                <w:color w:val="auto"/>
              </w:rPr>
              <w:t>2024</w:t>
            </w:r>
          </w:p>
        </w:tc>
        <w:tc>
          <w:tcPr>
            <w:tcW w:w="40" w:type="dxa"/>
            <w:vAlign w:val="bottom"/>
          </w:tcPr>
          <w:p>
            <w:pPr>
              <w:spacing w:after="0"/>
              <w:rPr>
                <w:sz w:val="10"/>
                <w:szCs w:val="10"/>
                <w:color w:val="auto"/>
              </w:rPr>
            </w:pPr>
          </w:p>
        </w:tc>
      </w:tr>
      <w:tr>
        <w:trPr>
          <w:trHeight w:val="171"/>
        </w:trPr>
        <w:tc>
          <w:tcPr>
            <w:tcW w:w="8240" w:type="dxa"/>
            <w:vAlign w:val="bottom"/>
          </w:tcPr>
          <w:p>
            <w:pPr>
              <w:spacing w:after="0"/>
              <w:rPr>
                <w:sz w:val="14"/>
                <w:szCs w:val="14"/>
                <w:color w:val="auto"/>
              </w:rPr>
            </w:pPr>
          </w:p>
        </w:tc>
        <w:tc>
          <w:tcPr>
            <w:tcW w:w="960" w:type="dxa"/>
            <w:vAlign w:val="bottom"/>
          </w:tcPr>
          <w:p>
            <w:pPr>
              <w:jc w:val="center"/>
              <w:ind w:right="80"/>
              <w:spacing w:after="0"/>
              <w:rPr>
                <w:sz w:val="20"/>
                <w:szCs w:val="20"/>
                <w:color w:val="auto"/>
              </w:rPr>
            </w:pPr>
            <w:r>
              <w:rPr>
                <w:rFonts w:ascii="Times New Roman" w:cs="Times New Roman" w:eastAsia="Times New Roman" w:hAnsi="Times New Roman"/>
                <w:sz w:val="14"/>
                <w:szCs w:val="14"/>
                <w:color w:val="auto"/>
              </w:rPr>
              <w:t>RMB’000</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RMB’000</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1,661,152</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4,268,300</w:t>
            </w:r>
          </w:p>
        </w:tc>
      </w:tr>
      <w:tr>
        <w:trPr>
          <w:trHeight w:val="234"/>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8"/>
                <w:szCs w:val="18"/>
                <w:color w:val="auto"/>
              </w:rPr>
              <w:t>2,550,279</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620,148</w:t>
            </w:r>
          </w:p>
        </w:tc>
      </w:tr>
    </w:tbl>
    <w:p>
      <w:pPr>
        <w:spacing w:after="0" w:line="179" w:lineRule="exact"/>
        <w:rPr>
          <w:sz w:val="20"/>
          <w:szCs w:val="20"/>
          <w:color w:val="auto"/>
        </w:rPr>
      </w:pPr>
    </w:p>
    <w:p>
      <w:pPr>
        <w:ind w:left="560"/>
        <w:spacing w:after="0" w:line="266" w:lineRule="auto"/>
        <w:rPr>
          <w:sz w:val="20"/>
          <w:szCs w:val="20"/>
          <w:color w:val="auto"/>
        </w:rPr>
      </w:pPr>
      <w:r>
        <w:rPr>
          <w:rFonts w:ascii="Times New Roman" w:cs="Times New Roman" w:eastAsia="Times New Roman" w:hAnsi="Times New Roman"/>
          <w:sz w:val="18"/>
          <w:szCs w:val="18"/>
          <w:color w:val="auto"/>
        </w:rPr>
        <w:t>RMB is not a freely convertible currency and the remittance of funds out of the PRC is subject to the exchange restrictions imposed by the PRC government. The Group’s time deposits are denominated in USD or RMB and are deposited with banks and other financial institutions in Chinese Mainland and overseas.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060"/>
          </w:cols>
          <w:pgMar w:left="320" w:top="482" w:right="51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540" w:type="dxa"/>
        <w:tblCellMar>
          <w:top w:w="0" w:type="dxa"/>
          <w:left w:w="0" w:type="dxa"/>
          <w:bottom w:w="0" w:type="dxa"/>
          <w:right w:w="0" w:type="dxa"/>
        </w:tblCellMar>
      </w:tblPr>
      <w:tr>
        <w:trPr>
          <w:trHeight w:val="238"/>
        </w:trPr>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(b)</w:t>
            </w:r>
          </w:p>
        </w:tc>
        <w:tc>
          <w:tcPr>
            <w:tcW w:w="57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loss before taxation to cash used in operations:</w:t>
            </w:r>
          </w:p>
        </w:tc>
        <w:tc>
          <w:tcPr>
            <w:tcW w:w="1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2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104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rPr>
              <w:t>Note</w:t>
            </w:r>
          </w:p>
        </w:tc>
        <w:tc>
          <w:tcPr>
            <w:tcW w:w="840" w:type="dxa"/>
            <w:vAlign w:val="bottom"/>
            <w:tcBorders>
              <w:top w:val="single" w:sz="8" w:color="auto"/>
            </w:tcBorders>
          </w:tcPr>
          <w:p>
            <w:pPr>
              <w:jc w:val="right"/>
              <w:ind w:right="192"/>
              <w:spacing w:after="0" w:line="119" w:lineRule="exact"/>
              <w:rPr>
                <w:sz w:val="20"/>
                <w:szCs w:val="20"/>
                <w:color w:val="auto"/>
              </w:rPr>
            </w:pPr>
            <w:r>
              <w:rPr>
                <w:rFonts w:ascii="Times New Roman" w:cs="Times New Roman" w:eastAsia="Times New Roman" w:hAnsi="Times New Roman"/>
                <w:sz w:val="13"/>
                <w:szCs w:val="13"/>
                <w:i w:val="1"/>
                <w:iCs w:val="1"/>
                <w:color w:val="auto"/>
              </w:rPr>
              <w:t>2022</w:t>
            </w:r>
          </w:p>
        </w:tc>
        <w:tc>
          <w:tcPr>
            <w:tcW w:w="2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191"/>
              <w:spacing w:after="0" w:line="119" w:lineRule="exact"/>
              <w:rPr>
                <w:sz w:val="20"/>
                <w:szCs w:val="20"/>
                <w:color w:val="auto"/>
              </w:rPr>
            </w:pPr>
            <w:r>
              <w:rPr>
                <w:rFonts w:ascii="Times New Roman" w:cs="Times New Roman" w:eastAsia="Times New Roman" w:hAnsi="Times New Roman"/>
                <w:sz w:val="13"/>
                <w:szCs w:val="13"/>
                <w:i w:val="1"/>
                <w:iCs w:val="1"/>
                <w:color w:val="auto"/>
              </w:rPr>
              <w:t>2023</w:t>
            </w:r>
          </w:p>
        </w:tc>
        <w:tc>
          <w:tcPr>
            <w:tcW w:w="2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191"/>
              <w:spacing w:after="0" w:line="119" w:lineRule="exact"/>
              <w:rPr>
                <w:sz w:val="20"/>
                <w:szCs w:val="20"/>
                <w:color w:val="auto"/>
              </w:rPr>
            </w:pPr>
            <w:r>
              <w:rPr>
                <w:rFonts w:ascii="Times New Roman" w:cs="Times New Roman" w:eastAsia="Times New Roman" w:hAnsi="Times New Roman"/>
                <w:sz w:val="13"/>
                <w:szCs w:val="13"/>
                <w:i w:val="1"/>
                <w:iCs w:val="1"/>
                <w:color w:val="auto"/>
              </w:rPr>
              <w:t>2024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RMB’000</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RMB’000</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10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(1,298,496)</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(1,949,101)</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(2,516,808)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Net loss/(gain) on disposal of non-current assets</w:t>
            </w:r>
          </w:p>
        </w:tc>
        <w:tc>
          <w:tcPr>
            <w:tcW w:w="1040" w:type="dxa"/>
            <w:vAlign w:val="bottom"/>
            <w:shd w:val="clear" w:color="auto" w:fill="CCEEFF"/>
          </w:tcPr>
          <w:p>
            <w:pPr>
              <w:jc w:val="center"/>
              <w:ind w:left="153"/>
              <w:spacing w:after="0"/>
              <w:rPr>
                <w:sz w:val="20"/>
                <w:szCs w:val="20"/>
                <w:color w:val="auto"/>
              </w:rPr>
            </w:pPr>
            <w:r>
              <w:rPr>
                <w:rFonts w:ascii="Times New Roman" w:cs="Times New Roman" w:eastAsia="Times New Roman" w:hAnsi="Times New Roman"/>
                <w:sz w:val="18"/>
                <w:szCs w:val="18"/>
                <w:color w:val="auto"/>
                <w:w w:val="88"/>
              </w:rPr>
              <w:t>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1,087</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Impairment loss on receivables and contract assets</w:t>
            </w:r>
          </w:p>
        </w:tc>
        <w:tc>
          <w:tcPr>
            <w:tcW w:w="10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11,696</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40,217</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Write down of inventories</w:t>
            </w:r>
          </w:p>
        </w:tc>
        <w:tc>
          <w:tcPr>
            <w:tcW w:w="1040" w:type="dxa"/>
            <w:vAlign w:val="bottom"/>
            <w:shd w:val="clear" w:color="auto" w:fill="CCEEFF"/>
          </w:tcPr>
          <w:p>
            <w:pPr>
              <w:jc w:val="center"/>
              <w:ind w:left="153"/>
              <w:spacing w:after="0"/>
              <w:rPr>
                <w:sz w:val="20"/>
                <w:szCs w:val="20"/>
                <w:color w:val="auto"/>
              </w:rPr>
            </w:pPr>
            <w:r>
              <w:rPr>
                <w:rFonts w:ascii="Times New Roman" w:cs="Times New Roman" w:eastAsia="Times New Roman" w:hAnsi="Times New Roman"/>
                <w:sz w:val="18"/>
                <w:szCs w:val="18"/>
                <w:color w:val="auto"/>
              </w:rPr>
              <w:t>16(b)</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6,399</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Share-based compensation expenses</w:t>
            </w:r>
          </w:p>
        </w:tc>
        <w:tc>
          <w:tcPr>
            <w:tcW w:w="1040" w:type="dxa"/>
            <w:vAlign w:val="bottom"/>
          </w:tcPr>
          <w:p>
            <w:pPr>
              <w:jc w:val="center"/>
              <w:ind w:left="173"/>
              <w:spacing w:after="0"/>
              <w:rPr>
                <w:sz w:val="20"/>
                <w:szCs w:val="20"/>
                <w:color w:val="auto"/>
              </w:rPr>
            </w:pPr>
            <w:r>
              <w:rPr>
                <w:rFonts w:ascii="Times New Roman" w:cs="Times New Roman" w:eastAsia="Times New Roman" w:hAnsi="Times New Roman"/>
                <w:sz w:val="18"/>
                <w:szCs w:val="18"/>
                <w:color w:val="auto"/>
                <w:w w:val="99"/>
              </w:rPr>
              <w:t>7(i)</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325,429</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931,784</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1,187,867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Depreciation and amortization</w:t>
            </w:r>
          </w:p>
        </w:tc>
        <w:tc>
          <w:tcPr>
            <w:tcW w:w="1040" w:type="dxa"/>
            <w:vAlign w:val="bottom"/>
            <w:shd w:val="clear" w:color="auto" w:fill="CCEEFF"/>
          </w:tcPr>
          <w:p>
            <w:pPr>
              <w:jc w:val="center"/>
              <w:ind w:left="153"/>
              <w:spacing w:after="0"/>
              <w:rPr>
                <w:sz w:val="20"/>
                <w:szCs w:val="20"/>
                <w:color w:val="auto"/>
              </w:rPr>
            </w:pPr>
            <w:r>
              <w:rPr>
                <w:rFonts w:ascii="Times New Roman" w:cs="Times New Roman" w:eastAsia="Times New Roman" w:hAnsi="Times New Roman"/>
                <w:sz w:val="18"/>
                <w:szCs w:val="18"/>
                <w:color w:val="auto"/>
              </w:rPr>
              <w:t>7(ii)</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86,552</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89,610</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Other finance costs</w:t>
            </w:r>
          </w:p>
        </w:tc>
        <w:tc>
          <w:tcPr>
            <w:tcW w:w="1040" w:type="dxa"/>
            <w:vAlign w:val="bottom"/>
          </w:tcPr>
          <w:p>
            <w:pPr>
              <w:jc w:val="center"/>
              <w:ind w:left="153"/>
              <w:spacing w:after="0"/>
              <w:rPr>
                <w:sz w:val="20"/>
                <w:szCs w:val="20"/>
                <w:color w:val="auto"/>
              </w:rPr>
            </w:pPr>
            <w:r>
              <w:rPr>
                <w:rFonts w:ascii="Times New Roman" w:cs="Times New Roman" w:eastAsia="Times New Roman" w:hAnsi="Times New Roman"/>
                <w:sz w:val="18"/>
                <w:szCs w:val="18"/>
                <w:color w:val="auto"/>
                <w:w w:val="88"/>
              </w:rPr>
              <w:t>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4,202</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3,490</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78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 Changes in the carrying amounts of preferred shares and other financial</w:t>
            </w:r>
          </w:p>
        </w:tc>
        <w:tc>
          <w:tcPr>
            <w:tcW w:w="10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instruments subject to redemption and other preferential rights</w:t>
            </w:r>
          </w:p>
        </w:tc>
        <w:tc>
          <w:tcPr>
            <w:tcW w:w="10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479,210</w:t>
            </w: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554,048</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Fair value changes of financial liabilities measured at FVTPL</w:t>
            </w:r>
          </w:p>
        </w:tc>
        <w:tc>
          <w:tcPr>
            <w:tcW w:w="10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(25,308)</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4,549</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Inducement charges of warrants</w:t>
            </w: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125,213</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Fair value changes of financial assets at FVTPL</w:t>
            </w:r>
          </w:p>
        </w:tc>
        <w:tc>
          <w:tcPr>
            <w:tcW w:w="10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(7,731)</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(42,960)</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Net foreign exchange gain</w:t>
            </w:r>
          </w:p>
        </w:tc>
        <w:tc>
          <w:tcPr>
            <w:tcW w:w="10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(10,162)</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(5,932)</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Accrued interest income</w:t>
            </w:r>
          </w:p>
        </w:tc>
        <w:tc>
          <w:tcPr>
            <w:tcW w:w="10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Income tax expense</w:t>
            </w:r>
          </w:p>
        </w:tc>
        <w:tc>
          <w:tcPr>
            <w:tcW w:w="10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2,866</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5,868</w:t>
            </w:r>
          </w:p>
        </w:tc>
        <w:tc>
          <w:tcPr>
            <w:tcW w:w="0" w:type="dxa"/>
            <w:vAlign w:val="bottom"/>
          </w:tcPr>
          <w:p>
            <w:pPr>
              <w:spacing w:after="0"/>
              <w:rPr>
                <w:sz w:val="1"/>
                <w:szCs w:val="1"/>
                <w:color w:val="auto"/>
              </w:rPr>
            </w:pPr>
          </w:p>
        </w:tc>
      </w:tr>
      <w:tr>
        <w:trPr>
          <w:trHeight w:val="324"/>
        </w:trPr>
        <w:tc>
          <w:tcPr>
            <w:tcW w:w="6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Changes in:</w:t>
            </w: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Inventories</w:t>
            </w:r>
          </w:p>
        </w:tc>
        <w:tc>
          <w:tcPr>
            <w:tcW w:w="10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(41,452)</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(68,548)</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Contract assets - current</w:t>
            </w:r>
          </w:p>
        </w:tc>
        <w:tc>
          <w:tcPr>
            <w:tcW w:w="10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(93,062)</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1,717</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Trade receivables</w:t>
            </w:r>
          </w:p>
        </w:tc>
        <w:tc>
          <w:tcPr>
            <w:tcW w:w="10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(215,850)</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(54,076)</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Prepayments and other receivables</w:t>
            </w:r>
          </w:p>
        </w:tc>
        <w:tc>
          <w:tcPr>
            <w:tcW w:w="10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7,055</w:t>
            </w:r>
          </w:p>
        </w:tc>
        <w:tc>
          <w:tcPr>
            <w:tcW w:w="2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(108,442)</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Prepayments to and amounts due from related parties</w:t>
            </w: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8,952</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(25,031)</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Restricted cash</w:t>
            </w:r>
          </w:p>
        </w:tc>
        <w:tc>
          <w:tcPr>
            <w:tcW w:w="10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821</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Other non-current assets</w:t>
            </w:r>
          </w:p>
        </w:tc>
        <w:tc>
          <w:tcPr>
            <w:tcW w:w="10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(21,532)</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22,002</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Trade payables</w:t>
            </w:r>
          </w:p>
        </w:tc>
        <w:tc>
          <w:tcPr>
            <w:tcW w:w="10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(4,485)</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6,291</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Other payables, deposits received and accrued expenses</w:t>
            </w: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9,578</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51,517</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Contract liabilities</w:t>
            </w:r>
          </w:p>
        </w:tc>
        <w:tc>
          <w:tcPr>
            <w:tcW w:w="10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8,298</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Amounts due to related parties</w:t>
            </w:r>
          </w:p>
        </w:tc>
        <w:tc>
          <w:tcPr>
            <w:tcW w:w="10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(18,615)</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52,995</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(68,377)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Other non-current liabilities</w:t>
            </w:r>
          </w:p>
        </w:tc>
        <w:tc>
          <w:tcPr>
            <w:tcW w:w="10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5,266</w:t>
            </w:r>
          </w:p>
        </w:tc>
        <w:tc>
          <w:tcPr>
            <w:tcW w:w="2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4,375</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used in operations</w:t>
            </w:r>
          </w:p>
        </w:tc>
        <w:tc>
          <w:tcPr>
            <w:tcW w:w="104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(670,381)</w:t>
            </w:r>
          </w:p>
        </w:tc>
        <w:tc>
          <w:tcPr>
            <w:tcW w:w="20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(472,024)</w:t>
            </w:r>
          </w:p>
        </w:tc>
        <w:tc>
          <w:tcPr>
            <w:tcW w:w="20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(589,804)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780" w:type="dxa"/>
            <w:vAlign w:val="bottom"/>
            <w:vMerge w:val="restart"/>
          </w:tcPr>
          <w:p>
            <w:pPr>
              <w:ind w:left="4620"/>
              <w:spacing w:after="0"/>
              <w:rPr>
                <w:sz w:val="20"/>
                <w:szCs w:val="20"/>
                <w:color w:val="auto"/>
              </w:rPr>
            </w:pPr>
            <w:r>
              <w:rPr>
                <w:rFonts w:ascii="Times New Roman" w:cs="Times New Roman" w:eastAsia="Times New Roman" w:hAnsi="Times New Roman"/>
                <w:sz w:val="18"/>
                <w:szCs w:val="18"/>
                <w:color w:val="auto"/>
              </w:rPr>
              <w:t>F-52</w:t>
            </w:r>
          </w:p>
        </w:tc>
        <w:tc>
          <w:tcPr>
            <w:tcW w:w="10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7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82" w:right="89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080" w:hanging="532"/>
        <w:spacing w:after="0"/>
        <w:tabs>
          <w:tab w:leader="none" w:pos="1080" w:val="left"/>
        </w:tabs>
        <w:numPr>
          <w:ilvl w:val="0"/>
          <w:numId w:val="19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Reconciliation of movement of liabilities to cash flows arising from financing activities</w:t>
      </w:r>
    </w:p>
    <w:p>
      <w:pPr>
        <w:spacing w:after="0" w:line="121" w:lineRule="exact"/>
        <w:rPr>
          <w:sz w:val="20"/>
          <w:szCs w:val="20"/>
          <w:color w:val="auto"/>
        </w:rPr>
      </w:pPr>
    </w:p>
    <w:p>
      <w:pPr>
        <w:ind w:left="560"/>
        <w:spacing w:after="0" w:line="266" w:lineRule="auto"/>
        <w:rPr>
          <w:sz w:val="20"/>
          <w:szCs w:val="20"/>
          <w:color w:val="auto"/>
        </w:rPr>
      </w:pPr>
      <w:r>
        <w:rPr>
          <w:rFonts w:ascii="Times New Roman" w:cs="Times New Roman" w:eastAsia="Times New Roman" w:hAnsi="Times New Roman"/>
          <w:sz w:val="18"/>
          <w:szCs w:val="18"/>
          <w:color w:val="auto"/>
        </w:rPr>
        <w:t>The table below details changes in the Group’s liabilities from financing activities, including both cash and non-cash changes. Liabilities arising from financing activities are liabilities for which cash flows were, or future cash flows will be, classified into the Group’s consolidated statements of cash flows as cash flows from financing activities.</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i w:val="1"/>
                <w:iCs w:val="1"/>
                <w:color w:val="auto"/>
              </w:rPr>
              <w:t>Preferred shares</w:t>
            </w: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i w:val="1"/>
                <w:iCs w:val="1"/>
                <w:color w:val="auto"/>
              </w:rPr>
              <w:t>and financial</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i w:val="1"/>
                <w:iCs w:val="1"/>
                <w:color w:val="auto"/>
              </w:rPr>
              <w:t>instruments issued</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i w:val="1"/>
                <w:iCs w:val="1"/>
                <w:color w:val="auto"/>
              </w:rPr>
              <w:t>to investors subject</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98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4"/>
                <w:szCs w:val="14"/>
                <w:i w:val="1"/>
                <w:iCs w:val="1"/>
                <w:color w:val="auto"/>
              </w:rPr>
              <w:t>Lease</w:t>
            </w:r>
          </w:p>
        </w:tc>
        <w:tc>
          <w:tcPr>
            <w:tcW w:w="15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i w:val="1"/>
                <w:iCs w:val="1"/>
                <w:color w:val="auto"/>
              </w:rPr>
              <w:t>Financial liabilities</w:t>
            </w:r>
          </w:p>
        </w:tc>
        <w:tc>
          <w:tcPr>
            <w:tcW w:w="14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i w:val="1"/>
                <w:iCs w:val="1"/>
                <w:color w:val="auto"/>
              </w:rPr>
              <w:t>to redemption and</w:t>
            </w:r>
          </w:p>
        </w:tc>
        <w:tc>
          <w:tcPr>
            <w:tcW w:w="10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i w:val="1"/>
                <w:iCs w:val="1"/>
                <w:color w:val="auto"/>
              </w:rPr>
              <w:t>Put option</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i w:val="1"/>
                <w:iCs w:val="1"/>
                <w:color w:val="auto"/>
              </w:rPr>
              <w:t>other preferential</w:t>
            </w:r>
          </w:p>
        </w:tc>
        <w:tc>
          <w:tcPr>
            <w:tcW w:w="1000" w:type="dxa"/>
            <w:vAlign w:val="bottom"/>
            <w:gridSpan w:val="2"/>
            <w:vMerge w:val="continue"/>
          </w:tcPr>
          <w:p>
            <w:pPr>
              <w:spacing w:after="0"/>
              <w:rPr>
                <w:sz w:val="12"/>
                <w:szCs w:val="12"/>
                <w:color w:val="auto"/>
              </w:rPr>
            </w:pPr>
          </w:p>
        </w:tc>
        <w:tc>
          <w:tcPr>
            <w:tcW w:w="8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i w:val="1"/>
                <w:i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98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i w:val="1"/>
                <w:iCs w:val="1"/>
                <w:color w:val="auto"/>
              </w:rPr>
              <w:t>liabilities</w:t>
            </w: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i w:val="1"/>
                <w:iCs w:val="1"/>
                <w:color w:val="auto"/>
              </w:rPr>
              <w:t>measured at FVTPL</w:t>
            </w: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i w:val="1"/>
                <w:iCs w:val="1"/>
                <w:color w:val="auto"/>
                <w:w w:val="97"/>
              </w:rPr>
              <w:t>rights</w:t>
            </w: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i w:val="1"/>
                <w:iCs w:val="1"/>
                <w:color w:val="auto"/>
              </w:rPr>
              <w:t>liabilities</w:t>
            </w: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6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RMB’000</w:t>
            </w:r>
          </w:p>
        </w:tc>
        <w:tc>
          <w:tcPr>
            <w:tcW w:w="360" w:type="dxa"/>
            <w:vAlign w:val="bottom"/>
            <w:gridSpan w:val="2"/>
          </w:tcPr>
          <w:p>
            <w:pPr>
              <w:spacing w:after="0"/>
              <w:rPr>
                <w:sz w:val="10"/>
                <w:szCs w:val="10"/>
                <w:color w:val="auto"/>
              </w:rPr>
            </w:pPr>
          </w:p>
        </w:tc>
        <w:tc>
          <w:tcPr>
            <w:tcW w:w="116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RMB’000</w:t>
            </w:r>
          </w:p>
        </w:tc>
        <w:tc>
          <w:tcPr>
            <w:tcW w:w="360" w:type="dxa"/>
            <w:vAlign w:val="bottom"/>
          </w:tcPr>
          <w:p>
            <w:pPr>
              <w:spacing w:after="0"/>
              <w:rPr>
                <w:sz w:val="10"/>
                <w:szCs w:val="10"/>
                <w:color w:val="auto"/>
              </w:rPr>
            </w:pPr>
          </w:p>
        </w:tc>
        <w:tc>
          <w:tcPr>
            <w:tcW w:w="112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RMB’000</w:t>
            </w:r>
          </w:p>
        </w:tc>
        <w:tc>
          <w:tcPr>
            <w:tcW w:w="340" w:type="dxa"/>
            <w:vAlign w:val="bottom"/>
          </w:tcPr>
          <w:p>
            <w:pPr>
              <w:spacing w:after="0"/>
              <w:rPr>
                <w:sz w:val="10"/>
                <w:szCs w:val="10"/>
                <w:color w:val="auto"/>
              </w:rPr>
            </w:pPr>
          </w:p>
        </w:tc>
        <w:tc>
          <w:tcPr>
            <w:tcW w:w="62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RMB’000</w:t>
            </w:r>
          </w:p>
        </w:tc>
        <w:tc>
          <w:tcPr>
            <w:tcW w:w="380" w:type="dxa"/>
            <w:vAlign w:val="bottom"/>
          </w:tcPr>
          <w:p>
            <w:pPr>
              <w:spacing w:after="0"/>
              <w:rPr>
                <w:sz w:val="10"/>
                <w:szCs w:val="10"/>
                <w:color w:val="auto"/>
              </w:rPr>
            </w:pPr>
          </w:p>
        </w:tc>
        <w:tc>
          <w:tcPr>
            <w:tcW w:w="780" w:type="dxa"/>
            <w:vAlign w:val="bottom"/>
            <w:tcBorders>
              <w:top w:val="single" w:sz="8" w:color="auto"/>
            </w:tcBorders>
          </w:tcPr>
          <w:p>
            <w:pPr>
              <w:jc w:val="right"/>
              <w:ind w:right="12"/>
              <w:spacing w:after="0" w:line="119" w:lineRule="exact"/>
              <w:rPr>
                <w:sz w:val="20"/>
                <w:szCs w:val="20"/>
                <w:color w:val="auto"/>
              </w:rPr>
            </w:pPr>
            <w:r>
              <w:rPr>
                <w:rFonts w:ascii="Times New Roman" w:cs="Times New Roman" w:eastAsia="Times New Roman" w:hAnsi="Times New Roman"/>
                <w:sz w:val="13"/>
                <w:szCs w:val="13"/>
                <w:b w:val="1"/>
                <w:bCs w:val="1"/>
                <w:color w:val="auto"/>
              </w:rPr>
              <w:t>RMB’000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98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(Note 22)</w:t>
            </w: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(Note 27)</w:t>
            </w: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(Note 23)</w:t>
            </w: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(Note 24)</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2022</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93,833</w:t>
            </w:r>
          </w:p>
        </w:tc>
        <w:tc>
          <w:tcPr>
            <w:tcW w:w="3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74,357</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3,790,636</w:t>
            </w:r>
          </w:p>
        </w:tc>
        <w:tc>
          <w:tcPr>
            <w:tcW w:w="1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39,184</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3,998,010</w:t>
            </w:r>
          </w:p>
        </w:tc>
        <w:tc>
          <w:tcPr>
            <w:tcW w:w="0" w:type="dxa"/>
            <w:vAlign w:val="bottom"/>
          </w:tcPr>
          <w:p>
            <w:pPr>
              <w:spacing w:after="0"/>
              <w:rPr>
                <w:sz w:val="1"/>
                <w:szCs w:val="1"/>
                <w:color w:val="auto"/>
              </w:rPr>
            </w:pPr>
          </w:p>
        </w:tc>
      </w:tr>
      <w:tr>
        <w:trPr>
          <w:trHeight w:val="22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Changes from financing cash flows:</w:t>
            </w:r>
          </w:p>
        </w:tc>
        <w:tc>
          <w:tcPr>
            <w:tcW w:w="6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issuance of other financial instruments</w:t>
            </w: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subject to redemption and other preferential rights</w:t>
            </w:r>
          </w:p>
        </w:tc>
        <w:tc>
          <w:tcPr>
            <w:tcW w:w="9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2,163,410</w:t>
            </w:r>
          </w:p>
        </w:tc>
        <w:tc>
          <w:tcPr>
            <w:tcW w:w="1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2,163,410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financial liabilities</w:t>
            </w:r>
          </w:p>
        </w:tc>
        <w:tc>
          <w:tcPr>
            <w:tcW w:w="9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143,829</w:t>
            </w: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ordinary shares</w:t>
            </w:r>
          </w:p>
        </w:tc>
        <w:tc>
          <w:tcPr>
            <w:tcW w:w="9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Payment of repurchase of redeemable preferred shares</w:t>
            </w:r>
          </w:p>
        </w:tc>
        <w:tc>
          <w:tcPr>
            <w:tcW w:w="9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(39,467)</w:t>
            </w: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element of lease rentals paid</w:t>
            </w:r>
          </w:p>
        </w:tc>
        <w:tc>
          <w:tcPr>
            <w:tcW w:w="9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(34,448)</w:t>
            </w:r>
          </w:p>
        </w:tc>
        <w:tc>
          <w:tcPr>
            <w:tcW w:w="15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Interest element of lease rentals paid</w:t>
            </w:r>
          </w:p>
        </w:tc>
        <w:tc>
          <w:tcPr>
            <w:tcW w:w="9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(3,574)</w:t>
            </w:r>
          </w:p>
        </w:tc>
        <w:tc>
          <w:tcPr>
            <w:tcW w:w="15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changes from financing cash flows</w:t>
            </w:r>
          </w:p>
        </w:tc>
        <w:tc>
          <w:tcPr>
            <w:tcW w:w="9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(38,022)</w:t>
            </w:r>
          </w:p>
        </w:tc>
        <w:tc>
          <w:tcPr>
            <w:tcW w:w="15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143,829</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2,123,943</w:t>
            </w:r>
          </w:p>
        </w:tc>
        <w:tc>
          <w:tcPr>
            <w:tcW w:w="1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— </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2,229,750</w:t>
            </w:r>
          </w:p>
        </w:tc>
        <w:tc>
          <w:tcPr>
            <w:tcW w:w="0" w:type="dxa"/>
            <w:vAlign w:val="bottom"/>
          </w:tcPr>
          <w:p>
            <w:pPr>
              <w:spacing w:after="0"/>
              <w:rPr>
                <w:sz w:val="1"/>
                <w:szCs w:val="1"/>
                <w:color w:val="auto"/>
              </w:rPr>
            </w:pPr>
          </w:p>
        </w:tc>
      </w:tr>
      <w:tr>
        <w:trPr>
          <w:trHeight w:val="22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Exchange adjustments</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6,550</w:t>
            </w:r>
          </w:p>
        </w:tc>
        <w:tc>
          <w:tcPr>
            <w:tcW w:w="36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450,748</w:t>
            </w:r>
          </w:p>
        </w:tc>
        <w:tc>
          <w:tcPr>
            <w:tcW w:w="340" w:type="dxa"/>
            <w:vAlign w:val="bottom"/>
          </w:tcPr>
          <w:p>
            <w:pPr>
              <w:spacing w:after="0"/>
              <w:rPr>
                <w:sz w:val="19"/>
                <w:szCs w:val="19"/>
                <w:color w:val="auto"/>
              </w:rPr>
            </w:pPr>
          </w:p>
        </w:tc>
        <w:tc>
          <w:tcPr>
            <w:tcW w:w="62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6"/>
              </w:rPr>
              <w:t>— </w:t>
            </w:r>
          </w:p>
        </w:tc>
        <w:tc>
          <w:tcPr>
            <w:tcW w:w="3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459,137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changes:</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Increase in lease liabilities from entering into new</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leases during the year</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6,649</w:t>
            </w:r>
          </w:p>
        </w:tc>
        <w:tc>
          <w:tcPr>
            <w:tcW w:w="340" w:type="dxa"/>
            <w:vAlign w:val="bottom"/>
          </w:tcPr>
          <w:p>
            <w:pPr>
              <w:spacing w:after="0"/>
              <w:rPr>
                <w:sz w:val="20"/>
                <w:szCs w:val="20"/>
                <w:color w:val="auto"/>
              </w:rPr>
            </w:pPr>
          </w:p>
        </w:tc>
        <w:tc>
          <w:tcPr>
            <w:tcW w:w="15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interest expenses</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3,574</w:t>
            </w:r>
          </w:p>
        </w:tc>
        <w:tc>
          <w:tcPr>
            <w:tcW w:w="3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Changes in the carrying amount of put option</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liabilities</w:t>
            </w:r>
          </w:p>
        </w:tc>
        <w:tc>
          <w:tcPr>
            <w:tcW w:w="9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628</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Changes in the carrying amounts of preferred shares</w:t>
            </w: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other financial instruments subject to</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redemption and other preferential rights</w:t>
            </w:r>
          </w:p>
        </w:tc>
        <w:tc>
          <w:tcPr>
            <w:tcW w:w="9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479,210</w:t>
            </w:r>
          </w:p>
        </w:tc>
        <w:tc>
          <w:tcPr>
            <w:tcW w:w="1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479,210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Fair value changes of financial liabilities measured at</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FVTPL</w:t>
            </w:r>
          </w:p>
        </w:tc>
        <w:tc>
          <w:tcPr>
            <w:tcW w:w="9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(25,308)</w:t>
            </w: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Inducement charges of warrants</w:t>
            </w:r>
          </w:p>
        </w:tc>
        <w:tc>
          <w:tcPr>
            <w:tcW w:w="9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125,213</w:t>
            </w:r>
          </w:p>
        </w:tc>
        <w:tc>
          <w:tcPr>
            <w:tcW w:w="14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125,213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Exercise of warrants to subscribe for convertible</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redeemable preferred shares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spacing w:after="0"/>
              <w:rPr>
                <w:sz w:val="20"/>
                <w:szCs w:val="20"/>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(252,529)</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173,017</w:t>
            </w: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(79,512)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changes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10,223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(152,624)</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652,227</w:t>
            </w:r>
          </w:p>
        </w:tc>
        <w:tc>
          <w:tcPr>
            <w:tcW w:w="1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628</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510,454</w:t>
            </w:r>
          </w:p>
        </w:tc>
        <w:tc>
          <w:tcPr>
            <w:tcW w:w="0" w:type="dxa"/>
            <w:vAlign w:val="bottom"/>
          </w:tcPr>
          <w:p>
            <w:pPr>
              <w:spacing w:after="0"/>
              <w:rPr>
                <w:sz w:val="1"/>
                <w:szCs w:val="1"/>
                <w:color w:val="auto"/>
              </w:rPr>
            </w:pPr>
          </w:p>
        </w:tc>
      </w:tr>
      <w:tr>
        <w:trPr>
          <w:trHeight w:val="22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67,873</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72,112</w:t>
            </w:r>
          </w:p>
        </w:tc>
        <w:tc>
          <w:tcPr>
            <w:tcW w:w="36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7,017,554</w:t>
            </w:r>
          </w:p>
        </w:tc>
        <w:tc>
          <w:tcPr>
            <w:tcW w:w="340" w:type="dxa"/>
            <w:vAlign w:val="bottom"/>
          </w:tcPr>
          <w:p>
            <w:pPr>
              <w:spacing w:after="0"/>
              <w:rPr>
                <w:sz w:val="19"/>
                <w:szCs w:val="19"/>
                <w:color w:val="auto"/>
              </w:rPr>
            </w:pPr>
          </w:p>
        </w:tc>
        <w:tc>
          <w:tcPr>
            <w:tcW w:w="6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w w:val="96"/>
              </w:rPr>
              <w:t>39,812</w:t>
            </w:r>
          </w:p>
        </w:tc>
        <w:tc>
          <w:tcPr>
            <w:tcW w:w="3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7,197,351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F-53</w:t>
            </w: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82" w:right="51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i w:val="1"/>
                <w:iCs w:val="1"/>
                <w:color w:val="auto"/>
              </w:rPr>
              <w:t>Preferred shares and</w:t>
            </w: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i w:val="1"/>
                <w:iCs w:val="1"/>
                <w:color w:val="auto"/>
              </w:rPr>
              <w:t>financial instruments</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i w:val="1"/>
                <w:iCs w:val="1"/>
                <w:color w:val="auto"/>
              </w:rPr>
              <w:t>Financial liabilities</w:t>
            </w:r>
          </w:p>
        </w:tc>
        <w:tc>
          <w:tcPr>
            <w:tcW w:w="16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i w:val="1"/>
                <w:iCs w:val="1"/>
                <w:color w:val="auto"/>
              </w:rPr>
              <w:t>issued to investors</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720" w:type="dxa"/>
            <w:vAlign w:val="bottom"/>
            <w:gridSpan w:val="2"/>
            <w:vMerge w:val="restart"/>
          </w:tcPr>
          <w:p>
            <w:pPr>
              <w:jc w:val="right"/>
              <w:ind w:right="161"/>
              <w:spacing w:after="0"/>
              <w:rPr>
                <w:sz w:val="20"/>
                <w:szCs w:val="20"/>
                <w:color w:val="auto"/>
              </w:rPr>
            </w:pPr>
            <w:r>
              <w:rPr>
                <w:rFonts w:ascii="Times New Roman" w:cs="Times New Roman" w:eastAsia="Times New Roman" w:hAnsi="Times New Roman"/>
                <w:sz w:val="14"/>
                <w:szCs w:val="14"/>
                <w:i w:val="1"/>
                <w:iCs w:val="1"/>
                <w:color w:val="auto"/>
              </w:rPr>
              <w:t>Lease</w:t>
            </w:r>
          </w:p>
        </w:tc>
        <w:tc>
          <w:tcPr>
            <w:tcW w:w="2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i w:val="1"/>
                <w:iCs w:val="1"/>
                <w:color w:val="auto"/>
              </w:rPr>
              <w:t>subject to redemption</w:t>
            </w:r>
          </w:p>
        </w:tc>
        <w:tc>
          <w:tcPr>
            <w:tcW w:w="10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i w:val="1"/>
                <w:iCs w:val="1"/>
                <w:color w:val="auto"/>
              </w:rPr>
              <w:t>Put option</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i w:val="1"/>
                <w:iCs w:val="1"/>
                <w:color w:val="auto"/>
              </w:rPr>
              <w:t>measured at</w:t>
            </w:r>
          </w:p>
        </w:tc>
        <w:tc>
          <w:tcPr>
            <w:tcW w:w="16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i w:val="1"/>
                <w:iCs w:val="1"/>
                <w:color w:val="auto"/>
              </w:rPr>
              <w:t>and other preferential</w:t>
            </w:r>
          </w:p>
        </w:tc>
        <w:tc>
          <w:tcPr>
            <w:tcW w:w="1000" w:type="dxa"/>
            <w:vAlign w:val="bottom"/>
            <w:gridSpan w:val="2"/>
            <w:vMerge w:val="continue"/>
          </w:tcPr>
          <w:p>
            <w:pPr>
              <w:spacing w:after="0"/>
              <w:rPr>
                <w:sz w:val="12"/>
                <w:szCs w:val="12"/>
                <w:color w:val="auto"/>
              </w:rPr>
            </w:pPr>
          </w:p>
        </w:tc>
        <w:tc>
          <w:tcPr>
            <w:tcW w:w="8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i w:val="1"/>
                <w:i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4"/>
                <w:szCs w:val="14"/>
                <w:i w:val="1"/>
                <w:iCs w:val="1"/>
                <w:color w:val="auto"/>
              </w:rPr>
              <w:t>liabilities</w:t>
            </w:r>
          </w:p>
        </w:tc>
        <w:tc>
          <w:tcPr>
            <w:tcW w:w="240" w:type="dxa"/>
            <w:vAlign w:val="bottom"/>
          </w:tcPr>
          <w:p>
            <w:pPr>
              <w:spacing w:after="0"/>
              <w:rPr>
                <w:sz w:val="15"/>
                <w:szCs w:val="15"/>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i w:val="1"/>
                <w:iCs w:val="1"/>
                <w:color w:val="auto"/>
              </w:rPr>
              <w:t>FVTPL</w:t>
            </w:r>
          </w:p>
        </w:tc>
        <w:tc>
          <w:tcPr>
            <w:tcW w:w="16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i w:val="1"/>
                <w:iCs w:val="1"/>
                <w:color w:val="auto"/>
              </w:rPr>
              <w:t>rights</w:t>
            </w: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i w:val="1"/>
                <w:iCs w:val="1"/>
                <w:color w:val="auto"/>
              </w:rPr>
              <w:t>liabilities</w:t>
            </w: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6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RMB’000</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RMB’000</w:t>
            </w:r>
          </w:p>
        </w:tc>
        <w:tc>
          <w:tcPr>
            <w:tcW w:w="340" w:type="dxa"/>
            <w:vAlign w:val="bottom"/>
          </w:tcPr>
          <w:p>
            <w:pPr>
              <w:spacing w:after="0"/>
              <w:rPr>
                <w:sz w:val="10"/>
                <w:szCs w:val="10"/>
                <w:color w:val="auto"/>
              </w:rPr>
            </w:pPr>
          </w:p>
        </w:tc>
        <w:tc>
          <w:tcPr>
            <w:tcW w:w="128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RMB’000</w:t>
            </w:r>
          </w:p>
        </w:tc>
        <w:tc>
          <w:tcPr>
            <w:tcW w:w="360" w:type="dxa"/>
            <w:vAlign w:val="bottom"/>
          </w:tcPr>
          <w:p>
            <w:pPr>
              <w:spacing w:after="0"/>
              <w:rPr>
                <w:sz w:val="10"/>
                <w:szCs w:val="10"/>
                <w:color w:val="auto"/>
              </w:rPr>
            </w:pPr>
          </w:p>
        </w:tc>
        <w:tc>
          <w:tcPr>
            <w:tcW w:w="62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RMB’000</w:t>
            </w:r>
          </w:p>
        </w:tc>
        <w:tc>
          <w:tcPr>
            <w:tcW w:w="380" w:type="dxa"/>
            <w:vAlign w:val="bottom"/>
          </w:tcPr>
          <w:p>
            <w:pPr>
              <w:spacing w:after="0"/>
              <w:rPr>
                <w:sz w:val="10"/>
                <w:szCs w:val="10"/>
                <w:color w:val="auto"/>
              </w:rPr>
            </w:pPr>
          </w:p>
        </w:tc>
        <w:tc>
          <w:tcPr>
            <w:tcW w:w="780" w:type="dxa"/>
            <w:vAlign w:val="bottom"/>
            <w:tcBorders>
              <w:top w:val="single" w:sz="8" w:color="auto"/>
            </w:tcBorders>
          </w:tcPr>
          <w:p>
            <w:pPr>
              <w:jc w:val="right"/>
              <w:ind w:right="12"/>
              <w:spacing w:after="0" w:line="119" w:lineRule="exact"/>
              <w:rPr>
                <w:sz w:val="20"/>
                <w:szCs w:val="20"/>
                <w:color w:val="auto"/>
              </w:rPr>
            </w:pPr>
            <w:r>
              <w:rPr>
                <w:rFonts w:ascii="Times New Roman" w:cs="Times New Roman" w:eastAsia="Times New Roman" w:hAnsi="Times New Roman"/>
                <w:sz w:val="13"/>
                <w:szCs w:val="13"/>
                <w:b w:val="1"/>
                <w:bCs w:val="1"/>
                <w:color w:val="auto"/>
              </w:rPr>
              <w:t>RMB’000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4"/>
                <w:szCs w:val="14"/>
                <w:color w:val="auto"/>
              </w:rPr>
              <w:t>(Note 22)</w:t>
            </w:r>
          </w:p>
        </w:tc>
        <w:tc>
          <w:tcPr>
            <w:tcW w:w="240" w:type="dxa"/>
            <w:vAlign w:val="bottom"/>
          </w:tcPr>
          <w:p>
            <w:pPr>
              <w:spacing w:after="0"/>
              <w:rPr>
                <w:sz w:val="14"/>
                <w:szCs w:val="14"/>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(Note 27)</w:t>
            </w:r>
          </w:p>
        </w:tc>
        <w:tc>
          <w:tcPr>
            <w:tcW w:w="16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(Note 23)</w:t>
            </w: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(Note 24)</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2023</w:t>
            </w:r>
          </w:p>
        </w:tc>
        <w:tc>
          <w:tcPr>
            <w:tcW w:w="7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67,873</w:t>
            </w:r>
          </w:p>
        </w:tc>
        <w:tc>
          <w:tcPr>
            <w:tcW w:w="17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72,112</w:t>
            </w:r>
          </w:p>
        </w:tc>
        <w:tc>
          <w:tcPr>
            <w:tcW w:w="16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7,017,554</w:t>
            </w:r>
          </w:p>
        </w:tc>
        <w:tc>
          <w:tcPr>
            <w:tcW w:w="1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39,812</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7,197,351</w:t>
            </w:r>
          </w:p>
        </w:tc>
        <w:tc>
          <w:tcPr>
            <w:tcW w:w="0" w:type="dxa"/>
            <w:vAlign w:val="bottom"/>
          </w:tcPr>
          <w:p>
            <w:pPr>
              <w:spacing w:after="0"/>
              <w:rPr>
                <w:sz w:val="1"/>
                <w:szCs w:val="1"/>
                <w:color w:val="auto"/>
              </w:rPr>
            </w:pPr>
          </w:p>
        </w:tc>
      </w:tr>
      <w:tr>
        <w:trPr>
          <w:trHeight w:val="223"/>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Changes from financing cash flows:</w:t>
            </w: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issuance of other financial</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instruments subject to redemption and other</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485,262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preferential rights</w:t>
            </w:r>
          </w:p>
        </w:tc>
        <w:tc>
          <w:tcPr>
            <w:tcW w:w="7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485,262</w:t>
            </w:r>
          </w:p>
        </w:tc>
        <w:tc>
          <w:tcPr>
            <w:tcW w:w="1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Capital element of lease rentals paid</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(38,163)</w:t>
            </w:r>
          </w:p>
        </w:tc>
        <w:tc>
          <w:tcPr>
            <w:tcW w:w="240" w:type="dxa"/>
            <w:vAlign w:val="bottom"/>
          </w:tcPr>
          <w:p>
            <w:pPr>
              <w:spacing w:after="0"/>
              <w:rPr>
                <w:sz w:val="18"/>
                <w:szCs w:val="18"/>
                <w:color w:val="auto"/>
              </w:rPr>
            </w:pP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(38,163)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element of lease rentals paid</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(2,853)</w:t>
            </w:r>
          </w:p>
        </w:tc>
        <w:tc>
          <w:tcPr>
            <w:tcW w:w="0" w:type="dxa"/>
            <w:vAlign w:val="bottom"/>
          </w:tcPr>
          <w:p>
            <w:pPr>
              <w:spacing w:after="0"/>
              <w:rPr>
                <w:sz w:val="1"/>
                <w:szCs w:val="1"/>
                <w:color w:val="auto"/>
              </w:rPr>
            </w:pPr>
          </w:p>
        </w:tc>
      </w:tr>
      <w:tr>
        <w:trPr>
          <w:trHeight w:val="230"/>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changes from financing cash flows</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(41,016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485,262</w:t>
            </w:r>
          </w:p>
        </w:tc>
        <w:tc>
          <w:tcPr>
            <w:tcW w:w="360" w:type="dxa"/>
            <w:vAlign w:val="bottom"/>
          </w:tcPr>
          <w:p>
            <w:pPr>
              <w:spacing w:after="0"/>
              <w:rPr>
                <w:sz w:val="20"/>
                <w:szCs w:val="20"/>
                <w:color w:val="auto"/>
              </w:rPr>
            </w:pPr>
          </w:p>
        </w:tc>
        <w:tc>
          <w:tcPr>
            <w:tcW w:w="62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w w:val="96"/>
              </w:rPr>
              <w:t>— </w:t>
            </w:r>
          </w:p>
        </w:tc>
        <w:tc>
          <w:tcPr>
            <w:tcW w:w="3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444,246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Exchange adjustments</w:t>
            </w:r>
          </w:p>
        </w:tc>
        <w:tc>
          <w:tcPr>
            <w:tcW w:w="7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426</w:t>
            </w:r>
          </w:p>
        </w:tc>
        <w:tc>
          <w:tcPr>
            <w:tcW w:w="17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1,627</w:t>
            </w:r>
          </w:p>
        </w:tc>
        <w:tc>
          <w:tcPr>
            <w:tcW w:w="16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124,858</w:t>
            </w:r>
          </w:p>
        </w:tc>
        <w:tc>
          <w:tcPr>
            <w:tcW w:w="1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126,911</w:t>
            </w:r>
          </w:p>
        </w:tc>
        <w:tc>
          <w:tcPr>
            <w:tcW w:w="0" w:type="dxa"/>
            <w:vAlign w:val="bottom"/>
          </w:tcPr>
          <w:p>
            <w:pPr>
              <w:spacing w:after="0"/>
              <w:rPr>
                <w:sz w:val="1"/>
                <w:szCs w:val="1"/>
                <w:color w:val="auto"/>
              </w:rPr>
            </w:pPr>
          </w:p>
        </w:tc>
      </w:tr>
      <w:tr>
        <w:trPr>
          <w:trHeight w:val="324"/>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changes: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in lease liabilities from entering into new</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23,271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leases during the year</w:t>
            </w:r>
          </w:p>
        </w:tc>
        <w:tc>
          <w:tcPr>
            <w:tcW w:w="7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23,271</w:t>
            </w:r>
          </w:p>
        </w:tc>
        <w:tc>
          <w:tcPr>
            <w:tcW w:w="24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Increase in interest expenses</w:t>
            </w:r>
          </w:p>
        </w:tc>
        <w:tc>
          <w:tcPr>
            <w:tcW w:w="7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2,853</w:t>
            </w:r>
          </w:p>
        </w:tc>
        <w:tc>
          <w:tcPr>
            <w:tcW w:w="240" w:type="dxa"/>
            <w:vAlign w:val="bottom"/>
          </w:tcPr>
          <w:p>
            <w:pPr>
              <w:spacing w:after="0"/>
              <w:rPr>
                <w:sz w:val="18"/>
                <w:szCs w:val="18"/>
                <w:color w:val="auto"/>
              </w:rPr>
            </w:pP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2,853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Changes in the carrying amount of put option</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637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liabilities</w:t>
            </w:r>
          </w:p>
        </w:tc>
        <w:tc>
          <w:tcPr>
            <w:tcW w:w="7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637</w:t>
            </w:r>
          </w:p>
        </w:tc>
        <w:tc>
          <w:tcPr>
            <w:tcW w:w="8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Changes in the carrying amounts of preferred shares</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other financial instruments subject to</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554,048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redemption and other preferential rights</w:t>
            </w:r>
          </w:p>
        </w:tc>
        <w:tc>
          <w:tcPr>
            <w:tcW w:w="7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554,048</w:t>
            </w: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Fair value changes of financial liabilities measured</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4,549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at FVTPL</w:t>
            </w:r>
          </w:p>
        </w:tc>
        <w:tc>
          <w:tcPr>
            <w:tcW w:w="7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4,549</w:t>
            </w:r>
          </w:p>
        </w:tc>
        <w:tc>
          <w:tcPr>
            <w:tcW w:w="16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Deemed distribution to a preferred shareholder</w:t>
            </w:r>
          </w:p>
        </w:tc>
        <w:tc>
          <w:tcPr>
            <w:tcW w:w="7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32,767</w:t>
            </w:r>
          </w:p>
        </w:tc>
        <w:tc>
          <w:tcPr>
            <w:tcW w:w="16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32,767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 of warrants to subscribe for convertible</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(111,055)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redeemable preferred shares</w:t>
            </w:r>
          </w:p>
        </w:tc>
        <w:tc>
          <w:tcPr>
            <w:tcW w:w="7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(111,055)</w:t>
            </w:r>
          </w:p>
        </w:tc>
        <w:tc>
          <w:tcPr>
            <w:tcW w:w="16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other changes</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(73,739)</w:t>
            </w:r>
          </w:p>
        </w:tc>
        <w:tc>
          <w:tcPr>
            <w:tcW w:w="340" w:type="dxa"/>
            <w:vAlign w:val="bottom"/>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554,048</w:t>
            </w:r>
          </w:p>
        </w:tc>
        <w:tc>
          <w:tcPr>
            <w:tcW w:w="360" w:type="dxa"/>
            <w:vAlign w:val="bottom"/>
          </w:tcPr>
          <w:p>
            <w:pPr>
              <w:spacing w:after="0"/>
              <w:rPr>
                <w:sz w:val="20"/>
                <w:szCs w:val="20"/>
                <w:color w:val="auto"/>
              </w:rPr>
            </w:pPr>
          </w:p>
        </w:tc>
        <w:tc>
          <w:tcPr>
            <w:tcW w:w="62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w w:val="96"/>
              </w:rPr>
              <w:t>637</w:t>
            </w:r>
          </w:p>
        </w:tc>
        <w:tc>
          <w:tcPr>
            <w:tcW w:w="3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507,070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53,407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8,181,722</w:t>
            </w:r>
          </w:p>
        </w:tc>
        <w:tc>
          <w:tcPr>
            <w:tcW w:w="3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w w:val="96"/>
              </w:rPr>
              <w:t>40,449</w:t>
            </w:r>
          </w:p>
        </w:tc>
        <w:tc>
          <w:tcPr>
            <w:tcW w:w="3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8,275,578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3"/>
          </w:tcPr>
          <w:p>
            <w:pPr>
              <w:jc w:val="right"/>
              <w:ind w:right="1360"/>
              <w:spacing w:after="0"/>
              <w:rPr>
                <w:sz w:val="20"/>
                <w:szCs w:val="20"/>
                <w:color w:val="auto"/>
              </w:rPr>
            </w:pPr>
            <w:r>
              <w:rPr>
                <w:rFonts w:ascii="Times New Roman" w:cs="Times New Roman" w:eastAsia="Times New Roman" w:hAnsi="Times New Roman"/>
                <w:sz w:val="18"/>
                <w:szCs w:val="18"/>
                <w:color w:val="auto"/>
              </w:rPr>
              <w:t>F-54</w:t>
            </w: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82" w:right="89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i w:val="1"/>
                <w:iCs w:val="1"/>
                <w:color w:val="auto"/>
              </w:rPr>
              <w:t>Preferred shares and</w:t>
            </w: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i w:val="1"/>
                <w:iCs w:val="1"/>
                <w:color w:val="auto"/>
              </w:rPr>
              <w:t>financial instruments</w:t>
            </w: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i w:val="1"/>
                <w:iCs w:val="1"/>
                <w:color w:val="auto"/>
              </w:rPr>
              <w:t>issued to investors</w:t>
            </w: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9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i w:val="1"/>
                <w:iCs w:val="1"/>
                <w:color w:val="auto"/>
              </w:rPr>
              <w:t>Lease</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i w:val="1"/>
                <w:iCs w:val="1"/>
                <w:color w:val="auto"/>
              </w:rPr>
              <w:t>subject to redemption</w:t>
            </w:r>
          </w:p>
        </w:tc>
        <w:tc>
          <w:tcPr>
            <w:tcW w:w="9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i w:val="1"/>
                <w:iCs w:val="1"/>
                <w:color w:val="auto"/>
              </w:rPr>
              <w:t>Put option</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i w:val="1"/>
                <w:iCs w:val="1"/>
                <w:color w:val="auto"/>
              </w:rPr>
              <w:t>Bank loans</w:t>
            </w:r>
          </w:p>
        </w:tc>
        <w:tc>
          <w:tcPr>
            <w:tcW w:w="15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i w:val="1"/>
                <w:iCs w:val="1"/>
                <w:color w:val="auto"/>
              </w:rPr>
              <w:t>and other preferential</w:t>
            </w:r>
          </w:p>
        </w:tc>
        <w:tc>
          <w:tcPr>
            <w:tcW w:w="940" w:type="dxa"/>
            <w:vAlign w:val="bottom"/>
            <w:gridSpan w:val="2"/>
            <w:vMerge w:val="continue"/>
          </w:tcPr>
          <w:p>
            <w:pPr>
              <w:spacing w:after="0"/>
              <w:rPr>
                <w:sz w:val="12"/>
                <w:szCs w:val="12"/>
                <w:color w:val="auto"/>
              </w:rPr>
            </w:pPr>
          </w:p>
        </w:tc>
        <w:tc>
          <w:tcPr>
            <w:tcW w:w="94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4"/>
                <w:szCs w:val="14"/>
                <w:i w:val="1"/>
                <w:i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i w:val="1"/>
                <w:iCs w:val="1"/>
                <w:color w:val="auto"/>
              </w:rPr>
              <w:t>liabilities</w:t>
            </w:r>
          </w:p>
        </w:tc>
        <w:tc>
          <w:tcPr>
            <w:tcW w:w="940" w:type="dxa"/>
            <w:vAlign w:val="bottom"/>
            <w:gridSpan w:val="2"/>
            <w:vMerge w:val="continue"/>
          </w:tcPr>
          <w:p>
            <w:pPr>
              <w:spacing w:after="0"/>
              <w:rPr>
                <w:sz w:val="15"/>
                <w:szCs w:val="15"/>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i w:val="1"/>
                <w:iCs w:val="1"/>
                <w:color w:val="auto"/>
                <w:w w:val="97"/>
              </w:rPr>
              <w:t>rights</w:t>
            </w: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liabilities</w:t>
            </w: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6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RMB’000</w:t>
            </w:r>
          </w:p>
        </w:tc>
        <w:tc>
          <w:tcPr>
            <w:tcW w:w="300" w:type="dxa"/>
            <w:vAlign w:val="bottom"/>
          </w:tcPr>
          <w:p>
            <w:pPr>
              <w:spacing w:after="0"/>
              <w:rPr>
                <w:sz w:val="10"/>
                <w:szCs w:val="10"/>
                <w:color w:val="auto"/>
              </w:rPr>
            </w:pPr>
          </w:p>
        </w:tc>
        <w:tc>
          <w:tcPr>
            <w:tcW w:w="64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RMB’000</w:t>
            </w:r>
          </w:p>
        </w:tc>
        <w:tc>
          <w:tcPr>
            <w:tcW w:w="300" w:type="dxa"/>
            <w:vAlign w:val="bottom"/>
          </w:tcPr>
          <w:p>
            <w:pPr>
              <w:spacing w:after="0"/>
              <w:rPr>
                <w:sz w:val="10"/>
                <w:szCs w:val="10"/>
                <w:color w:val="auto"/>
              </w:rPr>
            </w:pPr>
          </w:p>
        </w:tc>
        <w:tc>
          <w:tcPr>
            <w:tcW w:w="128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RMB’000</w:t>
            </w:r>
          </w:p>
        </w:tc>
        <w:tc>
          <w:tcPr>
            <w:tcW w:w="280" w:type="dxa"/>
            <w:vAlign w:val="bottom"/>
          </w:tcPr>
          <w:p>
            <w:pPr>
              <w:spacing w:after="0"/>
              <w:rPr>
                <w:sz w:val="10"/>
                <w:szCs w:val="10"/>
                <w:color w:val="auto"/>
              </w:rPr>
            </w:pPr>
          </w:p>
        </w:tc>
        <w:tc>
          <w:tcPr>
            <w:tcW w:w="62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RMB’000</w:t>
            </w:r>
          </w:p>
        </w:tc>
        <w:tc>
          <w:tcPr>
            <w:tcW w:w="320" w:type="dxa"/>
            <w:vAlign w:val="bottom"/>
          </w:tcPr>
          <w:p>
            <w:pPr>
              <w:spacing w:after="0"/>
              <w:rPr>
                <w:sz w:val="10"/>
                <w:szCs w:val="10"/>
                <w:color w:val="auto"/>
              </w:rPr>
            </w:pPr>
          </w:p>
        </w:tc>
        <w:tc>
          <w:tcPr>
            <w:tcW w:w="840" w:type="dxa"/>
            <w:vAlign w:val="bottom"/>
            <w:tcBorders>
              <w:top w:val="single" w:sz="8" w:color="auto"/>
            </w:tcBorders>
          </w:tcPr>
          <w:p>
            <w:pPr>
              <w:jc w:val="right"/>
              <w:ind w:right="32"/>
              <w:spacing w:after="0" w:line="119" w:lineRule="exact"/>
              <w:rPr>
                <w:sz w:val="20"/>
                <w:szCs w:val="20"/>
                <w:color w:val="auto"/>
              </w:rPr>
            </w:pPr>
            <w:r>
              <w:rPr>
                <w:rFonts w:ascii="Times New Roman" w:cs="Times New Roman" w:eastAsia="Times New Roman" w:hAnsi="Times New Roman"/>
                <w:sz w:val="13"/>
                <w:szCs w:val="13"/>
                <w:b w:val="1"/>
                <w:bCs w:val="1"/>
                <w:color w:val="auto"/>
              </w:rPr>
              <w:t>RMB’000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(Note 22)</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(Note 28)</w:t>
            </w: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(Note 23)</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(Note 24)</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2024</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53,407</w:t>
            </w:r>
          </w:p>
        </w:tc>
        <w:tc>
          <w:tcPr>
            <w:tcW w:w="9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— </w:t>
            </w:r>
          </w:p>
        </w:tc>
        <w:tc>
          <w:tcPr>
            <w:tcW w:w="1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8,181,722</w:t>
            </w:r>
          </w:p>
        </w:tc>
        <w:tc>
          <w:tcPr>
            <w:tcW w:w="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40,449</w:t>
            </w: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8,275,578</w:t>
            </w: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Changes from financing cash flows:</w:t>
            </w:r>
          </w:p>
        </w:tc>
        <w:tc>
          <w:tcPr>
            <w:tcW w:w="6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bank loans</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80,000</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Payment of interest of bank loans</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(466)</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element of lease rentals paid</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(44,976)</w:t>
            </w:r>
          </w:p>
        </w:tc>
        <w:tc>
          <w:tcPr>
            <w:tcW w:w="9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Interest element of lease rentals paid</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(2,276)</w:t>
            </w:r>
          </w:p>
        </w:tc>
        <w:tc>
          <w:tcPr>
            <w:tcW w:w="9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changes from financing cash flows</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(47,252)</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79,534</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— </w:t>
            </w:r>
          </w:p>
        </w:tc>
        <w:tc>
          <w:tcPr>
            <w:tcW w:w="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— </w:t>
            </w: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32,282</w:t>
            </w:r>
          </w:p>
        </w:tc>
        <w:tc>
          <w:tcPr>
            <w:tcW w:w="0" w:type="dxa"/>
            <w:vAlign w:val="bottom"/>
          </w:tcPr>
          <w:p>
            <w:pPr>
              <w:spacing w:after="0"/>
              <w:rPr>
                <w:sz w:val="1"/>
                <w:szCs w:val="1"/>
                <w:color w:val="auto"/>
              </w:rPr>
            </w:pPr>
          </w:p>
        </w:tc>
      </w:tr>
      <w:tr>
        <w:trPr>
          <w:trHeight w:val="232"/>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Exchange adjustments</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300" w:type="dxa"/>
            <w:vAlign w:val="bottom"/>
          </w:tcPr>
          <w:p>
            <w:pPr>
              <w:spacing w:after="0"/>
              <w:rPr>
                <w:sz w:val="20"/>
                <w:szCs w:val="20"/>
                <w:color w:val="auto"/>
              </w:rPr>
            </w:pPr>
          </w:p>
        </w:tc>
        <w:tc>
          <w:tcPr>
            <w:tcW w:w="64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88"/>
              </w:rPr>
              <w:t>— </w:t>
            </w:r>
          </w:p>
        </w:tc>
        <w:tc>
          <w:tcPr>
            <w:tcW w:w="300" w:type="dxa"/>
            <w:vAlign w:val="bottom"/>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29,771</w:t>
            </w:r>
          </w:p>
        </w:tc>
        <w:tc>
          <w:tcPr>
            <w:tcW w:w="280" w:type="dxa"/>
            <w:vAlign w:val="bottom"/>
          </w:tcPr>
          <w:p>
            <w:pPr>
              <w:spacing w:after="0"/>
              <w:rPr>
                <w:sz w:val="20"/>
                <w:szCs w:val="20"/>
                <w:color w:val="auto"/>
              </w:rPr>
            </w:pPr>
          </w:p>
        </w:tc>
        <w:tc>
          <w:tcPr>
            <w:tcW w:w="62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6"/>
              </w:rPr>
              <w:t>— </w:t>
            </w:r>
          </w:p>
        </w:tc>
        <w:tc>
          <w:tcPr>
            <w:tcW w:w="320" w:type="dxa"/>
            <w:vAlign w:val="bottom"/>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changes:</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Increase in lease liabilities from entering into new leases</w:t>
            </w: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gridSpan w:val="2"/>
            <w:vMerge w:val="restart"/>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59,159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during the year</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59,159</w:t>
            </w:r>
          </w:p>
        </w:tc>
        <w:tc>
          <w:tcPr>
            <w:tcW w:w="9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interest expenses</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2,276</w:t>
            </w:r>
          </w:p>
        </w:tc>
        <w:tc>
          <w:tcPr>
            <w:tcW w:w="9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525</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carrying amount of put option liabilities</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650</w:t>
            </w: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Early termination of lease</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(3,207)</w:t>
            </w:r>
          </w:p>
        </w:tc>
        <w:tc>
          <w:tcPr>
            <w:tcW w:w="9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Gain from early termination of lease</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(1,825)</w:t>
            </w:r>
          </w:p>
        </w:tc>
        <w:tc>
          <w:tcPr>
            <w:tcW w:w="9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(1,825)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Changes in the carrying amounts of preferred shares and other</w:t>
            </w: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financial instruments subject to redemption and other</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465,254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preferential rights</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465,254</w:t>
            </w:r>
          </w:p>
        </w:tc>
        <w:tc>
          <w:tcPr>
            <w:tcW w:w="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Cancellation of other financial instruments issued to an</w:t>
            </w: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investor</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(27,831)</w:t>
            </w: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from preferred shares to ordinary shares</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(8,648,916)</w:t>
            </w:r>
          </w:p>
        </w:tc>
        <w:tc>
          <w:tcPr>
            <w:tcW w:w="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(8,648,916)</w:t>
            </w:r>
          </w:p>
        </w:tc>
        <w:tc>
          <w:tcPr>
            <w:tcW w:w="0" w:type="dxa"/>
            <w:vAlign w:val="bottom"/>
          </w:tcPr>
          <w:p>
            <w:pPr>
              <w:spacing w:after="0"/>
              <w:rPr>
                <w:sz w:val="1"/>
                <w:szCs w:val="1"/>
                <w:color w:val="auto"/>
              </w:rPr>
            </w:pPr>
          </w:p>
        </w:tc>
      </w:tr>
      <w:tr>
        <w:trPr>
          <w:trHeight w:val="230"/>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other changes</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56,403</w:t>
            </w:r>
          </w:p>
        </w:tc>
        <w:tc>
          <w:tcPr>
            <w:tcW w:w="300" w:type="dxa"/>
            <w:vAlign w:val="bottom"/>
          </w:tcPr>
          <w:p>
            <w:pPr>
              <w:spacing w:after="0"/>
              <w:rPr>
                <w:sz w:val="20"/>
                <w:szCs w:val="20"/>
                <w:color w:val="auto"/>
              </w:rPr>
            </w:pPr>
          </w:p>
        </w:tc>
        <w:tc>
          <w:tcPr>
            <w:tcW w:w="64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w w:val="88"/>
              </w:rPr>
              <w:t>525</w:t>
            </w:r>
          </w:p>
        </w:tc>
        <w:tc>
          <w:tcPr>
            <w:tcW w:w="300" w:type="dxa"/>
            <w:vAlign w:val="bottom"/>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(8,211,493)</w:t>
            </w:r>
          </w:p>
        </w:tc>
        <w:tc>
          <w:tcPr>
            <w:tcW w:w="280" w:type="dxa"/>
            <w:vAlign w:val="bottom"/>
          </w:tcPr>
          <w:p>
            <w:pPr>
              <w:spacing w:after="0"/>
              <w:rPr>
                <w:sz w:val="20"/>
                <w:szCs w:val="20"/>
                <w:color w:val="auto"/>
              </w:rPr>
            </w:pPr>
          </w:p>
        </w:tc>
        <w:tc>
          <w:tcPr>
            <w:tcW w:w="62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w w:val="96"/>
              </w:rPr>
              <w:t>650</w:t>
            </w:r>
          </w:p>
        </w:tc>
        <w:tc>
          <w:tcPr>
            <w:tcW w:w="3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(8,153,915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62,959</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80,059</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— </w:t>
            </w:r>
          </w:p>
        </w:tc>
        <w:tc>
          <w:tcPr>
            <w:tcW w:w="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41,099</w:t>
            </w: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184,117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1080" w:hanging="532"/>
        <w:spacing w:after="0"/>
        <w:tabs>
          <w:tab w:leader="none" w:pos="1080" w:val="left"/>
        </w:tabs>
        <w:numPr>
          <w:ilvl w:val="0"/>
          <w:numId w:val="19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Total cash outflow for leases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Amounts included in the consolidated statements of cash flows for leases comprise the following:</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254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c>
          <w:tcPr>
            <w:tcW w:w="0" w:type="dxa"/>
            <w:vAlign w:val="bottom"/>
          </w:tcPr>
          <w:p>
            <w:pPr>
              <w:spacing w:after="0"/>
              <w:rPr>
                <w:sz w:val="1"/>
                <w:szCs w:val="1"/>
                <w:color w:val="auto"/>
              </w:rPr>
            </w:pPr>
          </w:p>
        </w:tc>
      </w:tr>
      <w:tr>
        <w:trPr>
          <w:trHeight w:val="119"/>
        </w:trPr>
        <w:tc>
          <w:tcPr>
            <w:tcW w:w="7580" w:type="dxa"/>
            <w:vAlign w:val="bottom"/>
          </w:tcPr>
          <w:p>
            <w:pPr>
              <w:spacing w:after="0"/>
              <w:rPr>
                <w:sz w:val="10"/>
                <w:szCs w:val="10"/>
                <w:color w:val="auto"/>
              </w:rPr>
            </w:pPr>
          </w:p>
        </w:tc>
        <w:tc>
          <w:tcPr>
            <w:tcW w:w="600" w:type="dxa"/>
            <w:vAlign w:val="bottom"/>
            <w:tcBorders>
              <w:top w:val="single" w:sz="8" w:color="auto"/>
            </w:tcBorders>
          </w:tcPr>
          <w:p>
            <w:pPr>
              <w:jc w:val="right"/>
              <w:ind w:right="81"/>
              <w:spacing w:after="0" w:line="119" w:lineRule="exact"/>
              <w:rPr>
                <w:sz w:val="20"/>
                <w:szCs w:val="20"/>
                <w:color w:val="auto"/>
              </w:rPr>
            </w:pPr>
            <w:r>
              <w:rPr>
                <w:rFonts w:ascii="Times New Roman" w:cs="Times New Roman" w:eastAsia="Times New Roman" w:hAnsi="Times New Roman"/>
                <w:sz w:val="13"/>
                <w:szCs w:val="13"/>
                <w:i w:val="1"/>
                <w:iCs w:val="1"/>
                <w:color w:val="auto"/>
              </w:rPr>
              <w:t>2022</w:t>
            </w:r>
          </w:p>
        </w:tc>
        <w:tc>
          <w:tcPr>
            <w:tcW w:w="3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i w:val="1"/>
                <w:iCs w:val="1"/>
                <w:color w:val="auto"/>
              </w:rPr>
              <w:t>2023</w:t>
            </w:r>
          </w:p>
        </w:tc>
        <w:tc>
          <w:tcPr>
            <w:tcW w:w="3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80"/>
              <w:spacing w:after="0" w:line="119" w:lineRule="exact"/>
              <w:rPr>
                <w:sz w:val="20"/>
                <w:szCs w:val="20"/>
                <w:color w:val="auto"/>
              </w:rPr>
            </w:pPr>
            <w:r>
              <w:rPr>
                <w:rFonts w:ascii="Times New Roman" w:cs="Times New Roman" w:eastAsia="Times New Roman" w:hAnsi="Times New Roman"/>
                <w:sz w:val="13"/>
                <w:szCs w:val="13"/>
                <w:i w:val="1"/>
                <w:iCs w:val="1"/>
                <w:color w:val="auto"/>
              </w:rPr>
              <w:t>2024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58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RMB’000</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w w:val="98"/>
              </w:rPr>
              <w:t>RMB’000</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8"/>
              </w:rPr>
              <w:t>RMB’000</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operating cash flows (Note 12)</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1,366</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933</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1,686</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Within financing cash flows (Note 21(c))</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38,022</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41,016</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47,252</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39,388</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41,949</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48,938</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These amounts relate to the following:</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5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580" w:type="dxa"/>
            <w:vAlign w:val="bottom"/>
          </w:tcPr>
          <w:p>
            <w:pPr>
              <w:spacing w:after="0"/>
              <w:rPr>
                <w:sz w:val="24"/>
                <w:szCs w:val="24"/>
                <w:color w:val="auto"/>
              </w:rPr>
            </w:pPr>
          </w:p>
        </w:tc>
        <w:tc>
          <w:tcPr>
            <w:tcW w:w="254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c>
          <w:tcPr>
            <w:tcW w:w="0" w:type="dxa"/>
            <w:vAlign w:val="bottom"/>
          </w:tcPr>
          <w:p>
            <w:pPr>
              <w:spacing w:after="0"/>
              <w:rPr>
                <w:sz w:val="1"/>
                <w:szCs w:val="1"/>
                <w:color w:val="auto"/>
              </w:rPr>
            </w:pPr>
          </w:p>
        </w:tc>
      </w:tr>
      <w:tr>
        <w:trPr>
          <w:trHeight w:val="133"/>
        </w:trPr>
        <w:tc>
          <w:tcPr>
            <w:tcW w:w="7580" w:type="dxa"/>
            <w:vAlign w:val="bottom"/>
          </w:tcPr>
          <w:p>
            <w:pPr>
              <w:spacing w:after="0"/>
              <w:rPr>
                <w:sz w:val="11"/>
                <w:szCs w:val="11"/>
                <w:color w:val="auto"/>
              </w:rPr>
            </w:pPr>
          </w:p>
        </w:tc>
        <w:tc>
          <w:tcPr>
            <w:tcW w:w="600" w:type="dxa"/>
            <w:vAlign w:val="bottom"/>
            <w:tcBorders>
              <w:top w:val="single" w:sz="8" w:color="auto"/>
            </w:tcBorders>
          </w:tcPr>
          <w:p>
            <w:pPr>
              <w:jc w:val="right"/>
              <w:ind w:right="81"/>
              <w:spacing w:after="0" w:line="133" w:lineRule="exact"/>
              <w:rPr>
                <w:sz w:val="20"/>
                <w:szCs w:val="20"/>
                <w:color w:val="auto"/>
              </w:rPr>
            </w:pPr>
            <w:r>
              <w:rPr>
                <w:rFonts w:ascii="Times New Roman" w:cs="Times New Roman" w:eastAsia="Times New Roman" w:hAnsi="Times New Roman"/>
                <w:sz w:val="14"/>
                <w:szCs w:val="14"/>
                <w:i w:val="1"/>
                <w:iCs w:val="1"/>
                <w:color w:val="auto"/>
              </w:rPr>
              <w:t>2022</w:t>
            </w:r>
          </w:p>
        </w:tc>
        <w:tc>
          <w:tcPr>
            <w:tcW w:w="3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i w:val="1"/>
                <w:iCs w:val="1"/>
                <w:color w:val="auto"/>
              </w:rPr>
              <w:t>2023</w:t>
            </w:r>
          </w:p>
        </w:tc>
        <w:tc>
          <w:tcPr>
            <w:tcW w:w="3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80"/>
              <w:spacing w:after="0" w:line="133" w:lineRule="exact"/>
              <w:rPr>
                <w:sz w:val="20"/>
                <w:szCs w:val="20"/>
                <w:color w:val="auto"/>
              </w:rPr>
            </w:pPr>
            <w:r>
              <w:rPr>
                <w:rFonts w:ascii="Times New Roman" w:cs="Times New Roman" w:eastAsia="Times New Roman" w:hAnsi="Times New Roman"/>
                <w:sz w:val="14"/>
                <w:szCs w:val="14"/>
                <w:i w:val="1"/>
                <w:iCs w:val="1"/>
                <w:color w:val="auto"/>
              </w:rPr>
              <w:t>2024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58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RMB’000</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w w:val="98"/>
              </w:rPr>
              <w:t>RMB’000</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8"/>
              </w:rPr>
              <w:t>RMB’000</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rentals paid</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39,388</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41,949</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48,938</w:t>
            </w: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1080" w:hanging="532"/>
        <w:spacing w:after="0"/>
        <w:tabs>
          <w:tab w:leader="none" w:pos="1080" w:val="left"/>
        </w:tabs>
        <w:numPr>
          <w:ilvl w:val="0"/>
          <w:numId w:val="19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Non-cash transactions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Non-cash investing and financing transactions incurred for the years ended December 31, 2022, 2023 and 2024 mainly comprised the following:</w:t>
      </w:r>
    </w:p>
    <w:p>
      <w:pPr>
        <w:spacing w:after="0" w:line="131" w:lineRule="exact"/>
        <w:rPr>
          <w:sz w:val="20"/>
          <w:szCs w:val="20"/>
          <w:color w:val="auto"/>
        </w:rPr>
      </w:pPr>
    </w:p>
    <w:p>
      <w:pPr>
        <w:ind w:left="1080" w:hanging="532"/>
        <w:spacing w:after="0" w:line="282" w:lineRule="auto"/>
        <w:tabs>
          <w:tab w:leader="none" w:pos="10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of right-of-use assets included in lease liabilities amounting to RMB6.6 million, RMB23.2 million and RMB59.2 million for the years ended December 31, 2022, 2023 and 2024, respectively;</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020"/>
          </w:cols>
          <w:pgMar w:left="320" w:top="482" w:right="55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transferred inventory to property and equipment amounting to RMB50.3 million for the year ended December 31, 2024.</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of property and equipment included in other payables to RMB5.2 million in for the year ended December 31, 2024.</w:t>
      </w:r>
    </w:p>
    <w:p>
      <w:pPr>
        <w:spacing w:after="0" w:line="90"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of warrants to subscribe for convertible redeemable preferred shares amounting to RMB252.5 million and RMB111.1 million for the years ended December 31, 2022 and 2023, respectively.</w:t>
      </w:r>
    </w:p>
    <w:p>
      <w:pPr>
        <w:spacing w:after="0" w:line="26"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2023, the Company amended a warrant issued in 2018 to a preferred shareholder with nominal consideration, as a result, the Group recognized the fair value changes of the warrant due to the amendment as a deemed distribution to this preferred shareholder amounting to RMB32.8 million for the year ended December 31, 2023.</w:t>
      </w:r>
    </w:p>
    <w:p>
      <w:pPr>
        <w:spacing w:after="0" w:line="40" w:lineRule="exact"/>
        <w:rPr>
          <w:rFonts w:ascii="Times New Roman" w:cs="Times New Roman" w:eastAsia="Times New Roman" w:hAnsi="Times New Roman"/>
          <w:sz w:val="18"/>
          <w:szCs w:val="18"/>
          <w:color w:val="auto"/>
        </w:rPr>
      </w:pPr>
    </w:p>
    <w:p>
      <w:pPr>
        <w:ind w:left="1080" w:right="80" w:hanging="532"/>
        <w:spacing w:after="0" w:line="258"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2024, the Company entered into an amendment with a holder of a financial instrument, pursuant to which both parties agreed to reduce the number of subscribed Series D Preferred Shares from 1,133,534 to 429,369 at purchase price of USD4.6580 per share through reducing the subscription receivables from the holder amounting to USD3.3 million (equivalent to RMB23.3 million). The cancellation of the other financial instrument was reflected in the increase of other reserve of RMB4.5 million and the decrease of the other financial instrument of RMB27.8 million for the year ended December 31, 2024.</w:t>
      </w:r>
    </w:p>
    <w:p>
      <w:pPr>
        <w:spacing w:after="0" w:line="34" w:lineRule="exact"/>
        <w:rPr>
          <w:rFonts w:ascii="Times New Roman" w:cs="Times New Roman" w:eastAsia="Times New Roman" w:hAnsi="Times New Roman"/>
          <w:sz w:val="18"/>
          <w:szCs w:val="18"/>
          <w:color w:val="auto"/>
        </w:rPr>
      </w:pPr>
    </w:p>
    <w:p>
      <w:pPr>
        <w:jc w:val="both"/>
        <w:ind w:left="1080" w:right="160" w:hanging="532"/>
        <w:spacing w:after="0" w:line="266"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2024, the Company completed the IPO. The preferred shares subject to redemption and other preferential rights amounting to RMB8,648.9 million as of the completion of the IPO were transferred from liabilities to equity, and the non-redeemable preferred shares amounting to RMB15 thousand transferred to ordinary shares, upon the completion of the IPO.</w:t>
      </w:r>
    </w:p>
    <w:p>
      <w:pPr>
        <w:spacing w:after="0" w:line="81" w:lineRule="exact"/>
        <w:rPr>
          <w:rFonts w:ascii="Times New Roman" w:cs="Times New Roman" w:eastAsia="Times New Roman" w:hAnsi="Times New Roman"/>
          <w:sz w:val="18"/>
          <w:szCs w:val="18"/>
          <w:color w:val="auto"/>
        </w:rPr>
      </w:pPr>
    </w:p>
    <w:p>
      <w:pPr>
        <w:ind w:left="1080" w:right="520" w:hanging="532"/>
        <w:spacing w:after="0" w:line="282"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the Company cancelled all issued treasury shares amounting to RMB151.7 million by adjusting the amount that corresponded to the sum of the par value and the share premium amounts of the shares so cancelled.</w:t>
      </w:r>
    </w:p>
    <w:p>
      <w:pPr>
        <w:spacing w:after="0" w:line="67"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2024, the accrued commission relating to the IPO amounting to RMB16.2 million was offset against share premium upon the completion of IPO.</w:t>
      </w:r>
    </w:p>
    <w:p>
      <w:pPr>
        <w:spacing w:after="0" w:line="185" w:lineRule="exact"/>
        <w:rPr>
          <w:sz w:val="20"/>
          <w:szCs w:val="20"/>
          <w:color w:val="auto"/>
        </w:rPr>
      </w:pPr>
    </w:p>
    <w:p>
      <w:pPr>
        <w:ind w:left="540" w:hanging="424"/>
        <w:spacing w:after="0"/>
        <w:tabs>
          <w:tab w:leader="none" w:pos="540" w:val="left"/>
        </w:tabs>
        <w:numPr>
          <w:ilvl w:val="0"/>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 liabilities</w:t>
      </w:r>
    </w:p>
    <w:p>
      <w:pPr>
        <w:spacing w:after="0" w:line="80"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shows the remaining contractual maturities of the Group’s lease liabilities at the end of the years presented:</w:t>
      </w:r>
    </w:p>
    <w:p>
      <w:pPr>
        <w:spacing w:after="0" w:line="124"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540" w:type="dxa"/>
            <w:vAlign w:val="bottom"/>
          </w:tcPr>
          <w:p>
            <w:pPr>
              <w:spacing w:after="0"/>
              <w:rPr>
                <w:sz w:val="15"/>
                <w:szCs w:val="15"/>
                <w:color w:val="auto"/>
              </w:rPr>
            </w:pPr>
          </w:p>
        </w:tc>
        <w:tc>
          <w:tcPr>
            <w:tcW w:w="1580" w:type="dxa"/>
            <w:vAlign w:val="bottom"/>
            <w:gridSpan w:val="5"/>
          </w:tcPr>
          <w:p>
            <w:pPr>
              <w:ind w:left="200"/>
              <w:spacing w:after="0"/>
              <w:rPr>
                <w:sz w:val="20"/>
                <w:szCs w:val="20"/>
                <w:color w:val="auto"/>
              </w:rPr>
            </w:pPr>
            <w:r>
              <w:rPr>
                <w:rFonts w:ascii="Times New Roman" w:cs="Times New Roman" w:eastAsia="Times New Roman" w:hAnsi="Times New Roman"/>
                <w:sz w:val="14"/>
                <w:szCs w:val="14"/>
                <w:i w:val="1"/>
                <w:iCs w:val="1"/>
                <w:color w:val="auto"/>
              </w:rPr>
              <w:t>As of December 31,</w:t>
            </w:r>
          </w:p>
        </w:tc>
        <w:tc>
          <w:tcPr>
            <w:tcW w:w="0" w:type="dxa"/>
            <w:vAlign w:val="bottom"/>
          </w:tcPr>
          <w:p>
            <w:pPr>
              <w:spacing w:after="0"/>
              <w:rPr>
                <w:sz w:val="1"/>
                <w:szCs w:val="1"/>
                <w:color w:val="auto"/>
              </w:rPr>
            </w:pPr>
          </w:p>
        </w:tc>
      </w:tr>
      <w:tr>
        <w:trPr>
          <w:trHeight w:val="119"/>
        </w:trPr>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540" w:type="dxa"/>
            <w:vAlign w:val="bottom"/>
          </w:tcPr>
          <w:p>
            <w:pPr>
              <w:spacing w:after="0"/>
              <w:rPr>
                <w:sz w:val="10"/>
                <w:szCs w:val="10"/>
                <w:color w:val="auto"/>
              </w:rPr>
            </w:pPr>
          </w:p>
        </w:tc>
        <w:tc>
          <w:tcPr>
            <w:tcW w:w="580" w:type="dxa"/>
            <w:vAlign w:val="bottom"/>
            <w:tcBorders>
              <w:top w:val="single" w:sz="8" w:color="auto"/>
            </w:tcBorders>
          </w:tcPr>
          <w:p>
            <w:pPr>
              <w:jc w:val="right"/>
              <w:ind w:right="57"/>
              <w:spacing w:after="0" w:line="119" w:lineRule="exact"/>
              <w:rPr>
                <w:sz w:val="20"/>
                <w:szCs w:val="20"/>
                <w:color w:val="auto"/>
              </w:rPr>
            </w:pPr>
            <w:r>
              <w:rPr>
                <w:rFonts w:ascii="Times New Roman" w:cs="Times New Roman" w:eastAsia="Times New Roman" w:hAnsi="Times New Roman"/>
                <w:sz w:val="13"/>
                <w:szCs w:val="13"/>
                <w:i w:val="1"/>
                <w:iCs w:val="1"/>
                <w:color w:val="auto"/>
              </w:rPr>
              <w:t>2023</w:t>
            </w: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right"/>
              <w:ind w:right="82"/>
              <w:spacing w:after="0" w:line="119" w:lineRule="exact"/>
              <w:rPr>
                <w:sz w:val="20"/>
                <w:szCs w:val="20"/>
                <w:color w:val="auto"/>
              </w:rPr>
            </w:pPr>
            <w:r>
              <w:rPr>
                <w:rFonts w:ascii="Times New Roman" w:cs="Times New Roman" w:eastAsia="Times New Roman" w:hAnsi="Times New Roman"/>
                <w:sz w:val="13"/>
                <w:szCs w:val="13"/>
                <w:i w:val="1"/>
                <w:iCs w:val="1"/>
                <w:color w:val="auto"/>
              </w:rPr>
              <w:t>2024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8"/>
              </w:rPr>
              <w:t>RMB’000</w:t>
            </w:r>
          </w:p>
        </w:tc>
        <w:tc>
          <w:tcPr>
            <w:tcW w:w="22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8"/>
              </w:rPr>
              <w:t>RMB’000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 Within 1 year</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31,098</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36,900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After 1 year but within 2 years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15,658</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20,883</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2 years but within 5 years</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6,651</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5,176</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22,309</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26,059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53,407</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62,959</w:t>
            </w:r>
          </w:p>
        </w:tc>
        <w:tc>
          <w:tcPr>
            <w:tcW w:w="0" w:type="dxa"/>
            <w:vAlign w:val="bottom"/>
          </w:tcPr>
          <w:p>
            <w:pPr>
              <w:spacing w:after="0"/>
              <w:rPr>
                <w:sz w:val="1"/>
                <w:szCs w:val="1"/>
                <w:color w:val="auto"/>
              </w:rPr>
            </w:pPr>
          </w:p>
        </w:tc>
      </w:tr>
      <w:tr>
        <w:trPr>
          <w:trHeight w:val="20"/>
        </w:trPr>
        <w:tc>
          <w:tcPr>
            <w:tcW w:w="3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23</w:t>
            </w:r>
          </w:p>
        </w:tc>
        <w:tc>
          <w:tcPr>
            <w:tcW w:w="86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Preferred shares and other financial instruments subject to redemption and other preferential rights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00" w:type="dxa"/>
            <w:vAlign w:val="bottom"/>
            <w:vMerge w:val="continue"/>
          </w:tcPr>
          <w:p>
            <w:pPr>
              <w:spacing w:after="0"/>
              <w:rPr>
                <w:sz w:val="24"/>
                <w:szCs w:val="24"/>
                <w:color w:val="auto"/>
              </w:rPr>
            </w:pPr>
          </w:p>
        </w:tc>
        <w:tc>
          <w:tcPr>
            <w:tcW w:w="868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i w:val="1"/>
                <w:iCs w:val="1"/>
                <w:color w:val="auto"/>
              </w:rPr>
              <w:t>As of</w:t>
            </w:r>
          </w:p>
        </w:tc>
        <w:tc>
          <w:tcPr>
            <w:tcW w:w="0" w:type="dxa"/>
            <w:vAlign w:val="bottom"/>
          </w:tcPr>
          <w:p>
            <w:pPr>
              <w:spacing w:after="0"/>
              <w:rPr>
                <w:sz w:val="1"/>
                <w:szCs w:val="1"/>
                <w:color w:val="auto"/>
              </w:rPr>
            </w:pPr>
          </w:p>
        </w:tc>
      </w:tr>
      <w:tr>
        <w:trPr>
          <w:trHeight w:val="173"/>
        </w:trPr>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i w:val="1"/>
                <w:iCs w:val="1"/>
                <w:color w:val="auto"/>
              </w:rPr>
              <w:t>December 31,</w:t>
            </w:r>
          </w:p>
        </w:tc>
        <w:tc>
          <w:tcPr>
            <w:tcW w:w="0" w:type="dxa"/>
            <w:vAlign w:val="bottom"/>
          </w:tcPr>
          <w:p>
            <w:pPr>
              <w:spacing w:after="0"/>
              <w:rPr>
                <w:sz w:val="1"/>
                <w:szCs w:val="1"/>
                <w:color w:val="auto"/>
              </w:rPr>
            </w:pPr>
          </w:p>
        </w:tc>
      </w:tr>
      <w:tr>
        <w:trPr>
          <w:trHeight w:val="119"/>
        </w:trPr>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Borders>
              <w:top w:val="single" w:sz="8" w:color="auto"/>
            </w:tcBorders>
            <w:gridSpan w:val="2"/>
          </w:tcPr>
          <w:p>
            <w:pPr>
              <w:jc w:val="right"/>
              <w:ind w:right="182"/>
              <w:spacing w:after="0" w:line="119" w:lineRule="exact"/>
              <w:rPr>
                <w:sz w:val="20"/>
                <w:szCs w:val="20"/>
                <w:color w:val="auto"/>
              </w:rPr>
            </w:pPr>
            <w:r>
              <w:rPr>
                <w:rFonts w:ascii="Times New Roman" w:cs="Times New Roman" w:eastAsia="Times New Roman" w:hAnsi="Times New Roman"/>
                <w:sz w:val="13"/>
                <w:szCs w:val="13"/>
                <w:i w:val="1"/>
                <w:iCs w:val="1"/>
                <w:color w:val="auto"/>
              </w:rPr>
              <w:t>2023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instruments (Note 23(a))</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138,938</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redeemable preferred shares (Note 23 (b))</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8,042,784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8,181,722</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540" w:type="dxa"/>
            <w:vAlign w:val="bottom"/>
            <w:vMerge w:val="restart"/>
          </w:tcPr>
          <w:p>
            <w:pPr>
              <w:ind w:left="4900"/>
              <w:spacing w:after="0"/>
              <w:rPr>
                <w:sz w:val="20"/>
                <w:szCs w:val="20"/>
                <w:color w:val="auto"/>
              </w:rPr>
            </w:pPr>
            <w:r>
              <w:rPr>
                <w:rFonts w:ascii="Times New Roman" w:cs="Times New Roman" w:eastAsia="Times New Roman" w:hAnsi="Times New Roman"/>
                <w:sz w:val="18"/>
                <w:szCs w:val="18"/>
                <w:color w:val="auto"/>
              </w:rPr>
              <w:t>F-56</w:t>
            </w: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5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2" w:right="47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080" w:hanging="532"/>
        <w:spacing w:after="0"/>
        <w:tabs>
          <w:tab w:leader="none" w:pos="1080" w:val="left"/>
        </w:tabs>
        <w:numPr>
          <w:ilvl w:val="0"/>
          <w:numId w:val="19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financial instruments issued to investors</w:t>
      </w:r>
    </w:p>
    <w:p>
      <w:pPr>
        <w:spacing w:after="0" w:line="79" w:lineRule="exact"/>
        <w:rPr>
          <w:sz w:val="20"/>
          <w:szCs w:val="20"/>
          <w:color w:val="auto"/>
        </w:rPr>
      </w:pPr>
    </w:p>
    <w:p>
      <w:pPr>
        <w:ind w:left="560" w:right="640"/>
        <w:spacing w:after="0" w:line="282" w:lineRule="auto"/>
        <w:rPr>
          <w:sz w:val="20"/>
          <w:szCs w:val="20"/>
          <w:color w:val="auto"/>
        </w:rPr>
      </w:pPr>
      <w:r>
        <w:rPr>
          <w:rFonts w:ascii="Times New Roman" w:cs="Times New Roman" w:eastAsia="Times New Roman" w:hAnsi="Times New Roman"/>
          <w:sz w:val="18"/>
          <w:szCs w:val="18"/>
          <w:color w:val="auto"/>
        </w:rPr>
        <w:t>The Group committed to issue convertible redeemable preferred shares to certain investors and received the consideration in full from the investors upfront.</w:t>
      </w:r>
    </w:p>
    <w:p>
      <w:pPr>
        <w:spacing w:after="0" w:line="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movement of other financial instruments issued to investors during the years presented is set out as below:</w:t>
      </w:r>
    </w:p>
    <w:p>
      <w:pPr>
        <w:spacing w:after="0" w:line="11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80" w:type="dxa"/>
            <w:vAlign w:val="bottom"/>
          </w:tcPr>
          <w:p>
            <w:pPr>
              <w:spacing w:after="0"/>
              <w:rPr>
                <w:sz w:val="13"/>
                <w:szCs w:val="13"/>
                <w:color w:val="auto"/>
              </w:rPr>
            </w:pPr>
          </w:p>
        </w:tc>
        <w:tc>
          <w:tcPr>
            <w:tcW w:w="182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i w:val="1"/>
                <w:iCs w:val="1"/>
                <w:color w:val="auto"/>
              </w:rPr>
              <w:t>For the year ended</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80" w:type="dxa"/>
            <w:vAlign w:val="bottom"/>
          </w:tcPr>
          <w:p>
            <w:pPr>
              <w:spacing w:after="0"/>
              <w:rPr>
                <w:sz w:val="15"/>
                <w:szCs w:val="15"/>
                <w:color w:val="auto"/>
              </w:rPr>
            </w:pPr>
          </w:p>
        </w:tc>
        <w:tc>
          <w:tcPr>
            <w:tcW w:w="182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i w:val="1"/>
                <w:iCs w:val="1"/>
                <w:color w:val="auto"/>
              </w:rPr>
              <w:t>December 31,</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700" w:type="dxa"/>
            <w:vAlign w:val="bottom"/>
            <w:tcBorders>
              <w:top w:val="single" w:sz="8" w:color="auto"/>
            </w:tcBorders>
          </w:tcPr>
          <w:p>
            <w:pPr>
              <w:jc w:val="right"/>
              <w:ind w:right="117"/>
              <w:spacing w:after="0" w:line="119" w:lineRule="exact"/>
              <w:rPr>
                <w:sz w:val="20"/>
                <w:szCs w:val="20"/>
                <w:color w:val="auto"/>
              </w:rPr>
            </w:pPr>
            <w:r>
              <w:rPr>
                <w:rFonts w:ascii="Times New Roman" w:cs="Times New Roman" w:eastAsia="Times New Roman" w:hAnsi="Times New Roman"/>
                <w:sz w:val="13"/>
                <w:szCs w:val="13"/>
                <w:i w:val="1"/>
                <w:iCs w:val="1"/>
                <w:color w:val="auto"/>
              </w:rPr>
              <w:t>2022</w:t>
            </w:r>
          </w:p>
        </w:tc>
        <w:tc>
          <w:tcPr>
            <w:tcW w:w="2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135"/>
              <w:spacing w:after="0" w:line="119" w:lineRule="exact"/>
              <w:rPr>
                <w:sz w:val="20"/>
                <w:szCs w:val="20"/>
                <w:color w:val="auto"/>
              </w:rPr>
            </w:pPr>
            <w:r>
              <w:rPr>
                <w:rFonts w:ascii="Times New Roman" w:cs="Times New Roman" w:eastAsia="Times New Roman" w:hAnsi="Times New Roman"/>
                <w:sz w:val="13"/>
                <w:szCs w:val="13"/>
                <w:i w:val="1"/>
                <w:iCs w:val="1"/>
                <w:color w:val="auto"/>
              </w:rPr>
              <w:t>2023</w:t>
            </w:r>
          </w:p>
        </w:tc>
        <w:tc>
          <w:tcPr>
            <w:tcW w:w="200" w:type="dxa"/>
            <w:vAlign w:val="bottom"/>
          </w:tcPr>
          <w:p>
            <w:pPr>
              <w:spacing w:after="0"/>
              <w:rPr>
                <w:sz w:val="10"/>
                <w:szCs w:val="10"/>
                <w:color w:val="auto"/>
              </w:rPr>
            </w:pPr>
          </w:p>
        </w:tc>
        <w:tc>
          <w:tcPr>
            <w:tcW w:w="700" w:type="dxa"/>
            <w:vAlign w:val="bottom"/>
            <w:tcBorders>
              <w:top w:val="single" w:sz="8" w:color="auto"/>
            </w:tcBorders>
          </w:tcPr>
          <w:p>
            <w:pPr>
              <w:jc w:val="right"/>
              <w:ind w:right="115"/>
              <w:spacing w:after="0" w:line="119" w:lineRule="exact"/>
              <w:rPr>
                <w:sz w:val="20"/>
                <w:szCs w:val="20"/>
                <w:color w:val="auto"/>
              </w:rPr>
            </w:pPr>
            <w:r>
              <w:rPr>
                <w:rFonts w:ascii="Times New Roman" w:cs="Times New Roman" w:eastAsia="Times New Roman" w:hAnsi="Times New Roman"/>
                <w:sz w:val="13"/>
                <w:szCs w:val="13"/>
                <w:i w:val="1"/>
                <w:iCs w:val="1"/>
                <w:color w:val="auto"/>
              </w:rPr>
              <w:t>2024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RMB’000</w:t>
            </w: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RMB’000</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752,120</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621,449</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138,938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financial instruments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583,975</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convertible redeemable preferred shares according to the commitment (Note 23(b))</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(818,244)</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(538,696)</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carrying amount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41,130</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48,408</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Cancellation of other financial instruments issued to an investor</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effect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62,468</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7,777</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621,449</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138,938</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right="100"/>
        <w:spacing w:after="0" w:line="266" w:lineRule="auto"/>
        <w:rPr>
          <w:sz w:val="20"/>
          <w:szCs w:val="20"/>
          <w:color w:val="auto"/>
        </w:rPr>
      </w:pPr>
      <w:r>
        <w:rPr>
          <w:rFonts w:ascii="Times New Roman" w:cs="Times New Roman" w:eastAsia="Times New Roman" w:hAnsi="Times New Roman"/>
          <w:sz w:val="18"/>
          <w:szCs w:val="18"/>
          <w:color w:val="auto"/>
        </w:rPr>
        <w:t>In 2023, the Group repaid the original issue price of RMB39.1 million (equivalent to USD6.2 million) to certain investors, who committed to subscribe for 1,331,387 Series D Preferred Shares at a per share purchase price of US$4.658, after obtaining regulator’s approval and completing the foreign exchange registration procedures for the overseas direct investments.</w:t>
      </w:r>
    </w:p>
    <w:p>
      <w:pPr>
        <w:spacing w:after="0" w:line="176" w:lineRule="exact"/>
        <w:rPr>
          <w:sz w:val="20"/>
          <w:szCs w:val="20"/>
          <w:color w:val="auto"/>
        </w:rPr>
      </w:pPr>
    </w:p>
    <w:p>
      <w:pPr>
        <w:ind w:left="560" w:right="140"/>
        <w:spacing w:after="0" w:line="282" w:lineRule="auto"/>
        <w:rPr>
          <w:sz w:val="20"/>
          <w:szCs w:val="20"/>
          <w:color w:val="auto"/>
        </w:rPr>
      </w:pPr>
      <w:r>
        <w:rPr>
          <w:rFonts w:ascii="Times New Roman" w:cs="Times New Roman" w:eastAsia="Times New Roman" w:hAnsi="Times New Roman"/>
          <w:sz w:val="18"/>
          <w:szCs w:val="18"/>
          <w:color w:val="auto"/>
        </w:rPr>
        <w:t>As of December 31, 2023, the subscription price of USD6.2 million (equivalent to RMB43.9 million) was not received by the Group, which was recorded as subscription receivables in the consolidated statements of financial position.</w:t>
      </w:r>
    </w:p>
    <w:p>
      <w:pPr>
        <w:spacing w:after="0" w:line="162" w:lineRule="exact"/>
        <w:rPr>
          <w:sz w:val="20"/>
          <w:szCs w:val="20"/>
          <w:color w:val="auto"/>
        </w:rPr>
      </w:pPr>
    </w:p>
    <w:p>
      <w:pPr>
        <w:ind w:left="560" w:right="680"/>
        <w:spacing w:after="0" w:line="266" w:lineRule="auto"/>
        <w:rPr>
          <w:sz w:val="20"/>
          <w:szCs w:val="20"/>
          <w:color w:val="auto"/>
        </w:rPr>
      </w:pPr>
      <w:r>
        <w:rPr>
          <w:rFonts w:ascii="Times New Roman" w:cs="Times New Roman" w:eastAsia="Times New Roman" w:hAnsi="Times New Roman"/>
          <w:sz w:val="18"/>
          <w:szCs w:val="18"/>
          <w:color w:val="auto"/>
        </w:rPr>
        <w:t>In May 2024, the Company entered into an amendment with the investors, pursuant to which both parties agreed to reduce the number of subscribed Series D Preferred Shares committed to subscribed for from 1,331,387 to 583,752 with an aggregate subscription price of USD2.7 million (equivalent to RMB19.3 million), which was collected in 2024.</w:t>
      </w:r>
    </w:p>
    <w:p>
      <w:pPr>
        <w:spacing w:after="0" w:line="322" w:lineRule="exact"/>
        <w:rPr>
          <w:sz w:val="20"/>
          <w:szCs w:val="20"/>
          <w:color w:val="auto"/>
        </w:rPr>
      </w:pPr>
    </w:p>
    <w:p>
      <w:pPr>
        <w:ind w:left="1080" w:hanging="532"/>
        <w:spacing w:after="0"/>
        <w:tabs>
          <w:tab w:leader="none" w:pos="1080" w:val="left"/>
        </w:tabs>
        <w:numPr>
          <w:ilvl w:val="0"/>
          <w:numId w:val="19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Convertible redeemable preferred shares</w:t>
      </w:r>
    </w:p>
    <w:p>
      <w:pPr>
        <w:spacing w:after="0" w:line="119"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The Series B-1 Preferred Shares, Series B-2 Preferred Shares and Series B-3 Preferred Shares are collectively referred to as the “Series B convertible redeemable preferred shares”, Series C-1 Preferred Shares is referred to as the “Series C-1 convertible redeemable preferred shares”, Series D Preferred Shares are referred to as the “Series D convertible redeemable preferred shares”, and Series D+ Preferred Shares are referred to as the “Series D+ convertible redeemable preferred shares”. All series of convertible redeemable preferred shares have the same par value of USD0.00001 per share. The redemption and other preferential rights of the convertible redeemable preferred shares are set forth below.</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Redemption Rights</w:t>
      </w:r>
    </w:p>
    <w:p>
      <w:pPr>
        <w:spacing w:after="0" w:line="121" w:lineRule="exact"/>
        <w:rPr>
          <w:sz w:val="20"/>
          <w:szCs w:val="20"/>
          <w:color w:val="auto"/>
        </w:rPr>
      </w:pPr>
    </w:p>
    <w:p>
      <w:pPr>
        <w:jc w:val="both"/>
        <w:ind w:left="560" w:right="140"/>
        <w:spacing w:after="0" w:line="312" w:lineRule="auto"/>
        <w:rPr>
          <w:sz w:val="20"/>
          <w:szCs w:val="20"/>
          <w:color w:val="auto"/>
        </w:rPr>
      </w:pPr>
      <w:r>
        <w:rPr>
          <w:rFonts w:ascii="Times New Roman" w:cs="Times New Roman" w:eastAsia="Times New Roman" w:hAnsi="Times New Roman"/>
          <w:sz w:val="17"/>
          <w:szCs w:val="17"/>
          <w:color w:val="auto"/>
        </w:rPr>
        <w:t>The Company is obliged to redeem all or part of the outstanding issued convertible redeemable preferred shares, at any time after the occurrence of specified contingent redemption events, including but not limited to that the Company has not completed a qualified IPO as of June 30, 2026.</w:t>
      </w:r>
    </w:p>
    <w:p>
      <w:pPr>
        <w:spacing w:after="0" w:line="32" w:lineRule="exact"/>
        <w:rPr>
          <w:sz w:val="20"/>
          <w:szCs w:val="20"/>
          <w:color w:val="auto"/>
        </w:rPr>
      </w:pPr>
    </w:p>
    <w:p>
      <w:pPr>
        <w:ind w:left="560" w:right="100"/>
        <w:spacing w:after="0" w:line="258" w:lineRule="auto"/>
        <w:rPr>
          <w:sz w:val="20"/>
          <w:szCs w:val="20"/>
          <w:color w:val="auto"/>
        </w:rPr>
      </w:pPr>
      <w:r>
        <w:rPr>
          <w:rFonts w:ascii="Times New Roman" w:cs="Times New Roman" w:eastAsia="Times New Roman" w:hAnsi="Times New Roman"/>
          <w:sz w:val="18"/>
          <w:szCs w:val="18"/>
          <w:color w:val="auto"/>
        </w:rPr>
        <w:t>The redemption amount payable for each convertible redeemable preferred shares upon the occurrence of any of the specified contingent events, will be an amount equal to 100% of the convertible redeemable preferred shares’ original issue price, plus all accrued but unpaid dividends thereon up to the date of redemption and simple interest on the original issue price at the rate of 10% per annum for Series B convertible redeemable preferred shares or 8% per annum for Series C-1 convertible redeemable preferred shares, Series D convertible redeemable preferred shares and Series D+ convertible redeemable preferred shares.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Conversion Rights</w:t>
      </w:r>
    </w:p>
    <w:p>
      <w:pPr>
        <w:spacing w:after="0" w:line="121" w:lineRule="exact"/>
        <w:rPr>
          <w:sz w:val="20"/>
          <w:szCs w:val="20"/>
          <w:color w:val="auto"/>
        </w:rPr>
      </w:pPr>
    </w:p>
    <w:p>
      <w:pPr>
        <w:ind w:left="560" w:right="300"/>
        <w:spacing w:after="0" w:line="261" w:lineRule="auto"/>
        <w:rPr>
          <w:sz w:val="20"/>
          <w:szCs w:val="20"/>
          <w:color w:val="auto"/>
        </w:rPr>
      </w:pPr>
      <w:r>
        <w:rPr>
          <w:rFonts w:ascii="Times New Roman" w:cs="Times New Roman" w:eastAsia="Times New Roman" w:hAnsi="Times New Roman"/>
          <w:sz w:val="18"/>
          <w:szCs w:val="18"/>
          <w:color w:val="auto"/>
        </w:rPr>
        <w:t>Each convertible redeemable preferred share shall be convertible, at the option of the holder, at any time after the date of issuance of such preferred shares, without the payment of any additional consideration, into fully-paid and non-assessable ordinary shares according to a conversion ratio of 1:1 based on the original issuance price, subject to adjustments for dilution, including but not limited to issuing new shares under the original subscription price per share paid by the holders.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100"/>
          </w:cols>
          <w:pgMar w:left="320" w:top="482" w:right="47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66" w:lineRule="auto"/>
        <w:rPr>
          <w:sz w:val="20"/>
          <w:szCs w:val="20"/>
          <w:color w:val="auto"/>
        </w:rPr>
      </w:pPr>
      <w:r>
        <w:rPr>
          <w:rFonts w:ascii="Times New Roman" w:cs="Times New Roman" w:eastAsia="Times New Roman" w:hAnsi="Times New Roman"/>
          <w:sz w:val="18"/>
          <w:szCs w:val="18"/>
          <w:color w:val="auto"/>
        </w:rPr>
        <w:t>All the outstanding convertible redeemable preferred shares shall automatically be converted into ordinary shares, at the applicable then-effective conversion price upon either of (a) the closing of a qualified IPO, or (b) the date or the occurrence of an event, specified by vote or written consent or agreement of the majority of all the preferred shares holders.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560" w:right="340"/>
        <w:spacing w:after="0" w:line="282" w:lineRule="auto"/>
        <w:rPr>
          <w:sz w:val="20"/>
          <w:szCs w:val="20"/>
          <w:color w:val="auto"/>
        </w:rPr>
      </w:pPr>
      <w:r>
        <w:rPr>
          <w:rFonts w:ascii="Times New Roman" w:cs="Times New Roman" w:eastAsia="Times New Roman" w:hAnsi="Times New Roman"/>
          <w:sz w:val="18"/>
          <w:szCs w:val="18"/>
          <w:color w:val="auto"/>
        </w:rPr>
        <w:t>The holders of convertible redeemable preferred shares shall be entitled to vote on all matters on which the holders of ordinary shares shall be entitled to vote on an ‘as-converted’ basis.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ind w:left="560" w:right="60"/>
        <w:spacing w:after="0" w:line="254" w:lineRule="auto"/>
        <w:rPr>
          <w:sz w:val="20"/>
          <w:szCs w:val="20"/>
          <w:color w:val="auto"/>
        </w:rPr>
      </w:pPr>
      <w:r>
        <w:rPr>
          <w:rFonts w:ascii="Times New Roman" w:cs="Times New Roman" w:eastAsia="Times New Roman" w:hAnsi="Times New Roman"/>
          <w:sz w:val="18"/>
          <w:szCs w:val="18"/>
          <w:color w:val="auto"/>
        </w:rPr>
        <w:t>The holders of redeemable preferred shares are entitled to receive dividends at a simple rate of 8% of the original issue price per annum for each convertible redeemable preferred share held by such holder, payable out of funds or assets when and as such funds or assets become legally available. The dividends shall be paid in the sequence of (i) Series D+ convertible redeemable preferred shares; (ii) Series D convertible redeemable preferred shares; (iii) Series C-1 convertible redeemable preferred shares; and (iv) Series B convertible redeemable preferred shares. After the dividends have been paid in full or declared to the holders of the convertible redeemable preferred shares, the holders of the convertible redeemable preferred shares and the ordinary shares shall be entitled to receive on a pro rata, as-converted basis any additional dividends that the Board of Directors may declare, set aside or pay. The dividends shall not be cumulative and shall be paid when, as and if declared by the Board of Directors. The Board of Directors has right to decide whether to declare the dividends or not.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120"/>
          </w:cols>
          <w:pgMar w:left="320" w:top="482" w:right="45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Presentation and classification</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Group recognized the financial liabilities arising from the redemption obligations for the preferred shares at the present value of the redemption amounts, with the changes in the carrying amount recorded in the consolidated statements of profit or loss. The movements of these financial liabilities during the years presented are set out as below:</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rPr>
              <w:t>Series B-1</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i w:val="1"/>
                <w:iCs w:val="1"/>
                <w:color w:val="auto"/>
              </w:rPr>
              <w:t>Series B-2</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i w:val="1"/>
                <w:iCs w:val="1"/>
                <w:color w:val="auto"/>
              </w:rPr>
              <w:t>Series B-3</w:t>
            </w: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rPr>
              <w:t>Series C-1</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rPr>
              <w:t>Series D</w:t>
            </w: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i w:val="1"/>
                <w:iCs w:val="1"/>
                <w:color w:val="auto"/>
              </w:rPr>
              <w:t>Series D+</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Preferred</w:t>
            </w: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Preferred</w:t>
            </w: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Preferred</w:t>
            </w: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Preferred</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Preferred</w:t>
            </w: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Preferred</w:t>
            </w:r>
          </w:p>
        </w:tc>
        <w:tc>
          <w:tcPr>
            <w:tcW w:w="9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i w:val="1"/>
                <w:iCs w:val="1"/>
                <w:color w:val="auto"/>
              </w:rPr>
              <w:t>Total</w:t>
            </w:r>
          </w:p>
        </w:tc>
        <w:tc>
          <w:tcPr>
            <w:tcW w:w="0" w:type="dxa"/>
            <w:vAlign w:val="bottom"/>
          </w:tcPr>
          <w:p>
            <w:pPr>
              <w:spacing w:after="0"/>
              <w:rPr>
                <w:sz w:val="1"/>
                <w:szCs w:val="1"/>
                <w:color w:val="auto"/>
              </w:rPr>
            </w:pPr>
          </w:p>
        </w:tc>
      </w:tr>
      <w:tr>
        <w:trPr>
          <w:trHeight w:val="175"/>
        </w:trPr>
        <w:tc>
          <w:tcPr>
            <w:tcW w:w="416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rPr>
              <w:t>Shares</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i w:val="1"/>
                <w:iCs w:val="1"/>
                <w:color w:val="auto"/>
              </w:rPr>
              <w:t>Shares</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i w:val="1"/>
                <w:iCs w:val="1"/>
                <w:color w:val="auto"/>
              </w:rPr>
              <w:t>Shares</w:t>
            </w: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rPr>
              <w:t>Shares</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i w:val="1"/>
                <w:iCs w:val="1"/>
                <w:color w:val="auto"/>
              </w:rPr>
              <w:t>Shares</w:t>
            </w: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i w:val="1"/>
                <w:iCs w:val="1"/>
                <w:color w:val="auto"/>
              </w:rPr>
              <w:t>Shares</w:t>
            </w: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20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22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22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22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20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200" w:type="dxa"/>
            <w:vAlign w:val="bottom"/>
          </w:tcPr>
          <w:p>
            <w:pPr>
              <w:spacing w:after="0"/>
              <w:rPr>
                <w:sz w:val="12"/>
                <w:szCs w:val="12"/>
                <w:color w:val="auto"/>
              </w:rPr>
            </w:pPr>
          </w:p>
        </w:tc>
        <w:tc>
          <w:tcPr>
            <w:tcW w:w="840" w:type="dxa"/>
            <w:vAlign w:val="bottom"/>
            <w:tcBorders>
              <w:top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RMB’000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2022</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704,338</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182,130</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322,283</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1,829,765</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3,038,516</w:t>
            </w:r>
          </w:p>
        </w:tc>
        <w:tc>
          <w:tcPr>
            <w:tcW w:w="0" w:type="dxa"/>
            <w:vAlign w:val="bottom"/>
          </w:tcPr>
          <w:p>
            <w:pPr>
              <w:spacing w:after="0"/>
              <w:rPr>
                <w:sz w:val="1"/>
                <w:szCs w:val="1"/>
                <w:color w:val="auto"/>
              </w:rPr>
            </w:pPr>
          </w:p>
        </w:tc>
      </w:tr>
      <w:tr>
        <w:trPr>
          <w:trHeight w:val="198"/>
        </w:trPr>
        <w:tc>
          <w:tcPr>
            <w:tcW w:w="4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new convertible redeemable preferred</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1,579,435</w:t>
            </w:r>
          </w:p>
        </w:tc>
        <w:tc>
          <w:tcPr>
            <w:tcW w:w="0" w:type="dxa"/>
            <w:vAlign w:val="bottom"/>
          </w:tcPr>
          <w:p>
            <w:pPr>
              <w:spacing w:after="0"/>
              <w:rPr>
                <w:sz w:val="1"/>
                <w:szCs w:val="1"/>
                <w:color w:val="auto"/>
              </w:rPr>
            </w:pPr>
          </w:p>
        </w:tc>
      </w:tr>
      <w:tr>
        <w:trPr>
          <w:trHeight w:val="234"/>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1,579,435</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convertible redeemable preferred shares</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(39,467)</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(39,467)</w:t>
            </w:r>
          </w:p>
        </w:tc>
        <w:tc>
          <w:tcPr>
            <w:tcW w:w="0" w:type="dxa"/>
            <w:vAlign w:val="bottom"/>
          </w:tcPr>
          <w:p>
            <w:pPr>
              <w:spacing w:after="0"/>
              <w:rPr>
                <w:sz w:val="1"/>
                <w:szCs w:val="1"/>
                <w:color w:val="auto"/>
              </w:rPr>
            </w:pPr>
          </w:p>
        </w:tc>
      </w:tr>
      <w:tr>
        <w:trPr>
          <w:trHeight w:val="198"/>
        </w:trPr>
        <w:tc>
          <w:tcPr>
            <w:tcW w:w="4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Changes in the carrying amount of convertible</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438,080</w:t>
            </w:r>
          </w:p>
        </w:tc>
        <w:tc>
          <w:tcPr>
            <w:tcW w:w="0" w:type="dxa"/>
            <w:vAlign w:val="bottom"/>
          </w:tcPr>
          <w:p>
            <w:pPr>
              <w:spacing w:after="0"/>
              <w:rPr>
                <w:sz w:val="1"/>
                <w:szCs w:val="1"/>
                <w:color w:val="auto"/>
              </w:rPr>
            </w:pPr>
          </w:p>
        </w:tc>
      </w:tr>
      <w:tr>
        <w:trPr>
          <w:trHeight w:val="234"/>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preferred shares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109,216</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17,379</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36,424</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146,249</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128,812</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convertible redeemable preferred shares</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under the commitments in other financial instruments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818,244</w:t>
            </w:r>
          </w:p>
        </w:tc>
        <w:tc>
          <w:tcPr>
            <w:tcW w:w="0" w:type="dxa"/>
            <w:vAlign w:val="bottom"/>
          </w:tcPr>
          <w:p>
            <w:pPr>
              <w:spacing w:after="0"/>
              <w:rPr>
                <w:sz w:val="1"/>
                <w:szCs w:val="1"/>
                <w:color w:val="auto"/>
              </w:rPr>
            </w:pPr>
          </w:p>
        </w:tc>
      </w:tr>
      <w:tr>
        <w:trPr>
          <w:trHeight w:val="234"/>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to investors (Note 23(a))</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767,688</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50,556</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Exercise of warrants to subscribe for convertible</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173,017</w:t>
            </w:r>
          </w:p>
        </w:tc>
        <w:tc>
          <w:tcPr>
            <w:tcW w:w="0" w:type="dxa"/>
            <w:vAlign w:val="bottom"/>
          </w:tcPr>
          <w:p>
            <w:pPr>
              <w:spacing w:after="0"/>
              <w:rPr>
                <w:sz w:val="1"/>
                <w:szCs w:val="1"/>
                <w:color w:val="auto"/>
              </w:rPr>
            </w:pPr>
          </w:p>
        </w:tc>
      </w:tr>
      <w:tr>
        <w:trPr>
          <w:trHeight w:val="234"/>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preferred shares (Note 27)</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63,980</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109,037</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effect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96,840</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17,453</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33,811</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174,309</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65,867</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388,280</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1,678,082</w:t>
            </w:r>
          </w:p>
        </w:tc>
        <w:tc>
          <w:tcPr>
            <w:tcW w:w="2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216,962</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467,587</w:t>
            </w:r>
          </w:p>
        </w:tc>
        <w:tc>
          <w:tcPr>
            <w:tcW w:w="2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2,150,323</w:t>
            </w:r>
          </w:p>
        </w:tc>
        <w:tc>
          <w:tcPr>
            <w:tcW w:w="2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1,883,151</w:t>
            </w:r>
          </w:p>
        </w:tc>
        <w:tc>
          <w:tcPr>
            <w:tcW w:w="200" w:type="dxa"/>
            <w:vAlign w:val="bottom"/>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6,396,105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new convertible redeemable preferred</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485,262</w:t>
            </w:r>
          </w:p>
        </w:tc>
        <w:tc>
          <w:tcPr>
            <w:tcW w:w="0" w:type="dxa"/>
            <w:vAlign w:val="bottom"/>
          </w:tcPr>
          <w:p>
            <w:pPr>
              <w:spacing w:after="0"/>
              <w:rPr>
                <w:sz w:val="1"/>
                <w:szCs w:val="1"/>
                <w:color w:val="auto"/>
              </w:rPr>
            </w:pPr>
          </w:p>
        </w:tc>
      </w:tr>
      <w:tr>
        <w:trPr>
          <w:trHeight w:val="234"/>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219,037</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266,225</w:t>
            </w:r>
          </w:p>
        </w:tc>
        <w:tc>
          <w:tcPr>
            <w:tcW w:w="9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Changes in the carrying amount of convertible</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505,640</w:t>
            </w:r>
          </w:p>
        </w:tc>
        <w:tc>
          <w:tcPr>
            <w:tcW w:w="0" w:type="dxa"/>
            <w:vAlign w:val="bottom"/>
          </w:tcPr>
          <w:p>
            <w:pPr>
              <w:spacing w:after="0"/>
              <w:rPr>
                <w:sz w:val="1"/>
                <w:szCs w:val="1"/>
                <w:color w:val="auto"/>
              </w:rPr>
            </w:pPr>
          </w:p>
        </w:tc>
      </w:tr>
      <w:tr>
        <w:trPr>
          <w:trHeight w:val="234"/>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preferred shares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140,860</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18,161</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39,441</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153,256</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151,422</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2,500</w:t>
            </w:r>
          </w:p>
        </w:tc>
        <w:tc>
          <w:tcPr>
            <w:tcW w:w="9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convertible redeemable preferred shares</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under the commitments in other financial instruments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538,696</w:t>
            </w:r>
          </w:p>
        </w:tc>
        <w:tc>
          <w:tcPr>
            <w:tcW w:w="0" w:type="dxa"/>
            <w:vAlign w:val="bottom"/>
          </w:tcPr>
          <w:p>
            <w:pPr>
              <w:spacing w:after="0"/>
              <w:rPr>
                <w:sz w:val="1"/>
                <w:szCs w:val="1"/>
                <w:color w:val="auto"/>
              </w:rPr>
            </w:pPr>
          </w:p>
        </w:tc>
      </w:tr>
      <w:tr>
        <w:trPr>
          <w:trHeight w:val="234"/>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to investors (Note 23(a))</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538,696</w:t>
            </w:r>
          </w:p>
        </w:tc>
        <w:tc>
          <w:tcPr>
            <w:tcW w:w="9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effect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29,250</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3,781</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8,151</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37,327</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34,021</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4,551</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117,081</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1,848,192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238,904</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515,179</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2,340,906</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2,287,631</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811,972</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8,042,784</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Changes in the carrying amount of convertible</w:t>
            </w: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16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461,046</w:t>
            </w:r>
          </w:p>
        </w:tc>
        <w:tc>
          <w:tcPr>
            <w:tcW w:w="0" w:type="dxa"/>
            <w:vAlign w:val="bottom"/>
          </w:tcPr>
          <w:p>
            <w:pPr>
              <w:spacing w:after="0"/>
              <w:rPr>
                <w:sz w:val="1"/>
                <w:szCs w:val="1"/>
                <w:color w:val="auto"/>
              </w:rPr>
            </w:pPr>
          </w:p>
        </w:tc>
      </w:tr>
      <w:tr>
        <w:trPr>
          <w:trHeight w:val="234"/>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preferred shares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116,264</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15,083</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32,554</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126,495</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120,517</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50,133</w:t>
            </w:r>
          </w:p>
        </w:tc>
        <w:tc>
          <w:tcPr>
            <w:tcW w:w="9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convertible redeemable preferred shares</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under the commitments in other financial instruments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115,753</w:t>
            </w:r>
          </w:p>
        </w:tc>
        <w:tc>
          <w:tcPr>
            <w:tcW w:w="0" w:type="dxa"/>
            <w:vAlign w:val="bottom"/>
          </w:tcPr>
          <w:p>
            <w:pPr>
              <w:spacing w:after="0"/>
              <w:rPr>
                <w:sz w:val="1"/>
                <w:szCs w:val="1"/>
                <w:color w:val="auto"/>
              </w:rPr>
            </w:pPr>
          </w:p>
        </w:tc>
      </w:tr>
      <w:tr>
        <w:trPr>
          <w:trHeight w:val="234"/>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to investors (Note 23(a))</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115,753</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Conversion into Class A ordinary shares upon IPO of</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(8,648,916)</w:t>
            </w:r>
          </w:p>
        </w:tc>
        <w:tc>
          <w:tcPr>
            <w:tcW w:w="0" w:type="dxa"/>
            <w:vAlign w:val="bottom"/>
          </w:tcPr>
          <w:p>
            <w:pPr>
              <w:spacing w:after="0"/>
              <w:rPr>
                <w:sz w:val="1"/>
                <w:szCs w:val="1"/>
                <w:color w:val="auto"/>
              </w:rPr>
            </w:pPr>
          </w:p>
        </w:tc>
      </w:tr>
      <w:tr>
        <w:trPr>
          <w:trHeight w:val="234"/>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Company</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(1,971,168)</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(254,856)</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(549,605)</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(2,475,929)</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(2,532,302)</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(865,056)</w:t>
            </w:r>
          </w:p>
        </w:tc>
        <w:tc>
          <w:tcPr>
            <w:tcW w:w="9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effect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6,712</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869</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1,872</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8,528</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8,401</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2,951</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29,333</w:t>
            </w:r>
          </w:p>
        </w:tc>
        <w:tc>
          <w:tcPr>
            <w:tcW w:w="0" w:type="dxa"/>
            <w:vAlign w:val="bottom"/>
          </w:tcPr>
          <w:p>
            <w:pPr>
              <w:spacing w:after="0"/>
              <w:rPr>
                <w:sz w:val="1"/>
                <w:szCs w:val="1"/>
                <w:color w:val="auto"/>
              </w:rPr>
            </w:pPr>
          </w:p>
        </w:tc>
      </w:tr>
      <w:tr>
        <w:trPr>
          <w:trHeight w:val="223"/>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F-59</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8"/>
          <w:szCs w:val="18"/>
          <w:b w:val="1"/>
          <w:bCs w:val="1"/>
          <w:color w:val="auto"/>
        </w:rPr>
        <w:t>Put option liabilities</w:t>
      </w:r>
    </w:p>
    <w:p>
      <w:pPr>
        <w:spacing w:after="0" w:line="121" w:lineRule="exact"/>
        <w:rPr>
          <w:sz w:val="20"/>
          <w:szCs w:val="20"/>
          <w:color w:val="auto"/>
        </w:rPr>
      </w:pPr>
    </w:p>
    <w:p>
      <w:pPr>
        <w:ind w:left="560" w:right="20"/>
        <w:spacing w:after="0" w:line="254" w:lineRule="auto"/>
        <w:rPr>
          <w:sz w:val="20"/>
          <w:szCs w:val="20"/>
          <w:color w:val="auto"/>
        </w:rPr>
      </w:pPr>
      <w:r>
        <w:rPr>
          <w:rFonts w:ascii="Times New Roman" w:cs="Times New Roman" w:eastAsia="Times New Roman" w:hAnsi="Times New Roman"/>
          <w:sz w:val="18"/>
          <w:szCs w:val="18"/>
          <w:color w:val="auto"/>
        </w:rPr>
        <w:t>In July 2019, WeRide Hong Kong Ltd. (“WeRide HK”) and Guangzhou Jingqi entered into an agreement with two investors. Pursuant to the agreement, 1) WeRide HK, Guangzhou Jingqi and the investors together established a new company, Wenyuan Yuexing (Guangdong) Chuxing Technology Co., Ltd. (“Wenyuan Yuexing”) in which the Group has control; 2) the investors injected capital of RMB36.0 million and 28.8 million in exchange for 20% and 16% equity interest of Wenyuan Yuexing, respectively; and 3) the investors have the right to require the Group to repurchase all or a part of their equity interests in Wenyuan Yuexing and to require the Group to pay any shortfall if their investment return falls below 10% of the original injection amount, if Wenyuan Yuexing cannot complete an initial public offering before August 2025. Based on negotiation among the Group and the shareholders of Wenyuan Yuexing, the Group has redeemed 15% equity interest from one of the investors in 2021.</w:t>
      </w:r>
    </w:p>
    <w:p>
      <w:pPr>
        <w:spacing w:after="0" w:line="192" w:lineRule="exact"/>
        <w:rPr>
          <w:sz w:val="20"/>
          <w:szCs w:val="20"/>
          <w:color w:val="auto"/>
        </w:rPr>
      </w:pPr>
    </w:p>
    <w:p>
      <w:pPr>
        <w:ind w:left="560" w:right="20"/>
        <w:spacing w:after="0" w:line="261" w:lineRule="auto"/>
        <w:rPr>
          <w:sz w:val="20"/>
          <w:szCs w:val="20"/>
          <w:color w:val="auto"/>
        </w:rPr>
      </w:pPr>
      <w:r>
        <w:rPr>
          <w:rFonts w:ascii="Times New Roman" w:cs="Times New Roman" w:eastAsia="Times New Roman" w:hAnsi="Times New Roman"/>
          <w:sz w:val="18"/>
          <w:szCs w:val="18"/>
          <w:color w:val="auto"/>
        </w:rPr>
        <w:t>Since the Group is obligated to pay cash to the investors upon occurrence of certain events beyond the Group’s control, the put option liabilities were initially recognized at present value of redemption amount by the Group with reference to the present value of the estimated future cash outflows, and were accreted to redemption amount subsequently. The movements of the put option liabilities during the years presented are set out as below:</w:t>
      </w:r>
    </w:p>
    <w:p>
      <w:pPr>
        <w:spacing w:after="0" w:line="200"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7620</wp:posOffset>
            </wp:positionV>
            <wp:extent cx="154305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0">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ind w:left="7920"/>
        <w:spacing w:after="0"/>
        <w:tabs>
          <w:tab w:leader="none" w:pos="8820" w:val="left"/>
          <w:tab w:leader="none" w:pos="9740" w:val="left"/>
        </w:tabs>
        <w:rPr>
          <w:sz w:val="20"/>
          <w:szCs w:val="20"/>
          <w:color w:val="auto"/>
        </w:rPr>
      </w:pPr>
      <w:r>
        <w:rPr>
          <w:rFonts w:ascii="Times New Roman" w:cs="Times New Roman" w:eastAsia="Times New Roman" w:hAnsi="Times New Roman"/>
          <w:sz w:val="14"/>
          <w:szCs w:val="14"/>
          <w:i w:val="1"/>
          <w:iCs w:val="1"/>
          <w:color w:val="auto"/>
        </w:rPr>
        <w:t>2022</w:t>
      </w:r>
      <w:r>
        <w:rPr>
          <w:sz w:val="20"/>
          <w:szCs w:val="20"/>
          <w:color w:val="auto"/>
        </w:rPr>
        <w:tab/>
      </w:r>
      <w:r>
        <w:rPr>
          <w:rFonts w:ascii="Times New Roman" w:cs="Times New Roman" w:eastAsia="Times New Roman" w:hAnsi="Times New Roman"/>
          <w:sz w:val="14"/>
          <w:szCs w:val="14"/>
          <w:i w:val="1"/>
          <w:iCs w:val="1"/>
          <w:color w:val="auto"/>
        </w:rPr>
        <w:t>2023</w:t>
      </w:r>
      <w:r>
        <w:rPr>
          <w:sz w:val="20"/>
          <w:szCs w:val="20"/>
          <w:color w:val="auto"/>
        </w:rPr>
        <w:tab/>
      </w:r>
      <w:r>
        <w:rPr>
          <w:rFonts w:ascii="Times New Roman" w:cs="Times New Roman" w:eastAsia="Times New Roman" w:hAnsi="Times New Roman"/>
          <w:sz w:val="14"/>
          <w:szCs w:val="14"/>
          <w:i w:val="1"/>
          <w:iCs w:val="1"/>
          <w:color w:val="auto"/>
        </w:rPr>
        <w:t>2024</w:t>
      </w:r>
    </w:p>
    <w:p>
      <w:pPr>
        <w:spacing w:after="0" w:line="1" w:lineRule="exact"/>
        <w:rPr>
          <w:sz w:val="20"/>
          <w:szCs w:val="20"/>
          <w:color w:val="auto"/>
        </w:rPr>
      </w:pPr>
    </w:p>
    <w:p>
      <w:pPr>
        <w:ind w:left="7760"/>
        <w:spacing w:after="0"/>
        <w:tabs>
          <w:tab w:leader="none" w:pos="8660" w:val="left"/>
          <w:tab w:leader="none" w:pos="9580" w:val="left"/>
        </w:tabs>
        <w:rPr>
          <w:sz w:val="20"/>
          <w:szCs w:val="20"/>
          <w:color w:val="auto"/>
        </w:rPr>
      </w:pPr>
      <w:r>
        <w:rPr>
          <w:rFonts w:ascii="Times New Roman" w:cs="Times New Roman" w:eastAsia="Times New Roman" w:hAnsi="Times New Roman"/>
          <w:sz w:val="14"/>
          <w:szCs w:val="14"/>
          <w:color w:val="auto"/>
        </w:rPr>
        <w:t>RMB’000</w:t>
      </w:r>
      <w:r>
        <w:rPr>
          <w:sz w:val="20"/>
          <w:szCs w:val="20"/>
          <w:color w:val="auto"/>
        </w:rPr>
        <w:tab/>
      </w:r>
      <w:r>
        <w:rPr>
          <w:rFonts w:ascii="Times New Roman" w:cs="Times New Roman" w:eastAsia="Times New Roman" w:hAnsi="Times New Roman"/>
          <w:sz w:val="14"/>
          <w:szCs w:val="14"/>
          <w:color w:val="auto"/>
        </w:rPr>
        <w:t>RMB’000</w:t>
      </w:r>
      <w:r>
        <w:rPr>
          <w:sz w:val="20"/>
          <w:szCs w:val="20"/>
          <w:color w:val="auto"/>
        </w:rPr>
        <w:tab/>
      </w:r>
      <w:r>
        <w:rPr>
          <w:rFonts w:ascii="Times New Roman" w:cs="Times New Roman" w:eastAsia="Times New Roman" w:hAnsi="Times New Roman"/>
          <w:sz w:val="14"/>
          <w:szCs w:val="14"/>
          <w:color w:val="auto"/>
        </w:rPr>
        <w:t>RMB’000</w:t>
      </w:r>
    </w:p>
    <w:p>
      <w:pPr>
        <w:spacing w:after="0" w:line="17"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39,184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39,812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40,449</w:t>
            </w:r>
          </w:p>
        </w:tc>
        <w:tc>
          <w:tcPr>
            <w:tcW w:w="6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Changes in carrying amount (Note 8)</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39,812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40,449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41,099</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6"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8"/>
          <w:szCs w:val="18"/>
          <w:b w:val="1"/>
          <w:bCs w:val="1"/>
          <w:color w:val="auto"/>
        </w:rPr>
        <w:t>Other non-current liabilities</w:t>
      </w:r>
    </w:p>
    <w:p>
      <w:pPr>
        <w:spacing w:after="0" w:line="250"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4"/>
          <w:szCs w:val="14"/>
          <w:i w:val="1"/>
          <w:iCs w:val="1"/>
          <w:color w:val="auto"/>
        </w:rPr>
        <w:t>As of December 31,</w:t>
      </w:r>
    </w:p>
    <w:p>
      <w:pPr>
        <w:spacing w:after="0" w:line="12" w:lineRule="exact"/>
        <w:rPr>
          <w:sz w:val="20"/>
          <w:szCs w:val="20"/>
          <w:color w:val="auto"/>
        </w:rPr>
      </w:pPr>
    </w:p>
    <w:tbl>
      <w:tblPr>
        <w:tblLayout w:type="fixed"/>
        <w:tblInd w:w="1440" w:type="dxa"/>
        <w:tblCellMar>
          <w:top w:w="0" w:type="dxa"/>
          <w:left w:w="0" w:type="dxa"/>
          <w:bottom w:w="0" w:type="dxa"/>
          <w:right w:w="0" w:type="dxa"/>
        </w:tblCellMar>
      </w:tblPr>
      <w:tr>
        <w:trPr>
          <w:trHeight w:val="119"/>
        </w:trPr>
        <w:tc>
          <w:tcPr>
            <w:tcW w:w="6660" w:type="dxa"/>
            <w:vAlign w:val="bottom"/>
          </w:tcPr>
          <w:p>
            <w:pPr>
              <w:spacing w:after="0"/>
              <w:rPr>
                <w:sz w:val="10"/>
                <w:szCs w:val="10"/>
                <w:color w:val="auto"/>
              </w:rPr>
            </w:pPr>
          </w:p>
        </w:tc>
        <w:tc>
          <w:tcPr>
            <w:tcW w:w="840" w:type="dxa"/>
            <w:vAlign w:val="bottom"/>
            <w:tcBorders>
              <w:top w:val="single" w:sz="8" w:color="auto"/>
            </w:tcBorders>
          </w:tcPr>
          <w:p>
            <w:pPr>
              <w:jc w:val="right"/>
              <w:ind w:right="324"/>
              <w:spacing w:after="0" w:line="119" w:lineRule="exact"/>
              <w:rPr>
                <w:sz w:val="20"/>
                <w:szCs w:val="20"/>
                <w:color w:val="auto"/>
              </w:rPr>
            </w:pPr>
            <w:r>
              <w:rPr>
                <w:rFonts w:ascii="Times New Roman" w:cs="Times New Roman" w:eastAsia="Times New Roman" w:hAnsi="Times New Roman"/>
                <w:sz w:val="13"/>
                <w:szCs w:val="13"/>
                <w:i w:val="1"/>
                <w:iCs w:val="1"/>
                <w:color w:val="auto"/>
              </w:rPr>
              <w:t>2023</w:t>
            </w:r>
          </w:p>
        </w:tc>
        <w:tc>
          <w:tcPr>
            <w:tcW w:w="820" w:type="dxa"/>
            <w:vAlign w:val="bottom"/>
            <w:tcBorders>
              <w:top w:val="single" w:sz="8" w:color="auto"/>
            </w:tcBorders>
          </w:tcPr>
          <w:p>
            <w:pPr>
              <w:jc w:val="right"/>
              <w:ind w:right="84"/>
              <w:spacing w:after="0" w:line="119" w:lineRule="exact"/>
              <w:rPr>
                <w:sz w:val="20"/>
                <w:szCs w:val="20"/>
                <w:color w:val="auto"/>
              </w:rPr>
            </w:pPr>
            <w:r>
              <w:rPr>
                <w:rFonts w:ascii="Times New Roman" w:cs="Times New Roman" w:eastAsia="Times New Roman" w:hAnsi="Times New Roman"/>
                <w:sz w:val="13"/>
                <w:szCs w:val="13"/>
                <w:i w:val="1"/>
                <w:iCs w:val="1"/>
                <w:color w:val="auto"/>
              </w:rPr>
              <w:t>2024</w:t>
            </w:r>
          </w:p>
        </w:tc>
        <w:tc>
          <w:tcPr>
            <w:tcW w:w="40" w:type="dxa"/>
            <w:vAlign w:val="bottom"/>
          </w:tcPr>
          <w:p>
            <w:pPr>
              <w:spacing w:after="0"/>
              <w:rPr>
                <w:sz w:val="10"/>
                <w:szCs w:val="10"/>
                <w:color w:val="auto"/>
              </w:rPr>
            </w:pPr>
          </w:p>
        </w:tc>
      </w:tr>
      <w:tr>
        <w:trPr>
          <w:trHeight w:val="171"/>
        </w:trPr>
        <w:tc>
          <w:tcPr>
            <w:tcW w:w="6660" w:type="dxa"/>
            <w:vAlign w:val="bottom"/>
          </w:tcPr>
          <w:p>
            <w:pPr>
              <w:spacing w:after="0"/>
              <w:rPr>
                <w:sz w:val="14"/>
                <w:szCs w:val="14"/>
                <w:color w:val="auto"/>
              </w:rPr>
            </w:pPr>
          </w:p>
        </w:tc>
        <w:tc>
          <w:tcPr>
            <w:tcW w:w="840" w:type="dxa"/>
            <w:vAlign w:val="bottom"/>
          </w:tcPr>
          <w:p>
            <w:pPr>
              <w:jc w:val="right"/>
              <w:ind w:right="164"/>
              <w:spacing w:after="0"/>
              <w:rPr>
                <w:sz w:val="20"/>
                <w:szCs w:val="20"/>
                <w:color w:val="auto"/>
              </w:rPr>
            </w:pPr>
            <w:r>
              <w:rPr>
                <w:rFonts w:ascii="Times New Roman" w:cs="Times New Roman" w:eastAsia="Times New Roman" w:hAnsi="Times New Roman"/>
                <w:sz w:val="14"/>
                <w:szCs w:val="14"/>
                <w:color w:val="auto"/>
              </w:rPr>
              <w:t>RMB’000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RMB’000</w:t>
            </w: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grants received with conditions</w:t>
            </w:r>
          </w:p>
        </w:tc>
        <w:tc>
          <w:tcPr>
            <w:tcW w:w="8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6,522</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4,677</w:t>
            </w:r>
          </w:p>
        </w:tc>
      </w:tr>
    </w:tbl>
    <w:p>
      <w:pPr>
        <w:spacing w:after="0" w:line="198" w:lineRule="exact"/>
        <w:rPr>
          <w:sz w:val="20"/>
          <w:szCs w:val="20"/>
          <w:color w:val="auto"/>
        </w:rPr>
      </w:pPr>
    </w:p>
    <w:p>
      <w:pPr>
        <w:jc w:val="both"/>
        <w:ind w:left="560"/>
        <w:spacing w:after="0" w:line="266" w:lineRule="auto"/>
        <w:rPr>
          <w:sz w:val="20"/>
          <w:szCs w:val="20"/>
          <w:color w:val="auto"/>
        </w:rPr>
      </w:pPr>
      <w:r>
        <w:rPr>
          <w:rFonts w:ascii="Times New Roman" w:cs="Times New Roman" w:eastAsia="Times New Roman" w:hAnsi="Times New Roman"/>
          <w:sz w:val="18"/>
          <w:szCs w:val="18"/>
          <w:color w:val="auto"/>
        </w:rPr>
        <w:t>The Group was awarded grants from governments with conditions attached in the next few years. The government grants with conditions expected to be satisfied in more than one year are presented as non-current liabilities, which will be released to other income in the consolidated statements of profit or loss when the conditions attached are satisfied.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120"/>
          </w:cols>
          <w:pgMar w:left="320" w:top="482" w:right="459" w:bottom="1440" w:gutter="0" w:footer="0" w:header="0"/>
        </w:sectPr>
      </w:pPr>
    </w:p>
    <w:bookmarkStart w:id="226" w:name="page227"/>
    <w:bookmarkEnd w:id="226"/>
    <w:tbl>
      <w:tblPr>
        <w:tblLayout w:type="fixed"/>
        <w:tblInd w:w="0" w:type="dxa"/>
        <w:tblCellMar>
          <w:top w:w="0" w:type="dxa"/>
          <w:left w:w="0" w:type="dxa"/>
          <w:bottom w:w="0" w:type="dxa"/>
          <w:right w:w="0" w:type="dxa"/>
        </w:tblCellMar>
      </w:tblPr>
      <w:tr>
        <w:trPr>
          <w:trHeight w:val="207"/>
        </w:trPr>
        <w:tc>
          <w:tcPr>
            <w:tcW w:w="8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4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26</w:t>
            </w:r>
          </w:p>
        </w:tc>
        <w:tc>
          <w:tcPr>
            <w:tcW w:w="76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Trade and other payables, deposits received and accrued expenses</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5"/>
          </w:tcPr>
          <w:p>
            <w:pPr>
              <w:ind w:left="200"/>
              <w:spacing w:after="0"/>
              <w:rPr>
                <w:sz w:val="20"/>
                <w:szCs w:val="20"/>
                <w:color w:val="auto"/>
              </w:rPr>
            </w:pPr>
            <w:r>
              <w:rPr>
                <w:rFonts w:ascii="Times New Roman" w:cs="Times New Roman" w:eastAsia="Times New Roman" w:hAnsi="Times New Roman"/>
                <w:sz w:val="14"/>
                <w:szCs w:val="14"/>
                <w:i w:val="1"/>
                <w:iCs w:val="1"/>
                <w:color w:val="auto"/>
              </w:rPr>
              <w:t>As of December 31,</w:t>
            </w:r>
          </w:p>
        </w:tc>
        <w:tc>
          <w:tcPr>
            <w:tcW w:w="0" w:type="dxa"/>
            <w:vAlign w:val="bottom"/>
          </w:tcPr>
          <w:p>
            <w:pPr>
              <w:spacing w:after="0"/>
              <w:rPr>
                <w:sz w:val="1"/>
                <w:szCs w:val="1"/>
                <w:color w:val="auto"/>
              </w:rPr>
            </w:pPr>
          </w:p>
        </w:tc>
      </w:tr>
      <w:tr>
        <w:trPr>
          <w:trHeight w:val="133"/>
        </w:trPr>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top w:val="single" w:sz="8" w:color="auto"/>
            </w:tcBorders>
          </w:tcPr>
          <w:p>
            <w:pPr>
              <w:jc w:val="right"/>
              <w:ind w:right="104"/>
              <w:spacing w:after="0" w:line="133" w:lineRule="exact"/>
              <w:rPr>
                <w:sz w:val="20"/>
                <w:szCs w:val="20"/>
                <w:color w:val="auto"/>
              </w:rPr>
            </w:pPr>
            <w:r>
              <w:rPr>
                <w:rFonts w:ascii="Times New Roman" w:cs="Times New Roman" w:eastAsia="Times New Roman" w:hAnsi="Times New Roman"/>
                <w:sz w:val="14"/>
                <w:szCs w:val="14"/>
                <w:i w:val="1"/>
                <w:iCs w:val="1"/>
                <w:color w:val="auto"/>
              </w:rPr>
              <w:t>2023</w:t>
            </w:r>
          </w:p>
        </w:tc>
        <w:tc>
          <w:tcPr>
            <w:tcW w:w="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right"/>
              <w:ind w:right="99"/>
              <w:spacing w:after="0" w:line="133" w:lineRule="exact"/>
              <w:rPr>
                <w:sz w:val="20"/>
                <w:szCs w:val="20"/>
                <w:color w:val="auto"/>
              </w:rPr>
            </w:pPr>
            <w:r>
              <w:rPr>
                <w:rFonts w:ascii="Times New Roman" w:cs="Times New Roman" w:eastAsia="Times New Roman" w:hAnsi="Times New Roman"/>
                <w:sz w:val="14"/>
                <w:szCs w:val="14"/>
                <w:i w:val="1"/>
                <w:iCs w:val="1"/>
                <w:color w:val="auto"/>
              </w:rPr>
              <w:t>2024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RMB’000</w:t>
            </w:r>
          </w:p>
        </w:tc>
        <w:tc>
          <w:tcPr>
            <w:tcW w:w="160" w:type="dxa"/>
            <w:vAlign w:val="bottom"/>
          </w:tcPr>
          <w:p>
            <w:pPr>
              <w:spacing w:after="0"/>
              <w:rPr>
                <w:sz w:val="14"/>
                <w:szCs w:val="14"/>
                <w:color w:val="auto"/>
              </w:rPr>
            </w:pP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16,962</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20,713</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grants received with conditions*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176,426</w:t>
            </w: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184,542</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social insurance</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55,818</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96,593</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Payables for professional services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w:t>
            </w: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27,134</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Taxes payable and others</w:t>
            </w: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34,592</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89,486</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payables, deposits received and accrued expenses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271,306</w:t>
            </w:r>
          </w:p>
        </w:tc>
        <w:tc>
          <w:tcPr>
            <w:tcW w:w="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397,755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Trade and other payables, deposits received and accrued expenses measured at</w:t>
            </w: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288,268</w:t>
            </w:r>
          </w:p>
        </w:tc>
        <w:tc>
          <w:tcPr>
            <w:tcW w:w="40" w:type="dxa"/>
            <w:vAlign w:val="bottom"/>
          </w:tcPr>
          <w:p>
            <w:pPr>
              <w:spacing w:after="0"/>
              <w:rPr>
                <w:sz w:val="20"/>
                <w:szCs w:val="20"/>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418,468</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340" w:right="400" w:hanging="224"/>
        <w:spacing w:after="0" w:line="282" w:lineRule="auto"/>
        <w:tabs>
          <w:tab w:leader="none" w:pos="3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portion of government grants received with conditions mainly represent the grants received with certain requirements of operation performance and tax contribution in a specified region.</w:t>
      </w:r>
    </w:p>
    <w:p>
      <w:pPr>
        <w:spacing w:after="0" w:line="27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Aging analysis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aging analysis of trade payables based on the invoice date, is as follows:</w:t>
      </w:r>
    </w:p>
    <w:p>
      <w:pPr>
        <w:spacing w:after="0" w:line="246"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4"/>
          <w:szCs w:val="14"/>
          <w:i w:val="1"/>
          <w:iCs w:val="1"/>
          <w:color w:val="auto"/>
        </w:rPr>
        <w:t>As of December 31,</w:t>
      </w:r>
    </w:p>
    <w:p>
      <w:pPr>
        <w:spacing w:after="0" w:line="12" w:lineRule="exact"/>
        <w:rPr>
          <w:sz w:val="20"/>
          <w:szCs w:val="20"/>
          <w:color w:val="auto"/>
        </w:rPr>
      </w:pPr>
    </w:p>
    <w:tbl>
      <w:tblPr>
        <w:tblLayout w:type="fixed"/>
        <w:tblInd w:w="1440" w:type="dxa"/>
        <w:tblCellMar>
          <w:top w:w="0" w:type="dxa"/>
          <w:left w:w="0" w:type="dxa"/>
          <w:bottom w:w="0" w:type="dxa"/>
          <w:right w:w="0" w:type="dxa"/>
        </w:tblCellMar>
      </w:tblPr>
      <w:tr>
        <w:trPr>
          <w:trHeight w:val="119"/>
        </w:trPr>
        <w:tc>
          <w:tcPr>
            <w:tcW w:w="6820" w:type="dxa"/>
            <w:vAlign w:val="bottom"/>
          </w:tcPr>
          <w:p>
            <w:pPr>
              <w:spacing w:after="0"/>
              <w:rPr>
                <w:sz w:val="10"/>
                <w:szCs w:val="10"/>
                <w:color w:val="auto"/>
              </w:rPr>
            </w:pPr>
          </w:p>
        </w:tc>
        <w:tc>
          <w:tcPr>
            <w:tcW w:w="760" w:type="dxa"/>
            <w:vAlign w:val="bottom"/>
            <w:tcBorders>
              <w:top w:val="single" w:sz="8" w:color="auto"/>
            </w:tcBorders>
          </w:tcPr>
          <w:p>
            <w:pPr>
              <w:jc w:val="right"/>
              <w:ind w:right="224"/>
              <w:spacing w:after="0" w:line="119" w:lineRule="exact"/>
              <w:rPr>
                <w:sz w:val="20"/>
                <w:szCs w:val="20"/>
                <w:color w:val="auto"/>
              </w:rPr>
            </w:pPr>
            <w:r>
              <w:rPr>
                <w:rFonts w:ascii="Times New Roman" w:cs="Times New Roman" w:eastAsia="Times New Roman" w:hAnsi="Times New Roman"/>
                <w:sz w:val="13"/>
                <w:szCs w:val="13"/>
                <w:i w:val="1"/>
                <w:iCs w:val="1"/>
                <w:color w:val="auto"/>
              </w:rPr>
              <w:t>2023</w:t>
            </w:r>
          </w:p>
        </w:tc>
        <w:tc>
          <w:tcPr>
            <w:tcW w:w="740" w:type="dxa"/>
            <w:vAlign w:val="bottom"/>
            <w:tcBorders>
              <w:top w:val="single" w:sz="8" w:color="auto"/>
            </w:tcBorders>
          </w:tcPr>
          <w:p>
            <w:pPr>
              <w:jc w:val="right"/>
              <w:ind w:right="84"/>
              <w:spacing w:after="0" w:line="119" w:lineRule="exact"/>
              <w:rPr>
                <w:sz w:val="20"/>
                <w:szCs w:val="20"/>
                <w:color w:val="auto"/>
              </w:rPr>
            </w:pPr>
            <w:r>
              <w:rPr>
                <w:rFonts w:ascii="Times New Roman" w:cs="Times New Roman" w:eastAsia="Times New Roman" w:hAnsi="Times New Roman"/>
                <w:sz w:val="13"/>
                <w:szCs w:val="13"/>
                <w:i w:val="1"/>
                <w:iCs w:val="1"/>
                <w:color w:val="auto"/>
              </w:rPr>
              <w:t>2024</w:t>
            </w:r>
          </w:p>
        </w:tc>
        <w:tc>
          <w:tcPr>
            <w:tcW w:w="40" w:type="dxa"/>
            <w:vAlign w:val="bottom"/>
          </w:tcPr>
          <w:p>
            <w:pPr>
              <w:spacing w:after="0"/>
              <w:rPr>
                <w:sz w:val="10"/>
                <w:szCs w:val="10"/>
                <w:color w:val="auto"/>
              </w:rPr>
            </w:pPr>
          </w:p>
        </w:tc>
      </w:tr>
      <w:tr>
        <w:trPr>
          <w:trHeight w:val="171"/>
        </w:trPr>
        <w:tc>
          <w:tcPr>
            <w:tcW w:w="6820" w:type="dxa"/>
            <w:vAlign w:val="bottom"/>
          </w:tcPr>
          <w:p>
            <w:pPr>
              <w:spacing w:after="0"/>
              <w:rPr>
                <w:sz w:val="14"/>
                <w:szCs w:val="14"/>
                <w:color w:val="auto"/>
              </w:rPr>
            </w:pPr>
          </w:p>
        </w:tc>
        <w:tc>
          <w:tcPr>
            <w:tcW w:w="760" w:type="dxa"/>
            <w:vAlign w:val="bottom"/>
          </w:tcPr>
          <w:p>
            <w:pPr>
              <w:jc w:val="right"/>
              <w:ind w:right="84"/>
              <w:spacing w:after="0"/>
              <w:rPr>
                <w:sz w:val="20"/>
                <w:szCs w:val="20"/>
                <w:color w:val="auto"/>
              </w:rPr>
            </w:pPr>
            <w:r>
              <w:rPr>
                <w:rFonts w:ascii="Times New Roman" w:cs="Times New Roman" w:eastAsia="Times New Roman" w:hAnsi="Times New Roman"/>
                <w:sz w:val="14"/>
                <w:szCs w:val="14"/>
                <w:color w:val="auto"/>
              </w:rPr>
              <w:t>RMB’000</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RMB’000</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7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16,962</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20,713</w:t>
            </w:r>
          </w:p>
        </w:tc>
      </w:tr>
    </w:tbl>
    <w:p>
      <w:pPr>
        <w:spacing w:after="0" w:line="198"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As of December 31, 2023 and 2024, all of the balances of trade and other payables are expected to be settled or recognized as income within one year or are repayable on demand. The credit period granted by the suppliers is generally between 30 to 60 days.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Information about the Group’s exposure to currency and liquidity risks is included in Note 31.</w:t>
      </w:r>
    </w:p>
    <w:p>
      <w:pPr>
        <w:spacing w:after="0" w:line="37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8"/>
          <w:szCs w:val="18"/>
          <w:b w:val="1"/>
          <w:bCs w:val="1"/>
          <w:color w:val="auto"/>
        </w:rPr>
        <w:t>Financial liabilities measured at FVTPL</w:t>
      </w:r>
    </w:p>
    <w:p>
      <w:pPr>
        <w:spacing w:after="0" w:line="229" w:lineRule="exact"/>
        <w:rPr>
          <w:sz w:val="20"/>
          <w:szCs w:val="20"/>
          <w:color w:val="auto"/>
        </w:rPr>
      </w:pPr>
    </w:p>
    <w:p>
      <w:pPr>
        <w:ind w:left="560" w:right="240"/>
        <w:spacing w:after="0" w:line="266" w:lineRule="auto"/>
        <w:rPr>
          <w:sz w:val="20"/>
          <w:szCs w:val="20"/>
          <w:color w:val="auto"/>
        </w:rPr>
      </w:pPr>
      <w:r>
        <w:rPr>
          <w:rFonts w:ascii="Times New Roman" w:cs="Times New Roman" w:eastAsia="Times New Roman" w:hAnsi="Times New Roman"/>
          <w:sz w:val="18"/>
          <w:szCs w:val="18"/>
          <w:color w:val="auto"/>
        </w:rPr>
        <w:t>The Group granted warrants to certain investors in 2022 and before, under which the investors have the rights to subscribe for the Company’s preferred shares at a predetermined or nominal price during a specific period. Such warrants are classified as financial liabilities measured at FVTPL.</w:t>
      </w:r>
    </w:p>
    <w:p>
      <w:pPr>
        <w:spacing w:after="0" w:line="1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0980"/>
          </w:cols>
          <w:pgMar w:left="320" w:top="473" w:right="59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movement of warrant liabilities during the years presented is set out as below:</w:t>
      </w:r>
    </w:p>
    <w:p>
      <w:pPr>
        <w:spacing w:after="0" w:line="21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7040" w:type="dxa"/>
            <w:vAlign w:val="bottom"/>
          </w:tcPr>
          <w:p>
            <w:pPr>
              <w:spacing w:after="0"/>
              <w:rPr>
                <w:sz w:val="15"/>
                <w:szCs w:val="15"/>
                <w:color w:val="auto"/>
              </w:rPr>
            </w:pPr>
          </w:p>
        </w:tc>
        <w:tc>
          <w:tcPr>
            <w:tcW w:w="222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r>
      <w:tr>
        <w:trPr>
          <w:trHeight w:val="119"/>
        </w:trPr>
        <w:tc>
          <w:tcPr>
            <w:tcW w:w="7040" w:type="dxa"/>
            <w:vAlign w:val="bottom"/>
          </w:tcPr>
          <w:p>
            <w:pPr>
              <w:spacing w:after="0"/>
              <w:rPr>
                <w:sz w:val="10"/>
                <w:szCs w:val="10"/>
                <w:color w:val="auto"/>
              </w:rPr>
            </w:pPr>
          </w:p>
        </w:tc>
        <w:tc>
          <w:tcPr>
            <w:tcW w:w="840" w:type="dxa"/>
            <w:vAlign w:val="bottom"/>
            <w:tcBorders>
              <w:top w:val="single" w:sz="8" w:color="auto"/>
            </w:tcBorders>
          </w:tcPr>
          <w:p>
            <w:pPr>
              <w:jc w:val="right"/>
              <w:ind w:right="195"/>
              <w:spacing w:after="0" w:line="119" w:lineRule="exact"/>
              <w:rPr>
                <w:sz w:val="20"/>
                <w:szCs w:val="20"/>
                <w:color w:val="auto"/>
              </w:rPr>
            </w:pPr>
            <w:r>
              <w:rPr>
                <w:rFonts w:ascii="Times New Roman" w:cs="Times New Roman" w:eastAsia="Times New Roman" w:hAnsi="Times New Roman"/>
                <w:sz w:val="13"/>
                <w:szCs w:val="13"/>
                <w:i w:val="1"/>
                <w:iCs w:val="1"/>
                <w:color w:val="auto"/>
              </w:rPr>
              <w:t>2022</w:t>
            </w:r>
          </w:p>
        </w:tc>
        <w:tc>
          <w:tcPr>
            <w:tcW w:w="3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214"/>
              <w:spacing w:after="0" w:line="119" w:lineRule="exact"/>
              <w:rPr>
                <w:sz w:val="20"/>
                <w:szCs w:val="20"/>
                <w:color w:val="auto"/>
              </w:rPr>
            </w:pPr>
            <w:r>
              <w:rPr>
                <w:rFonts w:ascii="Times New Roman" w:cs="Times New Roman" w:eastAsia="Times New Roman" w:hAnsi="Times New Roman"/>
                <w:sz w:val="13"/>
                <w:szCs w:val="13"/>
                <w:i w:val="1"/>
                <w:iCs w:val="1"/>
                <w:color w:val="auto"/>
              </w:rPr>
              <w:t>2023</w:t>
            </w:r>
          </w:p>
        </w:tc>
        <w:tc>
          <w:tcPr>
            <w:tcW w:w="120" w:type="dxa"/>
            <w:vAlign w:val="bottom"/>
          </w:tcPr>
          <w:p>
            <w:pPr>
              <w:spacing w:after="0"/>
              <w:rPr>
                <w:sz w:val="10"/>
                <w:szCs w:val="10"/>
                <w:color w:val="auto"/>
              </w:rPr>
            </w:pPr>
          </w:p>
        </w:tc>
      </w:tr>
      <w:tr>
        <w:trPr>
          <w:trHeight w:val="171"/>
        </w:trPr>
        <w:tc>
          <w:tcPr>
            <w:tcW w:w="704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RMB’000</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RMB’000</w:t>
            </w: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74,357</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72,112</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Deemed distribution to a preferred shareholder (Note (ii))</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32,767</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warrant liabilities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143,829</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Inducement charges (Note(i))</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125,213</w:t>
            </w:r>
          </w:p>
        </w:tc>
        <w:tc>
          <w:tcPr>
            <w:tcW w:w="3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changes</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(25,308)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Exercised by the investors to subscribe for preferred shares</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Convertible redeemable preferred shares (Note 23(b))</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(173,017)</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 Other reserve (Note 29(b)(iii))</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(79,512)</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(111,055)</w:t>
            </w: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effect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w:t>
            </w:r>
          </w:p>
        </w:tc>
        <w:tc>
          <w:tcPr>
            <w:tcW w:w="3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20" w:type="dxa"/>
            <w:vAlign w:val="bottom"/>
            <w:shd w:val="clear" w:color="auto" w:fill="CCEEFF"/>
          </w:tcPr>
          <w:p>
            <w:pPr>
              <w:spacing w:after="0"/>
              <w:rPr>
                <w:sz w:val="18"/>
                <w:szCs w:val="18"/>
                <w:color w:val="auto"/>
              </w:rPr>
            </w:pPr>
          </w:p>
        </w:tc>
      </w:tr>
      <w:tr>
        <w:trPr>
          <w:trHeight w:val="223"/>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72,112</w:t>
            </w:r>
          </w:p>
        </w:tc>
        <w:tc>
          <w:tcPr>
            <w:tcW w:w="3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6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Notes:</w:t>
      </w:r>
    </w:p>
    <w:p>
      <w:pPr>
        <w:spacing w:after="0" w:line="90" w:lineRule="exact"/>
        <w:rPr>
          <w:sz w:val="20"/>
          <w:szCs w:val="20"/>
          <w:color w:val="auto"/>
        </w:rPr>
      </w:pPr>
    </w:p>
    <w:p>
      <w:pPr>
        <w:ind w:left="1080" w:right="180" w:hanging="532"/>
        <w:spacing w:after="0" w:line="255" w:lineRule="auto"/>
        <w:tabs>
          <w:tab w:leader="none" w:pos="1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certain warrants were granted to certain preferred shares’ investors without additional consideration, when the Company issued convertible redeemable preferred shares to these investors. Under the warrants, these investors have the right to subscribe for more preferred shares at a predetermined price with certain discounts during a specific period. The initial fair value of these warrants is treated as an inducement charge for the financing activities.</w:t>
      </w:r>
    </w:p>
    <w:p>
      <w:pPr>
        <w:spacing w:after="0" w:line="2" w:lineRule="exact"/>
        <w:rPr>
          <w:rFonts w:ascii="Times New Roman" w:cs="Times New Roman" w:eastAsia="Times New Roman" w:hAnsi="Times New Roman"/>
          <w:sz w:val="18"/>
          <w:szCs w:val="18"/>
          <w:color w:val="auto"/>
        </w:rPr>
      </w:pPr>
    </w:p>
    <w:p>
      <w:pPr>
        <w:ind w:left="1080" w:right="80" w:hanging="532"/>
        <w:spacing w:after="0" w:line="253" w:lineRule="auto"/>
        <w:tabs>
          <w:tab w:leader="none" w:pos="1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2023, the Company amended a warrant issued in 2018 to a preferred shareholder with nominal consideration. The warrant became exercisable as amended to subscribe for 1,382,929 shares of Series A Preferred Shares at a predetermined nominal price during a specific period. The fair value changes of the warrant of RMB 32.8 million due to the amendment was treated as a deemed distribution to this preferred shareholder.</w:t>
      </w:r>
    </w:p>
    <w:p>
      <w:pPr>
        <w:spacing w:after="0" w:line="148" w:lineRule="exact"/>
        <w:rPr>
          <w:sz w:val="20"/>
          <w:szCs w:val="20"/>
          <w:color w:val="auto"/>
        </w:rPr>
      </w:pPr>
    </w:p>
    <w:p>
      <w:pPr>
        <w:ind w:left="560"/>
        <w:spacing w:after="0" w:line="266" w:lineRule="auto"/>
        <w:rPr>
          <w:sz w:val="20"/>
          <w:szCs w:val="20"/>
          <w:color w:val="auto"/>
        </w:rPr>
      </w:pPr>
      <w:r>
        <w:rPr>
          <w:rFonts w:ascii="Times New Roman" w:cs="Times New Roman" w:eastAsia="Times New Roman" w:hAnsi="Times New Roman"/>
          <w:sz w:val="18"/>
          <w:szCs w:val="18"/>
          <w:color w:val="auto"/>
        </w:rPr>
        <w:t>The Group has engaged an independent valuation firm to evaluate the fair value of the warrants utilizing the binomial option-pricing model, which involves significant assumptions including the risk-free interest rate, the expected volatility, expected dividend yield and expected term. The warrants were remeasured as of the end of each year presented utilizing the binomial option-pricing model with the following assumptions:</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880" w:type="dxa"/>
            <w:vAlign w:val="bottom"/>
          </w:tcPr>
          <w:p>
            <w:pPr>
              <w:spacing w:after="0"/>
              <w:rPr>
                <w:sz w:val="15"/>
                <w:szCs w:val="15"/>
                <w:color w:val="auto"/>
              </w:rPr>
            </w:pPr>
          </w:p>
        </w:tc>
        <w:tc>
          <w:tcPr>
            <w:tcW w:w="23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r>
      <w:tr>
        <w:trPr>
          <w:trHeight w:val="142"/>
        </w:trPr>
        <w:tc>
          <w:tcPr>
            <w:tcW w:w="6880" w:type="dxa"/>
            <w:vAlign w:val="bottom"/>
          </w:tcPr>
          <w:p>
            <w:pPr>
              <w:spacing w:after="0"/>
              <w:rPr>
                <w:sz w:val="12"/>
                <w:szCs w:val="12"/>
                <w:color w:val="auto"/>
              </w:rPr>
            </w:pPr>
          </w:p>
        </w:tc>
        <w:tc>
          <w:tcPr>
            <w:tcW w:w="1360" w:type="dxa"/>
            <w:vAlign w:val="bottom"/>
            <w:tcBorders>
              <w:top w:val="single" w:sz="8" w:color="auto"/>
            </w:tcBorders>
          </w:tcPr>
          <w:p>
            <w:pPr>
              <w:jc w:val="right"/>
              <w:ind w:right="596"/>
              <w:spacing w:after="0" w:line="142" w:lineRule="exact"/>
              <w:rPr>
                <w:sz w:val="20"/>
                <w:szCs w:val="20"/>
                <w:color w:val="auto"/>
              </w:rPr>
            </w:pPr>
            <w:r>
              <w:rPr>
                <w:rFonts w:ascii="Times New Roman" w:cs="Times New Roman" w:eastAsia="Times New Roman" w:hAnsi="Times New Roman"/>
                <w:sz w:val="14"/>
                <w:szCs w:val="14"/>
                <w:i w:val="1"/>
                <w:iCs w:val="1"/>
                <w:color w:val="auto"/>
              </w:rPr>
              <w:t>2022</w:t>
            </w:r>
          </w:p>
        </w:tc>
        <w:tc>
          <w:tcPr>
            <w:tcW w:w="820" w:type="dxa"/>
            <w:vAlign w:val="bottom"/>
            <w:tcBorders>
              <w:top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i w:val="1"/>
                <w:iCs w:val="1"/>
                <w:color w:val="auto"/>
              </w:rPr>
              <w:t>2023</w:t>
            </w:r>
          </w:p>
        </w:tc>
        <w:tc>
          <w:tcPr>
            <w:tcW w:w="200" w:type="dxa"/>
            <w:vAlign w:val="bottom"/>
          </w:tcPr>
          <w:p>
            <w:pPr>
              <w:spacing w:after="0"/>
              <w:rPr>
                <w:sz w:val="12"/>
                <w:szCs w:val="12"/>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58.1%</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53.8%</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(per annum)</w:t>
            </w:r>
          </w:p>
        </w:tc>
        <w:tc>
          <w:tcPr>
            <w:tcW w:w="13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4.4%</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36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1.0 - 6.0 years</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 years</w:t>
            </w:r>
          </w:p>
        </w:tc>
      </w:tr>
    </w:tbl>
    <w:p>
      <w:pPr>
        <w:spacing w:after="0" w:line="152" w:lineRule="exact"/>
        <w:rPr>
          <w:sz w:val="20"/>
          <w:szCs w:val="20"/>
          <w:color w:val="auto"/>
        </w:rPr>
      </w:pPr>
    </w:p>
    <w:p>
      <w:pPr>
        <w:ind w:left="560" w:right="80"/>
        <w:spacing w:after="0" w:line="261" w:lineRule="auto"/>
        <w:rPr>
          <w:sz w:val="20"/>
          <w:szCs w:val="20"/>
          <w:color w:val="auto"/>
        </w:rPr>
      </w:pPr>
      <w:r>
        <w:rPr>
          <w:rFonts w:ascii="Times New Roman" w:cs="Times New Roman" w:eastAsia="Times New Roman" w:hAnsi="Times New Roman"/>
          <w:sz w:val="18"/>
          <w:szCs w:val="18"/>
          <w:color w:val="auto"/>
        </w:rPr>
        <w:t>The risk-free interest rate was based on the U.S. Treasury rate for the expected remaining life of the convertible notes and warrants. The expected volatility was estimated based on the historical volatility of comparable peer public companies with a time horizon close to the expected term of the Company’s convertible notes and warrants. Expected dividend yield is zero as the Company does not anticipate any dividend payments in the foreseeable future. Expected term is the remaining life of the convertible notes and warrants.</w:t>
      </w:r>
    </w:p>
    <w:p>
      <w:pPr>
        <w:spacing w:after="0" w:line="297"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28</w:t>
            </w:r>
          </w:p>
        </w:tc>
        <w:tc>
          <w:tcPr>
            <w:tcW w:w="76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Bank loans</w:t>
            </w: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1700" w:type="dxa"/>
            <w:vAlign w:val="bottom"/>
            <w:gridSpan w:val="4"/>
          </w:tcPr>
          <w:p>
            <w:pPr>
              <w:ind w:left="260"/>
              <w:spacing w:after="0"/>
              <w:rPr>
                <w:sz w:val="20"/>
                <w:szCs w:val="20"/>
                <w:color w:val="auto"/>
              </w:rPr>
            </w:pPr>
            <w:r>
              <w:rPr>
                <w:rFonts w:ascii="Times New Roman" w:cs="Times New Roman" w:eastAsia="Times New Roman" w:hAnsi="Times New Roman"/>
                <w:sz w:val="14"/>
                <w:szCs w:val="14"/>
                <w:i w:val="1"/>
                <w:iCs w:val="1"/>
                <w:color w:val="auto"/>
              </w:rPr>
              <w:t>As of December 31,</w:t>
            </w:r>
          </w:p>
        </w:tc>
        <w:tc>
          <w:tcPr>
            <w:tcW w:w="0" w:type="dxa"/>
            <w:vAlign w:val="bottom"/>
          </w:tcPr>
          <w:p>
            <w:pPr>
              <w:spacing w:after="0"/>
              <w:rPr>
                <w:sz w:val="1"/>
                <w:szCs w:val="1"/>
                <w:color w:val="auto"/>
              </w:rPr>
            </w:pPr>
          </w:p>
        </w:tc>
      </w:tr>
      <w:tr>
        <w:trPr>
          <w:trHeight w:val="119"/>
        </w:trPr>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660" w:type="dxa"/>
            <w:vAlign w:val="bottom"/>
          </w:tcPr>
          <w:p>
            <w:pPr>
              <w:spacing w:after="0"/>
              <w:rPr>
                <w:sz w:val="10"/>
                <w:szCs w:val="10"/>
                <w:color w:val="auto"/>
              </w:rPr>
            </w:pPr>
          </w:p>
        </w:tc>
        <w:tc>
          <w:tcPr>
            <w:tcW w:w="600" w:type="dxa"/>
            <w:vAlign w:val="bottom"/>
            <w:tcBorders>
              <w:top w:val="single" w:sz="8" w:color="auto"/>
            </w:tcBorders>
          </w:tcPr>
          <w:p>
            <w:pPr>
              <w:jc w:val="right"/>
              <w:ind w:right="80"/>
              <w:spacing w:after="0" w:line="119" w:lineRule="exact"/>
              <w:rPr>
                <w:sz w:val="20"/>
                <w:szCs w:val="20"/>
                <w:color w:val="auto"/>
              </w:rPr>
            </w:pPr>
            <w:r>
              <w:rPr>
                <w:rFonts w:ascii="Times New Roman" w:cs="Times New Roman" w:eastAsia="Times New Roman" w:hAnsi="Times New Roman"/>
                <w:sz w:val="13"/>
                <w:szCs w:val="13"/>
                <w:i w:val="1"/>
                <w:iCs w:val="1"/>
                <w:color w:val="auto"/>
              </w:rPr>
              <w:t>2023</w:t>
            </w:r>
          </w:p>
        </w:tc>
        <w:tc>
          <w:tcPr>
            <w:tcW w:w="1060" w:type="dxa"/>
            <w:vAlign w:val="bottom"/>
            <w:tcBorders>
              <w:top w:val="single" w:sz="8" w:color="auto"/>
            </w:tcBorders>
            <w:gridSpan w:val="2"/>
          </w:tcPr>
          <w:p>
            <w:pPr>
              <w:jc w:val="right"/>
              <w:ind w:right="79"/>
              <w:spacing w:after="0" w:line="119" w:lineRule="exact"/>
              <w:rPr>
                <w:sz w:val="20"/>
                <w:szCs w:val="20"/>
                <w:color w:val="auto"/>
              </w:rPr>
            </w:pPr>
            <w:r>
              <w:rPr>
                <w:rFonts w:ascii="Times New Roman" w:cs="Times New Roman" w:eastAsia="Times New Roman" w:hAnsi="Times New Roman"/>
                <w:sz w:val="13"/>
                <w:szCs w:val="13"/>
                <w:i w:val="1"/>
                <w:iCs w:val="1"/>
                <w:color w:val="auto"/>
              </w:rPr>
              <w:t>2024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RMB’000</w:t>
            </w:r>
          </w:p>
        </w:tc>
        <w:tc>
          <w:tcPr>
            <w:tcW w:w="46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8"/>
              </w:rPr>
              <w:t>RMB’000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Long-term bank loan (Note (i))</w:t>
            </w:r>
          </w:p>
        </w:tc>
        <w:tc>
          <w:tcPr>
            <w:tcW w:w="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— </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50,040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 Short-term bank loans (Note (ii))</w:t>
            </w: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w w:val="88"/>
              </w:rPr>
              <w:t>— </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30,019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6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p>
        </w:tc>
        <w:tc>
          <w:tcPr>
            <w:tcW w:w="4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80,059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6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Notes:</w:t>
            </w: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00" w:type="dxa"/>
            <w:vAlign w:val="bottom"/>
          </w:tcPr>
          <w:p>
            <w:pPr>
              <w:spacing w:after="0"/>
              <w:rPr>
                <w:sz w:val="24"/>
                <w:szCs w:val="24"/>
                <w:color w:val="auto"/>
              </w:rPr>
            </w:pPr>
          </w:p>
        </w:tc>
        <w:tc>
          <w:tcPr>
            <w:tcW w:w="768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1080" w:right="140" w:hanging="532"/>
        <w:spacing w:after="0" w:line="261" w:lineRule="auto"/>
        <w:tabs>
          <w:tab w:leader="none" w:pos="10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2024, a commercial bank in the PRC provided the Group with a two-year long-term bank loan of RMB50.0 million bearing an interest rate of 2.9% per annum.</w:t>
      </w:r>
    </w:p>
    <w:p>
      <w:pPr>
        <w:ind w:left="1080" w:right="320" w:hanging="532"/>
        <w:spacing w:after="0" w:line="260" w:lineRule="auto"/>
        <w:tabs>
          <w:tab w:leader="none" w:pos="10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and December 2024, a commercial bank in the PRC provided the Group with certain one-year short-term loans with total principal amount of RMB30.0 million bearing an interest rate of 2.5% per annum.</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120"/>
          </w:cols>
          <w:pgMar w:left="320" w:top="482" w:right="45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29</w:t>
            </w:r>
          </w:p>
        </w:tc>
        <w:tc>
          <w:tcPr>
            <w:tcW w:w="50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Capital and reserves</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50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Share capital and share premium</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0" w:type="dxa"/>
            <w:vAlign w:val="bottom"/>
          </w:tcPr>
          <w:p>
            <w:pPr>
              <w:spacing w:after="0"/>
              <w:rPr>
                <w:sz w:val="24"/>
                <w:szCs w:val="24"/>
                <w:color w:val="auto"/>
              </w:rPr>
            </w:pPr>
          </w:p>
        </w:tc>
        <w:tc>
          <w:tcPr>
            <w:tcW w:w="50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Authorized:</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400" w:type="dxa"/>
            <w:vAlign w:val="bottom"/>
            <w:gridSpan w:val="2"/>
            <w:vMerge w:val="restart"/>
          </w:tcPr>
          <w:p>
            <w:pPr>
              <w:jc w:val="right"/>
              <w:ind w:right="181"/>
              <w:spacing w:after="0"/>
              <w:rPr>
                <w:sz w:val="20"/>
                <w:szCs w:val="20"/>
                <w:color w:val="auto"/>
              </w:rPr>
            </w:pPr>
            <w:r>
              <w:rPr>
                <w:rFonts w:ascii="Times New Roman" w:cs="Times New Roman" w:eastAsia="Times New Roman" w:hAnsi="Times New Roman"/>
                <w:sz w:val="14"/>
                <w:szCs w:val="14"/>
                <w:i w:val="1"/>
                <w:iCs w:val="1"/>
                <w:color w:val="auto"/>
                <w:w w:val="99"/>
              </w:rPr>
              <w:t>Number of ordinary</w:t>
            </w:r>
          </w:p>
        </w:tc>
        <w:tc>
          <w:tcPr>
            <w:tcW w:w="200" w:type="dxa"/>
            <w:vAlign w:val="bottom"/>
          </w:tcPr>
          <w:p>
            <w:pPr>
              <w:spacing w:after="0"/>
              <w:rPr>
                <w:sz w:val="24"/>
                <w:szCs w:val="24"/>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i w:val="1"/>
                <w:iCs w:val="1"/>
                <w:color w:val="auto"/>
              </w:rPr>
              <w:t>Number of non-</w:t>
            </w:r>
          </w:p>
        </w:tc>
        <w:tc>
          <w:tcPr>
            <w:tcW w:w="1600" w:type="dxa"/>
            <w:vAlign w:val="bottom"/>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Number of convertible</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70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i w:val="1"/>
                <w:iCs w:val="1"/>
                <w:color w:val="auto"/>
              </w:rPr>
              <w:t>redeemable preferred</w:t>
            </w:r>
          </w:p>
        </w:tc>
        <w:tc>
          <w:tcPr>
            <w:tcW w:w="200" w:type="dxa"/>
            <w:vAlign w:val="bottom"/>
          </w:tcPr>
          <w:p>
            <w:pPr>
              <w:spacing w:after="0"/>
              <w:rPr>
                <w:sz w:val="12"/>
                <w:szCs w:val="12"/>
                <w:color w:val="auto"/>
              </w:rPr>
            </w:pPr>
          </w:p>
        </w:tc>
        <w:tc>
          <w:tcPr>
            <w:tcW w:w="14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i w:val="1"/>
                <w:iCs w:val="1"/>
                <w:color w:val="auto"/>
              </w:rPr>
              <w:t>redeemable preferred</w:t>
            </w: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400" w:type="dxa"/>
            <w:vAlign w:val="bottom"/>
            <w:gridSpan w:val="2"/>
          </w:tcPr>
          <w:p>
            <w:pPr>
              <w:jc w:val="right"/>
              <w:ind w:right="561"/>
              <w:spacing w:after="0"/>
              <w:rPr>
                <w:sz w:val="20"/>
                <w:szCs w:val="20"/>
                <w:color w:val="auto"/>
              </w:rPr>
            </w:pPr>
            <w:r>
              <w:rPr>
                <w:rFonts w:ascii="Times New Roman" w:cs="Times New Roman" w:eastAsia="Times New Roman" w:hAnsi="Times New Roman"/>
                <w:sz w:val="14"/>
                <w:szCs w:val="14"/>
                <w:i w:val="1"/>
                <w:iCs w:val="1"/>
                <w:color w:val="auto"/>
              </w:rPr>
              <w:t>shares</w:t>
            </w:r>
          </w:p>
        </w:tc>
        <w:tc>
          <w:tcPr>
            <w:tcW w:w="200" w:type="dxa"/>
            <w:vAlign w:val="bottom"/>
          </w:tcPr>
          <w:p>
            <w:pPr>
              <w:spacing w:after="0"/>
              <w:rPr>
                <w:sz w:val="15"/>
                <w:szCs w:val="15"/>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i w:val="1"/>
                <w:iCs w:val="1"/>
                <w:color w:val="auto"/>
                <w:w w:val="98"/>
              </w:rPr>
              <w:t>shares</w:t>
            </w:r>
          </w:p>
        </w:tc>
        <w:tc>
          <w:tcPr>
            <w:tcW w:w="200" w:type="dxa"/>
            <w:vAlign w:val="bottom"/>
          </w:tcPr>
          <w:p>
            <w:pPr>
              <w:spacing w:after="0"/>
              <w:rPr>
                <w:sz w:val="15"/>
                <w:szCs w:val="15"/>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i w:val="1"/>
                <w:iCs w:val="1"/>
                <w:color w:val="auto"/>
              </w:rPr>
              <w:t>shares</w:t>
            </w: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2022</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4,418,175,111</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210,621,810</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371,203,079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Re-designation upon issuance of preferred shares</w:t>
            </w:r>
          </w:p>
        </w:tc>
        <w:tc>
          <w:tcPr>
            <w:tcW w:w="14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(60,574,179)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1,084,600</w:t>
            </w:r>
          </w:p>
        </w:tc>
        <w:tc>
          <w:tcPr>
            <w:tcW w:w="26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59,489,579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 and 2023 (Note (i))</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4,357,600,932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211,706,410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430,692,658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0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color w:val="auto"/>
              </w:rPr>
              <w:t>Re-designation before the completion of the IPO</w:t>
            </w:r>
          </w:p>
        </w:tc>
        <w:tc>
          <w:tcPr>
            <w:tcW w:w="1400" w:type="dxa"/>
            <w:vAlign w:val="bottom"/>
            <w:gridSpan w:val="2"/>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0" w:type="dxa"/>
            <w:vAlign w:val="bottom"/>
          </w:tcPr>
          <w:p>
            <w:pPr>
              <w:spacing w:after="0"/>
              <w:rPr>
                <w:sz w:val="18"/>
                <w:szCs w:val="18"/>
                <w:color w:val="auto"/>
              </w:rPr>
            </w:pPr>
          </w:p>
        </w:tc>
        <w:tc>
          <w:tcPr>
            <w:tcW w:w="5060" w:type="dxa"/>
            <w:vAlign w:val="bottom"/>
            <w:gridSpan w:val="2"/>
            <w:vMerge w:val="continue"/>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(4,357,600,932</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(211,706,410)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(430,692,658)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 (Note (ii))</w:t>
            </w:r>
          </w:p>
        </w:tc>
        <w:tc>
          <w:tcPr>
            <w:tcW w:w="14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1080" w:hanging="532"/>
        <w:spacing w:after="0" w:line="289" w:lineRule="auto"/>
        <w:tabs>
          <w:tab w:leader="none" w:pos="1080"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2022 and 2023, the authorized capital of the Company was USD50,000 or i) 4,357,600,932 ordinary shares, including 50 Golden Shares; ii) 211,706,410 non-redeemable preferred shares, consisting of 65,403,460 Series Seed-1 Preferred Shares, 52,959,930 Series Seed-2 Preferred Shares and 93,343,020 Series A Preferred Shares; and iii) 430,692,658 convertible redeemable preferred shares.</w:t>
      </w:r>
    </w:p>
    <w:p>
      <w:pPr>
        <w:spacing w:after="0" w:line="49" w:lineRule="exact"/>
        <w:rPr>
          <w:rFonts w:ascii="Times New Roman" w:cs="Times New Roman" w:eastAsia="Times New Roman" w:hAnsi="Times New Roman"/>
          <w:sz w:val="17"/>
          <w:szCs w:val="17"/>
          <w:color w:val="auto"/>
        </w:rPr>
      </w:pPr>
    </w:p>
    <w:p>
      <w:pPr>
        <w:jc w:val="both"/>
        <w:ind w:left="1100" w:right="4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Golden Share represents the share held by each member, who shall be entitled to 7,200,000 votes in respect of each Golden Share held by such member (as adjusted for share splits, share dividends, combinations, recapitalizations and similar events with respect to the ordinary shares or the Golden Shares).</w:t>
      </w:r>
    </w:p>
    <w:p>
      <w:pPr>
        <w:spacing w:after="0" w:line="81" w:lineRule="exact"/>
        <w:rPr>
          <w:rFonts w:ascii="Times New Roman" w:cs="Times New Roman" w:eastAsia="Times New Roman" w:hAnsi="Times New Roman"/>
          <w:sz w:val="17"/>
          <w:szCs w:val="17"/>
          <w:color w:val="auto"/>
        </w:rPr>
      </w:pPr>
    </w:p>
    <w:p>
      <w:pPr>
        <w:ind w:left="1080" w:right="20" w:hanging="532"/>
        <w:spacing w:after="0" w:line="258" w:lineRule="auto"/>
        <w:tabs>
          <w:tab w:leader="none" w:pos="10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2024, the Board of Directors approved, conditional upon and immediately prior to the completion of the IPO, the reorganization of the authorized share capital of the Company, of which the authorized share capital of the Company shall be USD50,000 divided into 5,000,000,000 shares of a par value of USD0.00001 each, comprising (i) 3,500,000,000 Class A ordinary Shares of a par value of US$0.00001 each, (ii) 500,000,000 Class B ordinary shares of a par value of USD0.00001 each, and (iii) 1,000,000,000 shares of a par value of US$0.00001 each of such class or classes.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060"/>
          </w:cols>
          <w:pgMar w:left="320" w:top="482" w:right="51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Issued:</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154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i w:val="1"/>
                <w:iCs w:val="1"/>
                <w:color w:val="auto"/>
              </w:rPr>
              <w:t>Number of</w:t>
            </w:r>
          </w:p>
        </w:tc>
        <w:tc>
          <w:tcPr>
            <w:tcW w:w="13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i w:val="1"/>
                <w:iCs w:val="1"/>
                <w:color w:val="auto"/>
              </w:rPr>
              <w:t>Share Capital</w:t>
            </w:r>
          </w:p>
        </w:tc>
        <w:tc>
          <w:tcPr>
            <w:tcW w:w="15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i w:val="1"/>
                <w:iCs w:val="1"/>
                <w:color w:val="auto"/>
              </w:rPr>
              <w:t>Number of non-</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i w:val="1"/>
                <w:iCs w:val="1"/>
                <w:color w:val="auto"/>
              </w:rPr>
              <w:t>Share capital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3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i w:val="1"/>
                <w:iCs w:val="1"/>
                <w:color w:val="auto"/>
              </w:rPr>
              <w:t>of ordinary</w:t>
            </w:r>
          </w:p>
        </w:tc>
        <w:tc>
          <w:tcPr>
            <w:tcW w:w="1540" w:type="dxa"/>
            <w:vAlign w:val="bottom"/>
            <w:gridSpan w:val="2"/>
          </w:tcPr>
          <w:p>
            <w:pPr>
              <w:jc w:val="right"/>
              <w:ind w:right="700"/>
              <w:spacing w:after="0" w:line="149" w:lineRule="exact"/>
              <w:rPr>
                <w:sz w:val="20"/>
                <w:szCs w:val="20"/>
                <w:color w:val="auto"/>
              </w:rPr>
            </w:pPr>
            <w:r>
              <w:rPr>
                <w:rFonts w:ascii="Times New Roman" w:cs="Times New Roman" w:eastAsia="Times New Roman" w:hAnsi="Times New Roman"/>
                <w:sz w:val="14"/>
                <w:szCs w:val="14"/>
                <w:i w:val="1"/>
                <w:iCs w:val="1"/>
                <w:color w:val="auto"/>
              </w:rPr>
              <w:t>redeemable</w:t>
            </w:r>
          </w:p>
        </w:tc>
        <w:tc>
          <w:tcPr>
            <w:tcW w:w="10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i w:val="1"/>
                <w:iCs w:val="1"/>
                <w:color w:val="auto"/>
              </w:rPr>
              <w:t>non-redeemable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5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i w:val="1"/>
                <w:iCs w:val="1"/>
                <w:color w:val="auto"/>
              </w:rPr>
              <w:t>ordinary shares</w:t>
            </w:r>
          </w:p>
        </w:tc>
        <w:tc>
          <w:tcPr>
            <w:tcW w:w="13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i w:val="1"/>
                <w:iCs w:val="1"/>
                <w:color w:val="auto"/>
                <w:w w:val="98"/>
              </w:rPr>
              <w:t>shares</w:t>
            </w:r>
          </w:p>
        </w:tc>
        <w:tc>
          <w:tcPr>
            <w:tcW w:w="15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i w:val="1"/>
                <w:iCs w:val="1"/>
                <w:color w:val="auto"/>
              </w:rPr>
              <w:t>preferred shares</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rPr>
              <w:t>preferred shares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320" w:type="dxa"/>
            <w:vAlign w:val="bottom"/>
            <w:gridSpan w:val="2"/>
          </w:tcPr>
          <w:p>
            <w:pPr>
              <w:jc w:val="center"/>
              <w:ind w:right="540"/>
              <w:spacing w:after="0" w:line="158" w:lineRule="exact"/>
              <w:rPr>
                <w:sz w:val="20"/>
                <w:szCs w:val="20"/>
                <w:color w:val="auto"/>
              </w:rPr>
            </w:pPr>
            <w:r>
              <w:rPr>
                <w:rFonts w:ascii="Times New Roman" w:cs="Times New Roman" w:eastAsia="Times New Roman" w:hAnsi="Times New Roman"/>
                <w:sz w:val="14"/>
                <w:szCs w:val="14"/>
                <w:color w:val="auto"/>
              </w:rPr>
              <w:t>RMB’000</w:t>
            </w:r>
          </w:p>
        </w:tc>
        <w:tc>
          <w:tcPr>
            <w:tcW w:w="102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As of January 1, 2022 (Note (iii))</w:t>
            </w:r>
          </w:p>
        </w:tc>
        <w:tc>
          <w:tcPr>
            <w:tcW w:w="1540" w:type="dxa"/>
            <w:vAlign w:val="bottom"/>
            <w:tcBorders>
              <w:top w:val="single" w:sz="8" w:color="CCEEFF"/>
            </w:tcBorders>
            <w:gridSpan w:val="2"/>
            <w:shd w:val="clear" w:color="auto" w:fill="CCEEFF"/>
          </w:tcPr>
          <w:p>
            <w:pPr>
              <w:jc w:val="right"/>
              <w:ind w:right="520"/>
              <w:spacing w:after="0" w:line="203" w:lineRule="exact"/>
              <w:rPr>
                <w:sz w:val="20"/>
                <w:szCs w:val="20"/>
                <w:color w:val="auto"/>
              </w:rPr>
            </w:pPr>
            <w:r>
              <w:rPr>
                <w:rFonts w:ascii="Times New Roman" w:cs="Times New Roman" w:eastAsia="Times New Roman" w:hAnsi="Times New Roman"/>
                <w:sz w:val="18"/>
                <w:szCs w:val="18"/>
                <w:b w:val="1"/>
                <w:bCs w:val="1"/>
                <w:color w:val="auto"/>
              </w:rPr>
              <w:t>106,850,470</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w:t>
            </w:r>
          </w:p>
        </w:tc>
        <w:tc>
          <w:tcPr>
            <w:tcW w:w="52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gridSpan w:val="2"/>
            <w:shd w:val="clear" w:color="auto" w:fill="CCEEFF"/>
          </w:tcPr>
          <w:p>
            <w:pPr>
              <w:jc w:val="right"/>
              <w:ind w:right="520"/>
              <w:spacing w:after="0" w:line="203" w:lineRule="exact"/>
              <w:rPr>
                <w:sz w:val="20"/>
                <w:szCs w:val="20"/>
                <w:color w:val="auto"/>
              </w:rPr>
            </w:pPr>
            <w:r>
              <w:rPr>
                <w:rFonts w:ascii="Times New Roman" w:cs="Times New Roman" w:eastAsia="Times New Roman" w:hAnsi="Times New Roman"/>
                <w:sz w:val="18"/>
                <w:szCs w:val="18"/>
                <w:b w:val="1"/>
                <w:bCs w:val="1"/>
                <w:color w:val="auto"/>
              </w:rPr>
              <w:t>205,671,810</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new shares (Note (iv))</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1,892,780</w:t>
            </w:r>
          </w:p>
        </w:tc>
        <w:tc>
          <w:tcPr>
            <w:tcW w:w="5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15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108,743,250</w:t>
            </w:r>
          </w:p>
        </w:tc>
        <w:tc>
          <w:tcPr>
            <w:tcW w:w="13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8</w:t>
            </w:r>
          </w:p>
        </w:tc>
        <w:tc>
          <w:tcPr>
            <w:tcW w:w="15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205,671,810</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w:t>
            </w:r>
          </w:p>
        </w:tc>
        <w:tc>
          <w:tcPr>
            <w:tcW w:w="0" w:type="dxa"/>
            <w:vAlign w:val="bottom"/>
          </w:tcPr>
          <w:p>
            <w:pPr>
              <w:spacing w:after="0"/>
              <w:rPr>
                <w:sz w:val="1"/>
                <w:szCs w:val="1"/>
                <w:color w:val="auto"/>
              </w:rPr>
            </w:pPr>
          </w:p>
        </w:tc>
      </w:tr>
      <w:tr>
        <w:trPr>
          <w:trHeight w:val="230"/>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new shares (Note (v))</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1,763,689</w:t>
            </w:r>
          </w:p>
        </w:tc>
        <w:tc>
          <w:tcPr>
            <w:tcW w:w="5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4,400,229</w:t>
            </w:r>
          </w:p>
        </w:tc>
        <w:tc>
          <w:tcPr>
            <w:tcW w:w="52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5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110,506,939</w:t>
            </w:r>
          </w:p>
        </w:tc>
        <w:tc>
          <w:tcPr>
            <w:tcW w:w="13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8</w:t>
            </w:r>
          </w:p>
        </w:tc>
        <w:tc>
          <w:tcPr>
            <w:tcW w:w="15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210,072,039</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new shares (Note (vi)(vii))</w:t>
            </w:r>
          </w:p>
        </w:tc>
        <w:tc>
          <w:tcPr>
            <w:tcW w:w="15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93,350,727</w:t>
            </w: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w:t>
            </w:r>
          </w:p>
        </w:tc>
        <w:tc>
          <w:tcPr>
            <w:tcW w:w="15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Conversion of preferred shares into Class A and Class B</w:t>
            </w:r>
          </w:p>
        </w:tc>
        <w:tc>
          <w:tcPr>
            <w:tcW w:w="10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ordinary shares (Note (x))</w:t>
            </w:r>
          </w:p>
        </w:tc>
        <w:tc>
          <w:tcPr>
            <w:tcW w:w="15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2"/>
            <w:vMerge w:val="continue"/>
            <w:shd w:val="clear" w:color="auto" w:fill="CCEEFF"/>
          </w:tcPr>
          <w:p>
            <w:pPr>
              <w:spacing w:after="0"/>
              <w:rPr>
                <w:sz w:val="20"/>
                <w:szCs w:val="20"/>
                <w:color w:val="auto"/>
              </w:rPr>
            </w:pPr>
          </w:p>
        </w:tc>
        <w:tc>
          <w:tcPr>
            <w:tcW w:w="15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(210,072,039)</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Re-designation before the completion of the IPO (Note</w:t>
            </w: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(viii))</w:t>
            </w:r>
          </w:p>
        </w:tc>
        <w:tc>
          <w:tcPr>
            <w:tcW w:w="15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(203,857,666)</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(15)</w:t>
            </w:r>
          </w:p>
        </w:tc>
        <w:tc>
          <w:tcPr>
            <w:tcW w:w="15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52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520" w:type="dxa"/>
            <w:vAlign w:val="bottom"/>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520" w:type="dxa"/>
            <w:vAlign w:val="bottom"/>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080" w:right="280" w:hanging="532"/>
        <w:spacing w:after="0" w:line="257" w:lineRule="auto"/>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January 1, 2022, the Company issued 106,850,470 ordinary shares, including 50 Golden Shares and 205,671,810 non-redeemable preferred shares, consisting of 65,403,460 Series Seed-1 Preferred Shares, 52,959,930 Series Seed-2 Preferred Shares and 87,308,420 Series A Preferred Shares.</w:t>
      </w:r>
    </w:p>
    <w:p>
      <w:pPr>
        <w:spacing w:after="0" w:line="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the Company issued 1,892,780 ordinary shares with consideration of USD2.0 million (equivalent to RMB13.4 million).</w:t>
      </w:r>
    </w:p>
    <w:p>
      <w:pPr>
        <w:spacing w:after="0" w:line="9" w:lineRule="exact"/>
        <w:rPr>
          <w:rFonts w:ascii="Times New Roman" w:cs="Times New Roman" w:eastAsia="Times New Roman" w:hAnsi="Times New Roman"/>
          <w:sz w:val="18"/>
          <w:szCs w:val="18"/>
          <w:color w:val="auto"/>
        </w:rPr>
      </w:pPr>
    </w:p>
    <w:p>
      <w:pPr>
        <w:ind w:left="1080" w:right="300" w:hanging="532"/>
        <w:spacing w:after="0" w:line="250" w:lineRule="auto"/>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the Company issued 1,763,689 ordinary shares with consideration of USD6.0 million (equivalent to RMB42.5 million) and 4,400,229 Series A Preferred Shares with consideration of USD4.4 thousand (equivalent to RMB31 thousand), upon the exercise of the warrant issued in 2018.</w:t>
      </w:r>
    </w:p>
    <w:p>
      <w:pPr>
        <w:spacing w:after="0" w:line="1" w:lineRule="exact"/>
        <w:rPr>
          <w:rFonts w:ascii="Times New Roman" w:cs="Times New Roman" w:eastAsia="Times New Roman" w:hAnsi="Times New Roman"/>
          <w:sz w:val="18"/>
          <w:szCs w:val="18"/>
          <w:color w:val="auto"/>
        </w:rPr>
      </w:pPr>
    </w:p>
    <w:p>
      <w:pPr>
        <w:ind w:left="1080" w:right="300" w:hanging="532"/>
        <w:spacing w:after="0" w:line="250" w:lineRule="auto"/>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2024, the Company issued 80,544,159 ordinary shares at par value of USD0.00001 to settle vested restricted share units held by certain management personnel.</w:t>
      </w:r>
    </w:p>
    <w:p>
      <w:pPr>
        <w:ind w:left="1080" w:right="40" w:hanging="532"/>
        <w:spacing w:after="0" w:line="250" w:lineRule="auto"/>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2024, to achieve an equitable relative shareholding among different shareholder groups of the Company, the Board of Directors and shareholders of the Company approved the issuance of a total of 12,806,568 ordinary shares to holders of Series D and Series D+ preferred shares at par value of USD0.00001, for an aggregate consideration of USD128.1 (equivalent to RMB0.9 thousand). These shares were issued in August 2024 and the Company was entitled an option to repurchase these ordinary shares if an IPO does not consummate on or before March 31, 2025. The Company was involved in this transaction to facilitate the agreement reached by the Company’s shareholders to adjust the ownership structure, and has accounted for these issuances as a shareholder transaction with an increase in the Company’s shareholder’s equity of USD128.1 (equivalent to RMB0.9 thousand).</w:t>
      </w:r>
    </w:p>
    <w:p>
      <w:pPr>
        <w:spacing w:after="0" w:line="2" w:lineRule="exact"/>
        <w:rPr>
          <w:rFonts w:ascii="Times New Roman" w:cs="Times New Roman" w:eastAsia="Times New Roman" w:hAnsi="Times New Roman"/>
          <w:sz w:val="18"/>
          <w:szCs w:val="18"/>
          <w:color w:val="auto"/>
        </w:rPr>
      </w:pPr>
    </w:p>
    <w:p>
      <w:pPr>
        <w:ind w:left="1080" w:right="100" w:hanging="532"/>
        <w:spacing w:after="0" w:line="250" w:lineRule="auto"/>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2024, the Company adopted a dual-class share structure and all of the Company’s issued ordinary shares before the completion of the IPO were re-designated into 149,442,793 Class A ordinary shares and 54,414,873 Class B ordinary shares immediately upon the completion of the IPO.</w:t>
      </w:r>
    </w:p>
    <w:p>
      <w:pPr>
        <w:spacing w:after="0" w:line="1" w:lineRule="exact"/>
        <w:rPr>
          <w:rFonts w:ascii="Times New Roman" w:cs="Times New Roman" w:eastAsia="Times New Roman" w:hAnsi="Times New Roman"/>
          <w:sz w:val="18"/>
          <w:szCs w:val="18"/>
          <w:color w:val="auto"/>
        </w:rPr>
      </w:pPr>
    </w:p>
    <w:p>
      <w:pPr>
        <w:ind w:left="11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the Class A ordinary shares and Class B ordinary shares have the same rights except for voting and conversion rights. In respect of matters requiring the votes of shareholders, the holder of Class B ordinary shares is entitled to 40 votes per share, while the holders of Class A ordinary shares entitle to one vote per share. Each Class B ordinary share is convertible into one Class A ordinary share at any time by the holder thereof, while Class A ordinary shares are not convertible into Class B ordinary shares under any circumstances.</w:t>
      </w:r>
    </w:p>
    <w:p>
      <w:pPr>
        <w:spacing w:after="0" w:line="1" w:lineRule="exact"/>
        <w:rPr>
          <w:rFonts w:ascii="Times New Roman" w:cs="Times New Roman" w:eastAsia="Times New Roman" w:hAnsi="Times New Roman"/>
          <w:sz w:val="18"/>
          <w:szCs w:val="18"/>
          <w:color w:val="auto"/>
        </w:rPr>
      </w:pPr>
    </w:p>
    <w:p>
      <w:pPr>
        <w:ind w:left="1080" w:right="160" w:hanging="532"/>
        <w:spacing w:after="0" w:line="250" w:lineRule="auto"/>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IPO and exercised of the over-allotment option, the Company issued 85,263,652 and 2,736,570 Class A ordinary shares at par value of US$0.00001 each for cash consideration of USD5.17 each, respectively. The net proceeds received were USD443.0 million (equivalent to RMB3,149.3 million), net of commissions and listing expenses. The listing expenses paid and payable mainly include legal fees, accounting fees and other related costs, which were incremental costs directly attributable to the issuance of the new shares.</w:t>
      </w:r>
    </w:p>
    <w:p>
      <w:pPr>
        <w:spacing w:after="0" w:line="1" w:lineRule="exact"/>
        <w:rPr>
          <w:rFonts w:ascii="Times New Roman" w:cs="Times New Roman" w:eastAsia="Times New Roman" w:hAnsi="Times New Roman"/>
          <w:sz w:val="18"/>
          <w:szCs w:val="18"/>
          <w:color w:val="auto"/>
        </w:rPr>
      </w:pPr>
    </w:p>
    <w:p>
      <w:pPr>
        <w:ind w:left="1080" w:right="100" w:hanging="532"/>
        <w:spacing w:after="0" w:line="255" w:lineRule="auto"/>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IPO, each of the issued 210,072,039 non-redeemable preferred share and 334,309,270 redeemable preferred share was converted into one Class A or Class B ordinary share on a one for one basis. As a result, the financial liabilities for convertible redeemable preferred shares were derecognized and recorded as Class A ordinary share and share premium.</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F-64</w:t>
      </w:r>
    </w:p>
    <w:p>
      <w:pPr>
        <w:sectPr>
          <w:pgSz w:w="11900" w:h="16838" w:orient="portrait"/>
          <w:cols w:equalWidth="0" w:num="1">
            <w:col w:w="11140"/>
          </w:cols>
          <w:pgMar w:left="320" w:top="482" w:right="4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As of December 31, 2024, analysis of the Company’s issued shares was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15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i w:val="1"/>
                <w:iCs w:val="1"/>
                <w:color w:val="auto"/>
              </w:rPr>
              <w:t>Number of Class</w:t>
            </w: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i w:val="1"/>
                <w:iCs w:val="1"/>
                <w:color w:val="auto"/>
              </w:rPr>
              <w:t>Share capital of</w:t>
            </w:r>
          </w:p>
        </w:tc>
        <w:tc>
          <w:tcPr>
            <w:tcW w:w="220" w:type="dxa"/>
            <w:vAlign w:val="bottom"/>
          </w:tcPr>
          <w:p>
            <w:pPr>
              <w:spacing w:after="0"/>
              <w:rPr>
                <w:sz w:val="13"/>
                <w:szCs w:val="13"/>
                <w:color w:val="auto"/>
              </w:rPr>
            </w:pPr>
          </w:p>
        </w:tc>
        <w:tc>
          <w:tcPr>
            <w:tcW w:w="14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i w:val="1"/>
                <w:iCs w:val="1"/>
                <w:color w:val="auto"/>
              </w:rPr>
              <w:t>Number of</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i w:val="1"/>
                <w:iCs w:val="1"/>
                <w:color w:val="auto"/>
              </w:rPr>
              <w:t>Share capital of</w:t>
            </w: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i w:val="1"/>
                <w:iCs w:val="1"/>
                <w:color w:val="auto"/>
              </w:rPr>
              <w:t>Class A</w:t>
            </w:r>
          </w:p>
        </w:tc>
        <w:tc>
          <w:tcPr>
            <w:tcW w:w="220" w:type="dxa"/>
            <w:vAlign w:val="bottom"/>
          </w:tcPr>
          <w:p>
            <w:pPr>
              <w:spacing w:after="0"/>
              <w:rPr>
                <w:sz w:val="12"/>
                <w:szCs w:val="12"/>
                <w:color w:val="auto"/>
              </w:rPr>
            </w:pPr>
          </w:p>
        </w:tc>
        <w:tc>
          <w:tcPr>
            <w:tcW w:w="14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i w:val="1"/>
                <w:iCs w:val="1"/>
                <w:color w:val="auto"/>
              </w:rPr>
              <w:t>Class B</w:t>
            </w:r>
          </w:p>
        </w:tc>
        <w:tc>
          <w:tcPr>
            <w:tcW w:w="1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i w:val="1"/>
                <w:iCs w:val="1"/>
                <w:color w:val="auto"/>
              </w:rPr>
              <w:t>Class B</w:t>
            </w:r>
          </w:p>
        </w:tc>
        <w:tc>
          <w:tcPr>
            <w:tcW w:w="0" w:type="dxa"/>
            <w:vAlign w:val="bottom"/>
          </w:tcPr>
          <w:p>
            <w:pPr>
              <w:spacing w:after="0"/>
              <w:rPr>
                <w:sz w:val="1"/>
                <w:szCs w:val="1"/>
                <w:color w:val="auto"/>
              </w:rPr>
            </w:pPr>
          </w:p>
        </w:tc>
      </w:tr>
      <w:tr>
        <w:trPr>
          <w:trHeight w:val="164"/>
        </w:trPr>
        <w:tc>
          <w:tcPr>
            <w:tcW w:w="2920" w:type="dxa"/>
            <w:vAlign w:val="bottom"/>
          </w:tcPr>
          <w:p>
            <w:pPr>
              <w:spacing w:after="0"/>
              <w:rPr>
                <w:sz w:val="14"/>
                <w:szCs w:val="14"/>
                <w:color w:val="auto"/>
              </w:rPr>
            </w:pPr>
          </w:p>
        </w:tc>
        <w:tc>
          <w:tcPr>
            <w:tcW w:w="15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i w:val="1"/>
                <w:iCs w:val="1"/>
                <w:color w:val="auto"/>
              </w:rPr>
              <w:t>A ordinary shares</w:t>
            </w: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i w:val="1"/>
                <w:iCs w:val="1"/>
                <w:color w:val="auto"/>
              </w:rPr>
              <w:t>ordinary shares</w:t>
            </w:r>
          </w:p>
        </w:tc>
        <w:tc>
          <w:tcPr>
            <w:tcW w:w="16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i w:val="1"/>
                <w:iCs w:val="1"/>
                <w:color w:val="auto"/>
              </w:rPr>
              <w:t>ordinary shares</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i w:val="1"/>
                <w:iCs w:val="1"/>
                <w:color w:val="auto"/>
              </w:rPr>
              <w:t>ordinary shares</w:t>
            </w:r>
          </w:p>
        </w:tc>
        <w:tc>
          <w:tcPr>
            <w:tcW w:w="0" w:type="dxa"/>
            <w:vAlign w:val="bottom"/>
          </w:tcPr>
          <w:p>
            <w:pPr>
              <w:spacing w:after="0"/>
              <w:rPr>
                <w:sz w:val="1"/>
                <w:szCs w:val="1"/>
                <w:color w:val="auto"/>
              </w:rPr>
            </w:pPr>
          </w:p>
        </w:tc>
      </w:tr>
      <w:tr>
        <w:trPr>
          <w:trHeight w:val="178"/>
        </w:trPr>
        <w:tc>
          <w:tcPr>
            <w:tcW w:w="29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12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4"/>
                <w:szCs w:val="14"/>
                <w:color w:val="auto"/>
              </w:rPr>
              <w:t>RMB’000</w:t>
            </w:r>
          </w:p>
        </w:tc>
        <w:tc>
          <w:tcPr>
            <w:tcW w:w="2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gridSpan w:val="2"/>
          </w:tcPr>
          <w:p>
            <w:pPr>
              <w:jc w:val="center"/>
              <w:ind w:right="140"/>
              <w:spacing w:after="0" w:line="158" w:lineRule="exact"/>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03"/>
        </w:trPr>
        <w:tc>
          <w:tcPr>
            <w:tcW w:w="29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As of January 1, 2024</w:t>
            </w:r>
          </w:p>
        </w:tc>
        <w:tc>
          <w:tcPr>
            <w:tcW w:w="1540" w:type="dxa"/>
            <w:vAlign w:val="bottom"/>
            <w:tcBorders>
              <w:top w:val="single" w:sz="8" w:color="CCEEFF"/>
            </w:tcBorders>
            <w:gridSpan w:val="2"/>
            <w:shd w:val="clear" w:color="auto" w:fill="CCEEFF"/>
          </w:tcPr>
          <w:p>
            <w:pPr>
              <w:jc w:val="right"/>
              <w:ind w:right="560"/>
              <w:spacing w:after="0" w:line="203" w:lineRule="exact"/>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top w:val="single" w:sz="8" w:color="auto"/>
            </w:tcBorders>
            <w:shd w:val="clear" w:color="auto" w:fill="CCEEFF"/>
          </w:tcPr>
          <w:p>
            <w:pPr>
              <w:ind w:left="66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CCEEFF"/>
            </w:tcBorders>
            <w:gridSpan w:val="2"/>
            <w:shd w:val="clear" w:color="auto" w:fill="CCEEFF"/>
          </w:tcPr>
          <w:p>
            <w:pPr>
              <w:jc w:val="right"/>
              <w:ind w:right="560"/>
              <w:spacing w:after="0" w:line="203" w:lineRule="exact"/>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top w:val="single" w:sz="8" w:color="auto"/>
            </w:tcBorders>
            <w:shd w:val="clear" w:color="auto" w:fill="CCEEFF"/>
          </w:tcPr>
          <w:p>
            <w:pPr>
              <w:ind w:left="64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Re-designation from ordinary</w:t>
            </w: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before the completion of</w:t>
            </w: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IPO (Note (viii))</w:t>
            </w:r>
          </w:p>
        </w:tc>
        <w:tc>
          <w:tcPr>
            <w:tcW w:w="15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149,442,793</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w:t>
            </w:r>
          </w:p>
        </w:tc>
        <w:tc>
          <w:tcPr>
            <w:tcW w:w="16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54,414,873</w:t>
            </w:r>
          </w:p>
        </w:tc>
        <w:tc>
          <w:tcPr>
            <w:tcW w:w="1040" w:type="dxa"/>
            <w:vAlign w:val="bottom"/>
            <w:gridSpan w:val="2"/>
          </w:tcPr>
          <w:p>
            <w:pPr>
              <w:jc w:val="center"/>
              <w:ind w:left="617"/>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8"/>
        </w:trPr>
        <w:tc>
          <w:tcPr>
            <w:tcW w:w="2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Conversion of non-redeemable</w:t>
            </w: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shares into Class A</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Class B ordinary shares</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 (x))</w:t>
            </w:r>
          </w:p>
        </w:tc>
        <w:tc>
          <w:tcPr>
            <w:tcW w:w="15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209,672,489</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w:t>
            </w:r>
          </w:p>
        </w:tc>
        <w:tc>
          <w:tcPr>
            <w:tcW w:w="16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399,550</w:t>
            </w:r>
          </w:p>
        </w:tc>
        <w:tc>
          <w:tcPr>
            <w:tcW w:w="1040" w:type="dxa"/>
            <w:vAlign w:val="bottom"/>
            <w:gridSpan w:val="2"/>
            <w:shd w:val="clear" w:color="auto" w:fill="CCEEFF"/>
          </w:tcPr>
          <w:p>
            <w:pPr>
              <w:jc w:val="center"/>
              <w:ind w:left="617"/>
              <w:spacing w:after="0"/>
              <w:rPr>
                <w:sz w:val="20"/>
                <w:szCs w:val="20"/>
                <w:color w:val="auto"/>
              </w:rPr>
            </w:pPr>
            <w:r>
              <w:rPr>
                <w:rFonts w:ascii="Times New Roman" w:cs="Times New Roman" w:eastAsia="Times New Roman" w:hAnsi="Times New Roman"/>
                <w:sz w:val="18"/>
                <w:szCs w:val="18"/>
                <w:color w:val="auto"/>
                <w:w w:val="72"/>
              </w:rPr>
              <w:t>   *</w:t>
            </w:r>
          </w:p>
        </w:tc>
        <w:tc>
          <w:tcPr>
            <w:tcW w:w="0" w:type="dxa"/>
            <w:vAlign w:val="bottom"/>
          </w:tcPr>
          <w:p>
            <w:pPr>
              <w:spacing w:after="0"/>
              <w:rPr>
                <w:sz w:val="1"/>
                <w:szCs w:val="1"/>
                <w:color w:val="auto"/>
              </w:rPr>
            </w:pPr>
          </w:p>
        </w:tc>
      </w:tr>
      <w:tr>
        <w:trPr>
          <w:trHeight w:val="198"/>
        </w:trPr>
        <w:tc>
          <w:tcPr>
            <w:tcW w:w="2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Conversion of redeemable</w:t>
            </w: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shares into Class A</w:t>
            </w: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ordinary shares (Note (x))</w:t>
            </w:r>
          </w:p>
        </w:tc>
        <w:tc>
          <w:tcPr>
            <w:tcW w:w="15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334,309,270</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20"/>
                <w:szCs w:val="20"/>
                <w:color w:val="auto"/>
              </w:rPr>
            </w:pP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2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Class A ordinary</w:t>
            </w: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relating to initial public</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 and exercise of over-</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allotment option (Note (ix))</w:t>
            </w:r>
          </w:p>
        </w:tc>
        <w:tc>
          <w:tcPr>
            <w:tcW w:w="15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88,000,222</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2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Cancellation of treasury shares</w:t>
            </w: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 29 (c))</w:t>
            </w: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(10,025,092)</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771,399,682</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54</w:t>
            </w:r>
          </w:p>
        </w:tc>
        <w:tc>
          <w:tcPr>
            <w:tcW w:w="16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54,814,423</w:t>
            </w:r>
          </w:p>
        </w:tc>
        <w:tc>
          <w:tcPr>
            <w:tcW w:w="1040" w:type="dxa"/>
            <w:vAlign w:val="bottom"/>
            <w:gridSpan w:val="2"/>
            <w:shd w:val="clear" w:color="auto" w:fill="CCEEFF"/>
          </w:tcPr>
          <w:p>
            <w:pPr>
              <w:jc w:val="center"/>
              <w:ind w:left="617"/>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and purpose of reserves</w:t>
      </w:r>
    </w:p>
    <w:p>
      <w:pPr>
        <w:spacing w:after="0" w:line="135" w:lineRule="exact"/>
        <w:rPr>
          <w:sz w:val="20"/>
          <w:szCs w:val="20"/>
          <w:color w:val="auto"/>
        </w:rPr>
      </w:pPr>
    </w:p>
    <w:p>
      <w:pPr>
        <w:ind w:left="540" w:hanging="424"/>
        <w:spacing w:after="0"/>
        <w:tabs>
          <w:tab w:leader="none" w:pos="54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reserve</w:t>
      </w:r>
    </w:p>
    <w:p>
      <w:pPr>
        <w:spacing w:after="0" w:line="117" w:lineRule="exact"/>
        <w:rPr>
          <w:rFonts w:ascii="Times New Roman" w:cs="Times New Roman" w:eastAsia="Times New Roman" w:hAnsi="Times New Roman"/>
          <w:sz w:val="18"/>
          <w:szCs w:val="18"/>
          <w:color w:val="auto"/>
        </w:rPr>
      </w:pPr>
    </w:p>
    <w:p>
      <w:pPr>
        <w:ind w:left="5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share-based compensation reserve represents the portion of the grant date fair value of share options or restricted share units granted to the key management officers, employees and nonemployees that has been recognized as share-based compensation expenses in accordance with the accounting policy adopted for share-based compensation in Note 2(u)(iii).</w:t>
      </w:r>
    </w:p>
    <w:p>
      <w:pPr>
        <w:spacing w:after="0" w:line="324"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Translation reserve</w:t>
      </w:r>
    </w:p>
    <w:p>
      <w:pPr>
        <w:spacing w:after="0" w:line="11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reserve comprises all foreign exchange differences arising from the translation of the financial statements of foreign operations.</w:t>
      </w:r>
    </w:p>
    <w:p>
      <w:pPr>
        <w:spacing w:after="0" w:line="373"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reserves</w:t>
      </w:r>
    </w:p>
    <w:p>
      <w:pPr>
        <w:spacing w:after="0" w:line="117" w:lineRule="exact"/>
        <w:rPr>
          <w:rFonts w:ascii="Times New Roman" w:cs="Times New Roman" w:eastAsia="Times New Roman" w:hAnsi="Times New Roman"/>
          <w:sz w:val="18"/>
          <w:szCs w:val="18"/>
          <w:color w:val="auto"/>
        </w:rPr>
      </w:pPr>
    </w:p>
    <w:p>
      <w:pPr>
        <w:ind w:left="5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reserves represent the differences arising from the exercise of warrant liabilities measured at FVTPL to convertible redeemable preferred shares (see Note 2(q)(i)) which are measured at present value of redemption amounts or non-redeemable preferred shares which are classified as equity.</w:t>
      </w:r>
    </w:p>
    <w:p>
      <w:pPr>
        <w:spacing w:after="0" w:line="32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(c)</w:t>
        <w:tab/>
        <w:t>Treasury shares</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5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i w:val="1"/>
                <w:iCs w:val="1"/>
                <w:color w:val="auto"/>
              </w:rPr>
              <w:t>Number of shares</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i w:val="1"/>
                <w:iCs w:val="1"/>
                <w:color w:val="auto"/>
              </w:rPr>
              <w:t>Carrying amount</w:t>
            </w:r>
          </w:p>
        </w:tc>
        <w:tc>
          <w:tcPr>
            <w:tcW w:w="0" w:type="dxa"/>
            <w:vAlign w:val="bottom"/>
          </w:tcPr>
          <w:p>
            <w:pPr>
              <w:spacing w:after="0"/>
              <w:rPr>
                <w:sz w:val="1"/>
                <w:szCs w:val="1"/>
                <w:color w:val="auto"/>
              </w:rPr>
            </w:pPr>
          </w:p>
        </w:tc>
      </w:tr>
      <w:tr>
        <w:trPr>
          <w:trHeight w:val="175"/>
        </w:trPr>
        <w:tc>
          <w:tcPr>
            <w:tcW w:w="5660" w:type="dxa"/>
            <w:vAlign w:val="bottom"/>
          </w:tcPr>
          <w:p>
            <w:pPr>
              <w:spacing w:after="0"/>
              <w:rPr>
                <w:sz w:val="15"/>
                <w:szCs w:val="15"/>
                <w:color w:val="auto"/>
              </w:rPr>
            </w:pPr>
          </w:p>
        </w:tc>
        <w:tc>
          <w:tcPr>
            <w:tcW w:w="1560" w:type="dxa"/>
            <w:vAlign w:val="bottom"/>
            <w:gridSpan w:val="2"/>
          </w:tcPr>
          <w:p>
            <w:pPr>
              <w:jc w:val="right"/>
              <w:ind w:right="1060"/>
              <w:spacing w:after="0"/>
              <w:rPr>
                <w:sz w:val="20"/>
                <w:szCs w:val="20"/>
                <w:color w:val="auto"/>
              </w:rPr>
            </w:pPr>
            <w:r>
              <w:rPr>
                <w:rFonts w:ascii="Times New Roman" w:cs="Times New Roman" w:eastAsia="Times New Roman" w:hAnsi="Times New Roman"/>
                <w:sz w:val="14"/>
                <w:szCs w:val="14"/>
                <w:b w:val="1"/>
                <w:bCs w:val="1"/>
                <w:i w:val="1"/>
                <w:iCs w:val="1"/>
                <w:color w:val="auto"/>
              </w:rPr>
              <w:t> </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2022</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5,870,578</w:t>
            </w:r>
          </w:p>
        </w:tc>
        <w:tc>
          <w:tcPr>
            <w:tcW w:w="5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91,841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ordinary shares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1,892,780</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redeemable preferred shares</w:t>
            </w:r>
          </w:p>
        </w:tc>
        <w:tc>
          <w:tcPr>
            <w:tcW w:w="15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2,547,980</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20,358</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Sales of non-redeemable preferred shares in treasury shares</w:t>
            </w: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(286,246)</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(4,973)</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 and 2023</w:t>
            </w:r>
          </w:p>
        </w:tc>
        <w:tc>
          <w:tcPr>
            <w:tcW w:w="15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10,025,092</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151,668</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Cancellation of treasury shares</w:t>
            </w: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(10,025,092)</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(151,668)</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ind w:left="4020"/>
              <w:spacing w:after="0"/>
              <w:rPr>
                <w:sz w:val="20"/>
                <w:szCs w:val="20"/>
                <w:color w:val="auto"/>
              </w:rPr>
            </w:pPr>
            <w:r>
              <w:rPr>
                <w:rFonts w:ascii="Times New Roman" w:cs="Times New Roman" w:eastAsia="Times New Roman" w:hAnsi="Times New Roman"/>
                <w:sz w:val="18"/>
                <w:szCs w:val="18"/>
                <w:color w:val="auto"/>
              </w:rPr>
              <w:t>F-65</w:t>
            </w: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66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82" w:right="6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right="460"/>
        <w:spacing w:after="0" w:line="266" w:lineRule="auto"/>
        <w:rPr>
          <w:sz w:val="20"/>
          <w:szCs w:val="20"/>
          <w:color w:val="auto"/>
        </w:rPr>
      </w:pPr>
      <w:r>
        <w:rPr>
          <w:rFonts w:ascii="Times New Roman" w:cs="Times New Roman" w:eastAsia="Times New Roman" w:hAnsi="Times New Roman"/>
          <w:sz w:val="18"/>
          <w:szCs w:val="18"/>
          <w:color w:val="auto"/>
        </w:rPr>
        <w:t>The Board of Directors of the Company authorized share repurchase of 1,892,780 ordinary shares with consideration of USD6.6 million (equivalent to RMB44.4 million) and 2,547,980 Series B-3 redeemable preferred shares with consideration of USD8.9 million (equivalent to RMB59.8 million) in October 2022. These shares were recorded at their historical purchase prices and reserved as treasury shares.</w:t>
      </w:r>
    </w:p>
    <w:p>
      <w:pPr>
        <w:spacing w:after="0" w:line="176" w:lineRule="exact"/>
        <w:rPr>
          <w:sz w:val="20"/>
          <w:szCs w:val="20"/>
          <w:color w:val="auto"/>
        </w:rPr>
      </w:pPr>
    </w:p>
    <w:p>
      <w:pPr>
        <w:ind w:left="560" w:right="200"/>
        <w:spacing w:after="0" w:line="282" w:lineRule="auto"/>
        <w:rPr>
          <w:sz w:val="20"/>
          <w:szCs w:val="20"/>
          <w:color w:val="auto"/>
        </w:rPr>
      </w:pPr>
      <w:r>
        <w:rPr>
          <w:rFonts w:ascii="Times New Roman" w:cs="Times New Roman" w:eastAsia="Times New Roman" w:hAnsi="Times New Roman"/>
          <w:sz w:val="18"/>
          <w:szCs w:val="18"/>
          <w:color w:val="auto"/>
        </w:rPr>
        <w:t>In January 2022, the Company sold 286,246 treasury shares of Series Seed-1 Preferred Shares with consideration of USD1.0 million (equivalent to RMB6.5 million).</w:t>
      </w:r>
    </w:p>
    <w:p>
      <w:pPr>
        <w:spacing w:after="0" w:line="162" w:lineRule="exact"/>
        <w:rPr>
          <w:sz w:val="20"/>
          <w:szCs w:val="20"/>
          <w:color w:val="auto"/>
        </w:rPr>
      </w:pPr>
    </w:p>
    <w:p>
      <w:pPr>
        <w:ind w:left="560" w:right="620"/>
        <w:spacing w:after="0" w:line="282" w:lineRule="auto"/>
        <w:rPr>
          <w:sz w:val="20"/>
          <w:szCs w:val="20"/>
          <w:color w:val="auto"/>
        </w:rPr>
      </w:pPr>
      <w:r>
        <w:rPr>
          <w:rFonts w:ascii="Times New Roman" w:cs="Times New Roman" w:eastAsia="Times New Roman" w:hAnsi="Times New Roman"/>
          <w:sz w:val="18"/>
          <w:szCs w:val="18"/>
          <w:color w:val="auto"/>
        </w:rPr>
        <w:t>In November 2024, the Board of Directors of the Company authorized the cancellation of all treasury shares for nil consideration and such cancelled shares were returned to the pool of authorized but unissued shares.</w:t>
      </w:r>
    </w:p>
    <w:p>
      <w:pPr>
        <w:spacing w:after="0" w:line="306" w:lineRule="exact"/>
        <w:rPr>
          <w:sz w:val="20"/>
          <w:szCs w:val="20"/>
          <w:color w:val="auto"/>
        </w:rPr>
      </w:pPr>
    </w:p>
    <w:p>
      <w:pPr>
        <w:ind w:left="540" w:hanging="424"/>
        <w:spacing w:after="0"/>
        <w:tabs>
          <w:tab w:leader="none" w:pos="540" w:val="left"/>
        </w:tabs>
        <w:numPr>
          <w:ilvl w:val="0"/>
          <w:numId w:val="20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Capital risk management</w:t>
      </w:r>
    </w:p>
    <w:p>
      <w:pPr>
        <w:spacing w:after="0" w:line="121" w:lineRule="exact"/>
        <w:rPr>
          <w:rFonts w:ascii="Times New Roman" w:cs="Times New Roman" w:eastAsia="Times New Roman" w:hAnsi="Times New Roman"/>
          <w:sz w:val="18"/>
          <w:szCs w:val="18"/>
          <w:b w:val="1"/>
          <w:bCs w:val="1"/>
          <w:i w:val="1"/>
          <w:iCs w:val="1"/>
          <w:color w:val="auto"/>
        </w:rPr>
      </w:pPr>
    </w:p>
    <w:p>
      <w:pPr>
        <w:ind w:left="560" w:right="38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Group defines “capital” as including all components of equity, convertible redeemable preferred shares, and other financial instruments subject to redemption and other preferential rights. The Group’s policy is to maintain a strong capital base to maintain investors, creditors and market confidence and to sustain future development of the business. There were no changes in the Group’s approach to capital management during the years presented. The Group is not subject to any externally imposed capital requirements.</w:t>
      </w:r>
    </w:p>
    <w:p>
      <w:pPr>
        <w:spacing w:after="0" w:line="324" w:lineRule="exact"/>
        <w:rPr>
          <w:rFonts w:ascii="Times New Roman" w:cs="Times New Roman" w:eastAsia="Times New Roman" w:hAnsi="Times New Roman"/>
          <w:sz w:val="18"/>
          <w:szCs w:val="18"/>
          <w:b w:val="1"/>
          <w:bCs w:val="1"/>
          <w:i w:val="1"/>
          <w:iCs w:val="1"/>
          <w:color w:val="auto"/>
        </w:rPr>
      </w:pPr>
    </w:p>
    <w:p>
      <w:pPr>
        <w:ind w:left="540" w:hanging="424"/>
        <w:spacing w:after="0"/>
        <w:tabs>
          <w:tab w:leader="none" w:pos="540" w:val="left"/>
        </w:tabs>
        <w:numPr>
          <w:ilvl w:val="0"/>
          <w:numId w:val="20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rFonts w:ascii="Times New Roman" w:cs="Times New Roman" w:eastAsia="Times New Roman" w:hAnsi="Times New Roman"/>
          <w:sz w:val="18"/>
          <w:szCs w:val="18"/>
          <w:b w:val="1"/>
          <w:bCs w:val="1"/>
          <w:i w:val="1"/>
          <w:iCs w:val="1"/>
          <w:color w:val="auto"/>
        </w:rPr>
      </w:pPr>
    </w:p>
    <w:p>
      <w:pPr>
        <w:ind w:left="560" w:right="18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No dividends have been declared or paid by the Company or the companies comprising the Group to its shareholders during the years presented. For the deemed distribution to a preferred shareholder in May 2023, see Note 27.</w:t>
      </w:r>
    </w:p>
    <w:p>
      <w:pPr>
        <w:spacing w:after="0" w:line="306" w:lineRule="exact"/>
        <w:rPr>
          <w:sz w:val="20"/>
          <w:szCs w:val="20"/>
          <w:color w:val="auto"/>
        </w:rPr>
      </w:pPr>
    </w:p>
    <w:p>
      <w:pPr>
        <w:ind w:left="540" w:hanging="424"/>
        <w:spacing w:after="0"/>
        <w:tabs>
          <w:tab w:leader="none" w:pos="540" w:val="left"/>
        </w:tabs>
        <w:numPr>
          <w:ilvl w:val="0"/>
          <w:numId w:val="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 arrangements</w:t>
      </w:r>
    </w:p>
    <w:p>
      <w:pPr>
        <w:spacing w:after="0" w:line="121" w:lineRule="exact"/>
        <w:rPr>
          <w:rFonts w:ascii="Times New Roman" w:cs="Times New Roman" w:eastAsia="Times New Roman" w:hAnsi="Times New Roman"/>
          <w:sz w:val="18"/>
          <w:szCs w:val="18"/>
          <w:b w:val="1"/>
          <w:bCs w:val="1"/>
          <w:color w:val="auto"/>
        </w:rPr>
      </w:pPr>
    </w:p>
    <w:p>
      <w:pPr>
        <w:ind w:left="560"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June 2018, the Board of Directors of the Company approved and adopted the 2018 Share Plan, under which the Company reserves 311,125,716 shares to grant share options or restricted share units for officers, directors, employees and non-employees.</w:t>
      </w:r>
    </w:p>
    <w:p>
      <w:pPr>
        <w:spacing w:after="0" w:line="306" w:lineRule="exact"/>
        <w:rPr>
          <w:sz w:val="20"/>
          <w:szCs w:val="20"/>
          <w:color w:val="auto"/>
        </w:rPr>
      </w:pPr>
    </w:p>
    <w:p>
      <w:pPr>
        <w:ind w:left="540" w:hanging="424"/>
        <w:spacing w:after="0"/>
        <w:tabs>
          <w:tab w:leader="none" w:pos="540" w:val="left"/>
        </w:tabs>
        <w:numPr>
          <w:ilvl w:val="0"/>
          <w:numId w:val="20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Share options</w:t>
      </w:r>
    </w:p>
    <w:p>
      <w:pPr>
        <w:spacing w:after="0" w:line="121" w:lineRule="exact"/>
        <w:rPr>
          <w:rFonts w:ascii="Times New Roman" w:cs="Times New Roman" w:eastAsia="Times New Roman" w:hAnsi="Times New Roman"/>
          <w:sz w:val="18"/>
          <w:szCs w:val="18"/>
          <w:b w:val="1"/>
          <w:bCs w:val="1"/>
          <w:i w:val="1"/>
          <w:iCs w:val="1"/>
          <w:color w:val="auto"/>
        </w:rPr>
      </w:pPr>
    </w:p>
    <w:p>
      <w:pPr>
        <w:ind w:left="5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Share options granted under the 2018 Share Plan are generally subject to a time-based requirement of up to four-year service schedule.</w:t>
      </w:r>
    </w:p>
    <w:p>
      <w:pPr>
        <w:spacing w:after="0" w:line="225" w:lineRule="exact"/>
        <w:rPr>
          <w:rFonts w:ascii="Times New Roman" w:cs="Times New Roman" w:eastAsia="Times New Roman" w:hAnsi="Times New Roman"/>
          <w:sz w:val="18"/>
          <w:szCs w:val="18"/>
          <w:b w:val="1"/>
          <w:bCs w:val="1"/>
          <w:i w:val="1"/>
          <w:iCs w:val="1"/>
          <w:color w:val="auto"/>
        </w:rPr>
      </w:pPr>
    </w:p>
    <w:p>
      <w:pPr>
        <w:jc w:val="both"/>
        <w:ind w:left="560" w:right="12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Under the 2018 Share Plan, 57,443,348, 10,834,516, and 16,276,585 share options were granted to officers, employees and nonemployees for the years ended December 31, 2022, 2023 and 2024, respectively. Share options were granted with exercise prices ranging from USD0.5 to USD3.9. All the share options granted under the 2018 Share Plan have a contractual term of ten years.</w:t>
      </w:r>
    </w:p>
    <w:p>
      <w:pPr>
        <w:spacing w:after="0" w:line="175" w:lineRule="exact"/>
        <w:rPr>
          <w:rFonts w:ascii="Times New Roman" w:cs="Times New Roman" w:eastAsia="Times New Roman" w:hAnsi="Times New Roman"/>
          <w:sz w:val="18"/>
          <w:szCs w:val="18"/>
          <w:b w:val="1"/>
          <w:bCs w:val="1"/>
          <w:i w:val="1"/>
          <w:iCs w:val="1"/>
          <w:color w:val="auto"/>
        </w:rPr>
      </w:pPr>
    </w:p>
    <w:p>
      <w:pPr>
        <w:ind w:left="5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Share options’ activities for the years presented were summarized as follows: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i w:val="1"/>
                <w:iCs w:val="1"/>
                <w:color w:val="auto"/>
              </w:rPr>
              <w:t>For the year ended December 31,</w:t>
            </w:r>
          </w:p>
        </w:tc>
        <w:tc>
          <w:tcPr>
            <w:tcW w:w="8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right"/>
              <w:ind w:right="757"/>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2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right"/>
              <w:ind w:right="782"/>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w w:val="99"/>
              </w:rPr>
              <w:t>2023</w:t>
            </w:r>
          </w:p>
        </w:tc>
        <w:tc>
          <w:tcPr>
            <w:tcW w:w="26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right"/>
              <w:ind w:right="782"/>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w w:val="99"/>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8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i w:val="1"/>
                <w:iCs w:val="1"/>
                <w:color w:val="auto"/>
              </w:rPr>
              <w:t>Weighted</w:t>
            </w:r>
          </w:p>
        </w:tc>
        <w:tc>
          <w:tcPr>
            <w:tcW w:w="200" w:type="dxa"/>
            <w:vAlign w:val="bottom"/>
          </w:tcPr>
          <w:p>
            <w:pPr>
              <w:spacing w:after="0"/>
              <w:rPr>
                <w:sz w:val="10"/>
                <w:szCs w:val="10"/>
                <w:color w:val="auto"/>
              </w:rPr>
            </w:pPr>
          </w:p>
        </w:tc>
        <w:tc>
          <w:tcPr>
            <w:tcW w:w="12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i w:val="1"/>
                <w:iCs w:val="1"/>
                <w:color w:val="auto"/>
              </w:rPr>
              <w:t>Number of</w:t>
            </w:r>
          </w:p>
        </w:tc>
        <w:tc>
          <w:tcPr>
            <w:tcW w:w="840" w:type="dxa"/>
            <w:vAlign w:val="bottom"/>
            <w:gridSpan w:val="2"/>
          </w:tcPr>
          <w:p>
            <w:pPr>
              <w:jc w:val="center"/>
              <w:ind w:right="40"/>
              <w:spacing w:after="0" w:line="118" w:lineRule="exact"/>
              <w:rPr>
                <w:sz w:val="20"/>
                <w:szCs w:val="20"/>
                <w:color w:val="auto"/>
              </w:rPr>
            </w:pPr>
            <w:r>
              <w:rPr>
                <w:rFonts w:ascii="Times New Roman" w:cs="Times New Roman" w:eastAsia="Times New Roman" w:hAnsi="Times New Roman"/>
                <w:sz w:val="13"/>
                <w:szCs w:val="13"/>
                <w:i w:val="1"/>
                <w:iCs w:val="1"/>
                <w:color w:val="auto"/>
              </w:rPr>
              <w:t>Weighted</w:t>
            </w:r>
          </w:p>
        </w:tc>
        <w:tc>
          <w:tcPr>
            <w:tcW w:w="200" w:type="dxa"/>
            <w:vAlign w:val="bottom"/>
          </w:tcPr>
          <w:p>
            <w:pPr>
              <w:spacing w:after="0"/>
              <w:rPr>
                <w:sz w:val="10"/>
                <w:szCs w:val="10"/>
                <w:color w:val="auto"/>
              </w:rPr>
            </w:pPr>
          </w:p>
        </w:tc>
        <w:tc>
          <w:tcPr>
            <w:tcW w:w="12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i w:val="1"/>
                <w:iCs w:val="1"/>
                <w:color w:val="auto"/>
              </w:rPr>
              <w:t>Number of</w:t>
            </w:r>
          </w:p>
        </w:tc>
        <w:tc>
          <w:tcPr>
            <w:tcW w:w="840" w:type="dxa"/>
            <w:vAlign w:val="bottom"/>
            <w:gridSpan w:val="2"/>
          </w:tcPr>
          <w:p>
            <w:pPr>
              <w:jc w:val="center"/>
              <w:ind w:right="20"/>
              <w:spacing w:after="0" w:line="118" w:lineRule="exact"/>
              <w:rPr>
                <w:sz w:val="20"/>
                <w:szCs w:val="20"/>
                <w:color w:val="auto"/>
              </w:rPr>
            </w:pPr>
            <w:r>
              <w:rPr>
                <w:rFonts w:ascii="Times New Roman" w:cs="Times New Roman" w:eastAsia="Times New Roman" w:hAnsi="Times New Roman"/>
                <w:sz w:val="13"/>
                <w:szCs w:val="13"/>
                <w:i w:val="1"/>
                <w:iCs w:val="1"/>
                <w:color w:val="auto"/>
              </w:rPr>
              <w:t>Weighted</w:t>
            </w:r>
          </w:p>
        </w:tc>
        <w:tc>
          <w:tcPr>
            <w:tcW w:w="200" w:type="dxa"/>
            <w:vAlign w:val="bottom"/>
          </w:tcPr>
          <w:p>
            <w:pPr>
              <w:spacing w:after="0"/>
              <w:rPr>
                <w:sz w:val="10"/>
                <w:szCs w:val="10"/>
                <w:color w:val="auto"/>
              </w:rPr>
            </w:pP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i w:val="1"/>
                <w:iCs w:val="1"/>
                <w:color w:val="auto"/>
              </w:rPr>
              <w:t>Number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8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i w:val="1"/>
                <w:iCs w:val="1"/>
                <w:color w:val="auto"/>
              </w:rPr>
              <w:t>average</w:t>
            </w: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8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i w:val="1"/>
                <w:iCs w:val="1"/>
                <w:color w:val="auto"/>
              </w:rPr>
              <w:t>average</w:t>
            </w: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i w:val="1"/>
                <w:iCs w:val="1"/>
                <w:color w:val="auto"/>
              </w:rPr>
              <w:t>average</w:t>
            </w: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i w:val="1"/>
                <w:iCs w:val="1"/>
                <w:color w:val="auto"/>
              </w:rPr>
              <w:t>exercise price</w:t>
            </w:r>
          </w:p>
        </w:tc>
        <w:tc>
          <w:tcPr>
            <w:tcW w:w="200" w:type="dxa"/>
            <w:vAlign w:val="bottom"/>
          </w:tcPr>
          <w:p>
            <w:pPr>
              <w:spacing w:after="0"/>
              <w:rPr>
                <w:sz w:val="12"/>
                <w:szCs w:val="12"/>
                <w:color w:val="auto"/>
              </w:rPr>
            </w:pPr>
          </w:p>
        </w:tc>
        <w:tc>
          <w:tcPr>
            <w:tcW w:w="124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i w:val="1"/>
                <w:iCs w:val="1"/>
                <w:color w:val="auto"/>
              </w:rPr>
              <w:t>options</w:t>
            </w:r>
          </w:p>
        </w:tc>
        <w:tc>
          <w:tcPr>
            <w:tcW w:w="8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i w:val="1"/>
                <w:iCs w:val="1"/>
                <w:color w:val="auto"/>
                <w:w w:val="99"/>
              </w:rPr>
              <w:t>exercise price</w:t>
            </w:r>
          </w:p>
        </w:tc>
        <w:tc>
          <w:tcPr>
            <w:tcW w:w="200" w:type="dxa"/>
            <w:vAlign w:val="bottom"/>
          </w:tcPr>
          <w:p>
            <w:pPr>
              <w:spacing w:after="0"/>
              <w:rPr>
                <w:sz w:val="12"/>
                <w:szCs w:val="12"/>
                <w:color w:val="auto"/>
              </w:rPr>
            </w:pPr>
          </w:p>
        </w:tc>
        <w:tc>
          <w:tcPr>
            <w:tcW w:w="122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i w:val="1"/>
                <w:iCs w:val="1"/>
                <w:color w:val="auto"/>
              </w:rPr>
              <w:t>options</w:t>
            </w:r>
          </w:p>
        </w:tc>
        <w:tc>
          <w:tcPr>
            <w:tcW w:w="8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i w:val="1"/>
                <w:iCs w:val="1"/>
                <w:color w:val="auto"/>
                <w:w w:val="99"/>
              </w:rPr>
              <w:t>exercise price</w:t>
            </w:r>
          </w:p>
        </w:tc>
        <w:tc>
          <w:tcPr>
            <w:tcW w:w="200" w:type="dxa"/>
            <w:vAlign w:val="bottom"/>
          </w:tcPr>
          <w:p>
            <w:pPr>
              <w:spacing w:after="0"/>
              <w:rPr>
                <w:sz w:val="12"/>
                <w:szCs w:val="12"/>
                <w:color w:val="auto"/>
              </w:rPr>
            </w:pPr>
          </w:p>
        </w:tc>
        <w:tc>
          <w:tcPr>
            <w:tcW w:w="10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i w:val="1"/>
                <w:iCs w:val="1"/>
                <w:color w:val="auto"/>
              </w:rPr>
              <w:t>options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i w:val="1"/>
                <w:iCs w:val="1"/>
                <w:color w:val="auto"/>
              </w:rPr>
              <w:t>USD</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i w:val="1"/>
                <w:iCs w:val="1"/>
                <w:color w:val="auto"/>
              </w:rPr>
              <w:t>USD</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i w:val="1"/>
                <w:iCs w:val="1"/>
                <w:color w:val="auto"/>
              </w:rPr>
              <w:t>USD</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January 1</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0.6</w:t>
            </w:r>
          </w:p>
        </w:tc>
        <w:tc>
          <w:tcPr>
            <w:tcW w:w="14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53,564,010</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0.9</w:t>
            </w:r>
          </w:p>
        </w:tc>
        <w:tc>
          <w:tcPr>
            <w:tcW w:w="14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103,897,771</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0.9</w:t>
            </w:r>
          </w:p>
        </w:tc>
        <w:tc>
          <w:tcPr>
            <w:tcW w:w="1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109,142,239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14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57,443,348</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14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10,834,516</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16,276,585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(1,062,550)</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14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(935,335)</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1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(643,187)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(6,047,037)</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w:t>
            </w: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(4,654,713)</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(2,923,088)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103,897,771</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0.9</w:t>
            </w:r>
          </w:p>
        </w:tc>
        <w:tc>
          <w:tcPr>
            <w:tcW w:w="14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109,142,239</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w:t>
            </w:r>
          </w:p>
        </w:tc>
        <w:tc>
          <w:tcPr>
            <w:tcW w:w="1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121,852,549</w:t>
            </w: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Exercisable as of December 31</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gridSpan w:val="2"/>
            <w:vMerge w:val="continue"/>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84,685,936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3"/>
          </w:tcPr>
          <w:p>
            <w:pPr>
              <w:jc w:val="right"/>
              <w:ind w:right="960"/>
              <w:spacing w:after="0"/>
              <w:rPr>
                <w:sz w:val="20"/>
                <w:szCs w:val="20"/>
                <w:color w:val="auto"/>
              </w:rPr>
            </w:pPr>
            <w:r>
              <w:rPr>
                <w:rFonts w:ascii="Times New Roman" w:cs="Times New Roman" w:eastAsia="Times New Roman" w:hAnsi="Times New Roman"/>
                <w:sz w:val="18"/>
                <w:szCs w:val="18"/>
                <w:color w:val="auto"/>
              </w:rPr>
              <w:t>F-66</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right="180"/>
        <w:spacing w:after="0" w:line="261" w:lineRule="auto"/>
        <w:rPr>
          <w:sz w:val="20"/>
          <w:szCs w:val="20"/>
          <w:color w:val="auto"/>
        </w:rPr>
      </w:pPr>
      <w:r>
        <w:rPr>
          <w:rFonts w:ascii="Times New Roman" w:cs="Times New Roman" w:eastAsia="Times New Roman" w:hAnsi="Times New Roman"/>
          <w:sz w:val="18"/>
          <w:szCs w:val="18"/>
          <w:color w:val="auto"/>
        </w:rPr>
        <w:t>The weighted average grant date fair value of the share options granted for the years ended December 31, 2022, 2023 and 2024 were USD2.4, USD2.6 and USD3.4, respectively. The aggregated fair value of the share options at the grant date for the years ended December 31, 2022, 2023 and 2024 were USD142.8 million (equivalent to RMB959.8 million), USD27.6 million (equivalent to RMB194.3 million) and USD55.7 million (equivalent to RMB396.5 million), respectively.</w:t>
      </w:r>
    </w:p>
    <w:p>
      <w:pPr>
        <w:spacing w:after="0" w:line="180" w:lineRule="exact"/>
        <w:rPr>
          <w:sz w:val="20"/>
          <w:szCs w:val="20"/>
          <w:color w:val="auto"/>
        </w:rPr>
      </w:pPr>
    </w:p>
    <w:p>
      <w:pPr>
        <w:ind w:left="560" w:right="80"/>
        <w:spacing w:after="0" w:line="266" w:lineRule="auto"/>
        <w:rPr>
          <w:sz w:val="20"/>
          <w:szCs w:val="20"/>
          <w:color w:val="auto"/>
        </w:rPr>
      </w:pPr>
      <w:r>
        <w:rPr>
          <w:rFonts w:ascii="Times New Roman" w:cs="Times New Roman" w:eastAsia="Times New Roman" w:hAnsi="Times New Roman"/>
          <w:sz w:val="18"/>
          <w:szCs w:val="18"/>
          <w:color w:val="auto"/>
        </w:rPr>
        <w:t>In December 2024, the Board of Directors of the Company approved to modify the exercise price of 8,879,402 share options that were previously granted in July 2024 that had been vested in October 2024 as a result of the completion of the IPO, from USD 1.22 per share to USD 3.89 per share.</w:t>
      </w:r>
    </w:p>
    <w:p>
      <w:pPr>
        <w:spacing w:after="0" w:line="176" w:lineRule="exact"/>
        <w:rPr>
          <w:sz w:val="20"/>
          <w:szCs w:val="20"/>
          <w:color w:val="auto"/>
        </w:rPr>
      </w:pPr>
    </w:p>
    <w:p>
      <w:pPr>
        <w:ind w:left="560" w:right="240"/>
        <w:spacing w:after="0" w:line="282" w:lineRule="auto"/>
        <w:rPr>
          <w:sz w:val="20"/>
          <w:szCs w:val="20"/>
          <w:color w:val="auto"/>
        </w:rPr>
      </w:pPr>
      <w:r>
        <w:rPr>
          <w:rFonts w:ascii="Times New Roman" w:cs="Times New Roman" w:eastAsia="Times New Roman" w:hAnsi="Times New Roman"/>
          <w:sz w:val="18"/>
          <w:szCs w:val="18"/>
          <w:color w:val="auto"/>
        </w:rPr>
        <w:t>The share options outstanding as of December 31, 2022, 2023 and 2024 had weighted average remaining contractual life of 9.1 years, 8.0 years and 7.0 years, respectively.</w:t>
      </w:r>
    </w:p>
    <w:p>
      <w:pPr>
        <w:spacing w:after="0" w:line="162" w:lineRule="exact"/>
        <w:rPr>
          <w:sz w:val="20"/>
          <w:szCs w:val="20"/>
          <w:color w:val="auto"/>
        </w:rPr>
      </w:pPr>
    </w:p>
    <w:p>
      <w:pPr>
        <w:ind w:left="560" w:right="180"/>
        <w:spacing w:after="0" w:line="289" w:lineRule="auto"/>
        <w:rPr>
          <w:sz w:val="20"/>
          <w:szCs w:val="20"/>
          <w:color w:val="auto"/>
        </w:rPr>
      </w:pPr>
      <w:r>
        <w:rPr>
          <w:rFonts w:ascii="Times New Roman" w:cs="Times New Roman" w:eastAsia="Times New Roman" w:hAnsi="Times New Roman"/>
          <w:sz w:val="17"/>
          <w:szCs w:val="17"/>
          <w:color w:val="auto"/>
        </w:rPr>
        <w:t>The fair value of share options granted was measured by reference to the fair value of the Company’s equity interest. The Group had used the discounted cash flow method to determine the underlying equity fair value of the Company. The estimation of the share options granted was measured based on a binominal options pricing model. The key assumptions used in determining the fair value of share options were as follows:</w:t>
      </w:r>
    </w:p>
    <w:p>
      <w:pPr>
        <w:spacing w:after="0" w:line="178"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c>
          <w:tcPr>
            <w:tcW w:w="14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160" w:type="dxa"/>
            <w:vAlign w:val="bottom"/>
          </w:tcPr>
          <w:p>
            <w:pPr>
              <w:spacing w:after="0"/>
              <w:rPr>
                <w:sz w:val="12"/>
                <w:szCs w:val="12"/>
                <w:color w:val="auto"/>
              </w:rPr>
            </w:pPr>
          </w:p>
        </w:tc>
        <w:tc>
          <w:tcPr>
            <w:tcW w:w="1520" w:type="dxa"/>
            <w:vAlign w:val="bottom"/>
          </w:tcPr>
          <w:p>
            <w:pPr>
              <w:jc w:val="right"/>
              <w:ind w:right="532"/>
              <w:spacing w:after="0" w:line="142" w:lineRule="exact"/>
              <w:rPr>
                <w:sz w:val="20"/>
                <w:szCs w:val="20"/>
                <w:color w:val="auto"/>
              </w:rPr>
            </w:pPr>
            <w:r>
              <w:rPr>
                <w:rFonts w:ascii="Times New Roman" w:cs="Times New Roman" w:eastAsia="Times New Roman" w:hAnsi="Times New Roman"/>
                <w:sz w:val="14"/>
                <w:szCs w:val="14"/>
                <w:i w:val="1"/>
                <w:iCs w:val="1"/>
                <w:color w:val="auto"/>
              </w:rPr>
              <w:t>2022</w:t>
            </w:r>
          </w:p>
        </w:tc>
        <w:tc>
          <w:tcPr>
            <w:tcW w:w="2020" w:type="dxa"/>
            <w:vAlign w:val="bottom"/>
          </w:tcPr>
          <w:p>
            <w:pPr>
              <w:jc w:val="right"/>
              <w:ind w:right="815"/>
              <w:spacing w:after="0" w:line="142" w:lineRule="exact"/>
              <w:rPr>
                <w:sz w:val="20"/>
                <w:szCs w:val="20"/>
                <w:color w:val="auto"/>
              </w:rPr>
            </w:pPr>
            <w:r>
              <w:rPr>
                <w:rFonts w:ascii="Times New Roman" w:cs="Times New Roman" w:eastAsia="Times New Roman" w:hAnsi="Times New Roman"/>
                <w:sz w:val="14"/>
                <w:szCs w:val="14"/>
                <w:i w:val="1"/>
                <w:iCs w:val="1"/>
                <w:color w:val="auto"/>
              </w:rPr>
              <w:t>2023</w:t>
            </w:r>
          </w:p>
        </w:tc>
        <w:tc>
          <w:tcPr>
            <w:tcW w:w="1480" w:type="dxa"/>
            <w:vAlign w:val="bottom"/>
          </w:tcPr>
          <w:p>
            <w:pPr>
              <w:jc w:val="right"/>
              <w:ind w:right="532"/>
              <w:spacing w:after="0" w:line="142" w:lineRule="exact"/>
              <w:rPr>
                <w:sz w:val="20"/>
                <w:szCs w:val="20"/>
                <w:color w:val="auto"/>
              </w:rPr>
            </w:pPr>
            <w:r>
              <w:rPr>
                <w:rFonts w:ascii="Times New Roman" w:cs="Times New Roman" w:eastAsia="Times New Roman" w:hAnsi="Times New Roman"/>
                <w:sz w:val="14"/>
                <w:szCs w:val="14"/>
                <w:i w:val="1"/>
                <w:iCs w:val="1"/>
                <w:color w:val="auto"/>
              </w:rPr>
              <w:t>2024</w:t>
            </w:r>
          </w:p>
        </w:tc>
        <w:tc>
          <w:tcPr>
            <w:tcW w:w="80" w:type="dxa"/>
            <w:vAlign w:val="bottom"/>
          </w:tcPr>
          <w:p>
            <w:pPr>
              <w:spacing w:after="0"/>
              <w:rPr>
                <w:sz w:val="12"/>
                <w:szCs w:val="12"/>
                <w:color w:val="auto"/>
              </w:rPr>
            </w:pPr>
          </w:p>
        </w:tc>
      </w:tr>
      <w:tr>
        <w:trPr>
          <w:trHeight w:val="198"/>
        </w:trPr>
        <w:tc>
          <w:tcPr>
            <w:tcW w:w="41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USD2.68-USD3.42</w:t>
            </w:r>
          </w:p>
        </w:tc>
        <w:tc>
          <w:tcPr>
            <w:tcW w:w="20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USD3.47-USD4.82</w:t>
            </w:r>
          </w:p>
        </w:tc>
      </w:tr>
      <w:tr>
        <w:trPr>
          <w:trHeight w:val="234"/>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the Company’s ordinary shares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per share</w:t>
            </w:r>
          </w:p>
        </w:tc>
        <w:tc>
          <w:tcPr>
            <w:tcW w:w="20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USD3.46 per share</w:t>
            </w:r>
          </w:p>
        </w:tc>
        <w:tc>
          <w:tcPr>
            <w:tcW w:w="1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per share</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51.2%-56.2%</w:t>
            </w:r>
          </w:p>
        </w:tc>
        <w:tc>
          <w:tcPr>
            <w:tcW w:w="202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52.0%</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52.0%-52.3%</w:t>
            </w:r>
          </w:p>
        </w:tc>
        <w:tc>
          <w:tcPr>
            <w:tcW w:w="8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multiple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2.2x</w:t>
            </w:r>
          </w:p>
        </w:tc>
        <w:tc>
          <w:tcPr>
            <w:tcW w:w="20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2.2x-2.8x</w:t>
            </w:r>
          </w:p>
        </w:tc>
        <w:tc>
          <w:tcPr>
            <w:tcW w:w="1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2.2x-2.8x</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2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0%</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(per annum)</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20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4.05%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4.0%-4.51%</w:t>
            </w:r>
          </w:p>
        </w:tc>
        <w:tc>
          <w:tcPr>
            <w:tcW w:w="80" w:type="dxa"/>
            <w:vAlign w:val="bottom"/>
            <w:shd w:val="clear" w:color="auto" w:fill="CCEEFF"/>
          </w:tcPr>
          <w:p>
            <w:pPr>
              <w:spacing w:after="0"/>
              <w:rPr>
                <w:sz w:val="18"/>
                <w:szCs w:val="18"/>
                <w:color w:val="auto"/>
              </w:rPr>
            </w:pP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years</w:t>
            </w:r>
          </w:p>
        </w:tc>
        <w:tc>
          <w:tcPr>
            <w:tcW w:w="202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10 years</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 years</w:t>
            </w:r>
          </w:p>
        </w:tc>
      </w:tr>
    </w:tbl>
    <w:p>
      <w:pPr>
        <w:spacing w:after="0" w:line="179" w:lineRule="exact"/>
        <w:rPr>
          <w:sz w:val="20"/>
          <w:szCs w:val="20"/>
          <w:color w:val="auto"/>
        </w:rPr>
      </w:pPr>
    </w:p>
    <w:p>
      <w:pPr>
        <w:ind w:left="560"/>
        <w:spacing w:after="0" w:line="255" w:lineRule="auto"/>
        <w:rPr>
          <w:sz w:val="20"/>
          <w:szCs w:val="20"/>
          <w:color w:val="auto"/>
        </w:rPr>
      </w:pPr>
      <w:r>
        <w:rPr>
          <w:rFonts w:ascii="Times New Roman" w:cs="Times New Roman" w:eastAsia="Times New Roman" w:hAnsi="Times New Roman"/>
          <w:sz w:val="18"/>
          <w:szCs w:val="18"/>
          <w:color w:val="auto"/>
        </w:rPr>
        <w:t>The expected volatility was estimated based on the historical volatility of comparable peer public companies with a time horizon close to the expected term of the Company’s share options. The risk-free interest rate was estimated based on the yield to maturity of U.S. treasury bonds denominated in USD for a term consistent with the expected term of the Company’s share options in effect at the valuation date. The expected exercise multiple was estimated as the average ratio of the share price to the exercise price of when employees, officers or nonemployees would decide to voluntarily exercise their vested share options. Expected dividend yield is zero as the Company has never declared or paid any cash dividends on its shares, and the Company does not anticipate any dividend payments in the foreseeable future. Expected term is the contract life of the share options.</w:t>
      </w:r>
    </w:p>
    <w:p>
      <w:pPr>
        <w:spacing w:after="0" w:line="333" w:lineRule="exact"/>
        <w:rPr>
          <w:sz w:val="20"/>
          <w:szCs w:val="20"/>
          <w:color w:val="auto"/>
        </w:rPr>
      </w:pPr>
    </w:p>
    <w:p>
      <w:pPr>
        <w:ind w:left="540" w:hanging="424"/>
        <w:spacing w:after="0"/>
        <w:tabs>
          <w:tab w:leader="none" w:pos="540" w:val="left"/>
        </w:tabs>
        <w:numPr>
          <w:ilvl w:val="0"/>
          <w:numId w:val="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share units</w:t>
      </w:r>
    </w:p>
    <w:p>
      <w:pPr>
        <w:spacing w:after="0" w:line="121" w:lineRule="exact"/>
        <w:rPr>
          <w:rFonts w:ascii="Times New Roman" w:cs="Times New Roman" w:eastAsia="Times New Roman" w:hAnsi="Times New Roman"/>
          <w:sz w:val="18"/>
          <w:szCs w:val="18"/>
          <w:b w:val="1"/>
          <w:bCs w:val="1"/>
          <w:color w:val="auto"/>
        </w:rPr>
      </w:pPr>
    </w:p>
    <w:p>
      <w:pPr>
        <w:ind w:left="560" w:right="2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Restricted share units granted under the 2018 Share Plan have a contractual term of seven years with varying time-based requirement of service period up to four years and a requirement of the closing of an IPO of the Company. No cash consideration is required of the recipient in connection with the grant of restricted share units.</w:t>
      </w:r>
    </w:p>
    <w:p>
      <w:pPr>
        <w:spacing w:after="0" w:line="175" w:lineRule="exact"/>
        <w:rPr>
          <w:rFonts w:ascii="Times New Roman" w:cs="Times New Roman" w:eastAsia="Times New Roman" w:hAnsi="Times New Roman"/>
          <w:sz w:val="18"/>
          <w:szCs w:val="18"/>
          <w:b w:val="1"/>
          <w:bCs w:val="1"/>
          <w:color w:val="auto"/>
        </w:rPr>
      </w:pPr>
    </w:p>
    <w:p>
      <w:pPr>
        <w:ind w:left="560" w:righ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completion of the Company’s IPO was considered a non-market performance condition before the Company completed its IPO on October 28, 2024. Service and non-market performance conditions are not taken into account when determining the grant date fair value of restricted share units, but the likelihood of the conditions being met is assessed as part of the Group’s best estimate of the number of restricted share units that will ultimately vest.</w:t>
      </w:r>
    </w:p>
    <w:p>
      <w:pPr>
        <w:spacing w:after="0" w:line="180" w:lineRule="exact"/>
        <w:rPr>
          <w:sz w:val="20"/>
          <w:szCs w:val="20"/>
          <w:color w:val="auto"/>
        </w:rPr>
      </w:pPr>
    </w:p>
    <w:p>
      <w:pPr>
        <w:jc w:val="both"/>
        <w:ind w:left="560" w:right="80"/>
        <w:spacing w:after="0" w:line="266" w:lineRule="auto"/>
        <w:rPr>
          <w:sz w:val="20"/>
          <w:szCs w:val="20"/>
          <w:color w:val="auto"/>
        </w:rPr>
      </w:pPr>
      <w:r>
        <w:rPr>
          <w:rFonts w:ascii="Times New Roman" w:cs="Times New Roman" w:eastAsia="Times New Roman" w:hAnsi="Times New Roman"/>
          <w:sz w:val="18"/>
          <w:szCs w:val="18"/>
          <w:color w:val="auto"/>
        </w:rPr>
        <w:t>That is, before the Company completed its IPO, the actual length of vesting period of the restricted share units is subject to an IPO condition. The Group considered that an IPO would be probable to occur after the required service period and recognized the share compensation expenses over the estimated vesting period, which was based on an estimate of when an IPO would occur.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120"/>
          </w:cols>
          <w:pgMar w:left="320" w:top="482" w:right="45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right="540"/>
        <w:spacing w:after="0" w:line="282" w:lineRule="auto"/>
        <w:rPr>
          <w:sz w:val="20"/>
          <w:szCs w:val="20"/>
          <w:color w:val="auto"/>
        </w:rPr>
      </w:pPr>
      <w:r>
        <w:rPr>
          <w:rFonts w:ascii="Times New Roman" w:cs="Times New Roman" w:eastAsia="Times New Roman" w:hAnsi="Times New Roman"/>
          <w:sz w:val="18"/>
          <w:szCs w:val="18"/>
          <w:color w:val="auto"/>
        </w:rPr>
        <w:t>The Company had determined that an IPO was not probable as of December 31, 2022, therefore, no compensation expense relating to the restricted share units was recognized for the year ended December 31, 2022.</w:t>
      </w:r>
    </w:p>
    <w:p>
      <w:pPr>
        <w:spacing w:after="0" w:line="162"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color w:val="auto"/>
        </w:rPr>
        <w:t>Upon completion of the filings with the China Securities Regulatory Commission (“CSRC”) for offering and the CSRC concluded the filing procedure and published the filing results on the CSRC website in August 2023, which was essential for the completion of an IPO, the Company had determined that the vesting of the restricted share units has since become probable. Accordingly, the Group had recognized a cumulative catch-up of the share-based compensation amounting RMB417.1 million for the year ended December 31, 2023.</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Restricted share units’ activities for the years presented were summarized as follows: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c>
          <w:tcPr>
            <w:tcW w:w="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20" w:type="dxa"/>
            <w:vAlign w:val="bottom"/>
          </w:tcPr>
          <w:p>
            <w:pPr>
              <w:jc w:val="right"/>
              <w:ind w:right="397"/>
              <w:spacing w:after="0" w:line="118" w:lineRule="exact"/>
              <w:rPr>
                <w:sz w:val="20"/>
                <w:szCs w:val="20"/>
                <w:color w:val="auto"/>
              </w:rPr>
            </w:pPr>
            <w:r>
              <w:rPr>
                <w:rFonts w:ascii="Times New Roman" w:cs="Times New Roman" w:eastAsia="Times New Roman" w:hAnsi="Times New Roman"/>
                <w:sz w:val="13"/>
                <w:szCs w:val="13"/>
                <w:i w:val="1"/>
                <w:iCs w:val="1"/>
                <w:color w:val="auto"/>
              </w:rPr>
              <w:t>2022</w:t>
            </w:r>
          </w:p>
        </w:tc>
        <w:tc>
          <w:tcPr>
            <w:tcW w:w="1740" w:type="dxa"/>
            <w:vAlign w:val="bottom"/>
            <w:gridSpan w:val="2"/>
          </w:tcPr>
          <w:p>
            <w:pPr>
              <w:jc w:val="center"/>
              <w:ind w:left="422"/>
              <w:spacing w:after="0" w:line="118" w:lineRule="exact"/>
              <w:rPr>
                <w:sz w:val="20"/>
                <w:szCs w:val="20"/>
                <w:color w:val="auto"/>
              </w:rPr>
            </w:pPr>
            <w:r>
              <w:rPr>
                <w:rFonts w:ascii="Times New Roman" w:cs="Times New Roman" w:eastAsia="Times New Roman" w:hAnsi="Times New Roman"/>
                <w:sz w:val="13"/>
                <w:szCs w:val="13"/>
                <w:i w:val="1"/>
                <w:iCs w:val="1"/>
                <w:color w:val="auto"/>
              </w:rPr>
              <w:t>2023</w:t>
            </w:r>
          </w:p>
        </w:tc>
        <w:tc>
          <w:tcPr>
            <w:tcW w:w="420" w:type="dxa"/>
            <w:vAlign w:val="bottom"/>
          </w:tcPr>
          <w:p>
            <w:pPr>
              <w:spacing w:after="0"/>
              <w:rPr>
                <w:sz w:val="10"/>
                <w:szCs w:val="10"/>
                <w:color w:val="auto"/>
              </w:rPr>
            </w:pPr>
          </w:p>
        </w:tc>
        <w:tc>
          <w:tcPr>
            <w:tcW w:w="12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i w:val="1"/>
                <w:iCs w:val="1"/>
                <w:color w:val="auto"/>
              </w:rPr>
              <w:t>2024</w:t>
            </w:r>
          </w:p>
        </w:tc>
        <w:tc>
          <w:tcPr>
            <w:tcW w:w="12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Number of restricted</w:t>
            </w:r>
          </w:p>
        </w:tc>
        <w:tc>
          <w:tcPr>
            <w:tcW w:w="2160" w:type="dxa"/>
            <w:vAlign w:val="bottom"/>
            <w:gridSpan w:val="3"/>
          </w:tcPr>
          <w:p>
            <w:pPr>
              <w:jc w:val="center"/>
              <w:ind w:left="2"/>
              <w:spacing w:after="0" w:line="149" w:lineRule="exact"/>
              <w:rPr>
                <w:sz w:val="20"/>
                <w:szCs w:val="20"/>
                <w:color w:val="auto"/>
              </w:rPr>
            </w:pPr>
            <w:r>
              <w:rPr>
                <w:rFonts w:ascii="Times New Roman" w:cs="Times New Roman" w:eastAsia="Times New Roman" w:hAnsi="Times New Roman"/>
                <w:sz w:val="14"/>
                <w:szCs w:val="14"/>
                <w:i w:val="1"/>
                <w:iCs w:val="1"/>
                <w:color w:val="auto"/>
              </w:rPr>
              <w:t>Number of restricted</w:t>
            </w:r>
          </w:p>
        </w:tc>
        <w:tc>
          <w:tcPr>
            <w:tcW w:w="140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i w:val="1"/>
                <w:iCs w:val="1"/>
                <w:color w:val="auto"/>
              </w:rPr>
              <w:t>Number of restricted</w:t>
            </w:r>
          </w:p>
        </w:tc>
      </w:tr>
      <w:tr>
        <w:trPr>
          <w:trHeight w:val="173"/>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jc w:val="right"/>
              <w:ind w:right="217"/>
              <w:spacing w:after="0"/>
              <w:rPr>
                <w:sz w:val="20"/>
                <w:szCs w:val="20"/>
                <w:color w:val="auto"/>
              </w:rPr>
            </w:pPr>
            <w:r>
              <w:rPr>
                <w:rFonts w:ascii="Times New Roman" w:cs="Times New Roman" w:eastAsia="Times New Roman" w:hAnsi="Times New Roman"/>
                <w:sz w:val="14"/>
                <w:szCs w:val="14"/>
                <w:i w:val="1"/>
                <w:iCs w:val="1"/>
                <w:color w:val="auto"/>
              </w:rPr>
              <w:t>share units</w:t>
            </w:r>
          </w:p>
        </w:tc>
        <w:tc>
          <w:tcPr>
            <w:tcW w:w="540" w:type="dxa"/>
            <w:vAlign w:val="bottom"/>
          </w:tcPr>
          <w:p>
            <w:pPr>
              <w:spacing w:after="0"/>
              <w:rPr>
                <w:sz w:val="15"/>
                <w:szCs w:val="15"/>
                <w:color w:val="auto"/>
              </w:rPr>
            </w:pPr>
          </w:p>
        </w:tc>
        <w:tc>
          <w:tcPr>
            <w:tcW w:w="16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i w:val="1"/>
                <w:iCs w:val="1"/>
                <w:color w:val="auto"/>
              </w:rPr>
              <w:t>share units</w:t>
            </w:r>
          </w:p>
        </w:tc>
        <w:tc>
          <w:tcPr>
            <w:tcW w:w="80" w:type="dxa"/>
            <w:vAlign w:val="bottom"/>
          </w:tcPr>
          <w:p>
            <w:pPr>
              <w:spacing w:after="0"/>
              <w:rPr>
                <w:sz w:val="15"/>
                <w:szCs w:val="15"/>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i w:val="1"/>
                <w:iCs w:val="1"/>
                <w:color w:val="auto"/>
              </w:rPr>
              <w:t>share units</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January 1</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194,569,490</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194,569,490</w:t>
            </w: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194,035,796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16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20,281,568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0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(533,694)</w:t>
            </w: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(470,649)</w:t>
            </w: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0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(207,065,147)</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w:t>
            </w:r>
          </w:p>
        </w:tc>
        <w:tc>
          <w:tcPr>
            <w:tcW w:w="1040" w:type="dxa"/>
            <w:vAlign w:val="bottom"/>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194,569,490</w:t>
            </w:r>
          </w:p>
        </w:tc>
        <w:tc>
          <w:tcPr>
            <w:tcW w:w="540" w:type="dxa"/>
            <w:vAlign w:val="bottom"/>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194,035,796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6,781,568</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The restricted share units outstanding as of December 31, 2022, 2023 and 2024 had weighted average remaining contractual life of 1.4 years, 0.4 years and 6.9 years, respectively.</w:t>
      </w:r>
    </w:p>
    <w:p>
      <w:pPr>
        <w:spacing w:after="0" w:line="162" w:lineRule="exact"/>
        <w:rPr>
          <w:sz w:val="20"/>
          <w:szCs w:val="20"/>
          <w:color w:val="auto"/>
        </w:rPr>
      </w:pPr>
    </w:p>
    <w:p>
      <w:pPr>
        <w:jc w:val="both"/>
        <w:ind w:left="560" w:right="120"/>
        <w:spacing w:after="0" w:line="266" w:lineRule="auto"/>
        <w:rPr>
          <w:sz w:val="20"/>
          <w:szCs w:val="20"/>
          <w:color w:val="auto"/>
        </w:rPr>
      </w:pPr>
      <w:r>
        <w:rPr>
          <w:rFonts w:ascii="Times New Roman" w:cs="Times New Roman" w:eastAsia="Times New Roman" w:hAnsi="Times New Roman"/>
          <w:sz w:val="18"/>
          <w:szCs w:val="18"/>
          <w:color w:val="auto"/>
        </w:rPr>
        <w:t>In June 2024, the Board of Directors of the Company approved to accelerate the vesting of 125,994,150 restricted share units granted to certain management personnel through waiving the requirement of the closing of an IPO of the Company. As a result, the Company recognized a total share-based compensation expense in the amount of RMB69.5 million for the year ended December 31, 2024.</w:t>
      </w:r>
    </w:p>
    <w:p>
      <w:pPr>
        <w:spacing w:after="0" w:line="176" w:lineRule="exact"/>
        <w:rPr>
          <w:sz w:val="20"/>
          <w:szCs w:val="20"/>
          <w:color w:val="auto"/>
        </w:rPr>
      </w:pPr>
    </w:p>
    <w:p>
      <w:pPr>
        <w:ind w:left="560" w:right="80"/>
        <w:spacing w:after="0" w:line="266" w:lineRule="auto"/>
        <w:rPr>
          <w:sz w:val="20"/>
          <w:szCs w:val="20"/>
          <w:color w:val="auto"/>
        </w:rPr>
      </w:pPr>
      <w:r>
        <w:rPr>
          <w:rFonts w:ascii="Times New Roman" w:cs="Times New Roman" w:eastAsia="Times New Roman" w:hAnsi="Times New Roman"/>
          <w:sz w:val="18"/>
          <w:szCs w:val="18"/>
          <w:color w:val="auto"/>
        </w:rPr>
        <w:t>Total compensation expense calculated based on the grant date fair value and the estimated forfeiture rate recognized in the consolidated statements of profit or loss for aforementioned share options and restricted share units granted were RMB325.4 million, RMB931.8 million and RMB1,187.9 million for the years ended December 31, 2022, 2023 and 2024, respectively.</w:t>
      </w:r>
    </w:p>
    <w:p>
      <w:pPr>
        <w:spacing w:after="0" w:line="320" w:lineRule="exact"/>
        <w:rPr>
          <w:sz w:val="20"/>
          <w:szCs w:val="20"/>
          <w:color w:val="auto"/>
        </w:rPr>
      </w:pPr>
    </w:p>
    <w:p>
      <w:pPr>
        <w:ind w:left="540" w:hanging="424"/>
        <w:spacing w:after="0"/>
        <w:tabs>
          <w:tab w:leader="none" w:pos="540"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risk management and fair value of financial instruments</w:t>
      </w:r>
    </w:p>
    <w:p>
      <w:pPr>
        <w:spacing w:after="0" w:line="121" w:lineRule="exact"/>
        <w:rPr>
          <w:rFonts w:ascii="Times New Roman" w:cs="Times New Roman" w:eastAsia="Times New Roman" w:hAnsi="Times New Roman"/>
          <w:sz w:val="18"/>
          <w:szCs w:val="18"/>
          <w:b w:val="1"/>
          <w:bCs w:val="1"/>
          <w:color w:val="auto"/>
        </w:rPr>
      </w:pPr>
    </w:p>
    <w:p>
      <w:pPr>
        <w:ind w:left="560" w:right="1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Exposure to credit, liquidity, interest rate and currency risks arises in the normal course of the Group’s business. The Group’s exposure to these risks and the financial risk management policies and practices used by the Group to manage these risks are described below.</w:t>
      </w:r>
    </w:p>
    <w:p>
      <w:pPr>
        <w:spacing w:after="0" w:line="306" w:lineRule="exact"/>
        <w:rPr>
          <w:sz w:val="20"/>
          <w:szCs w:val="20"/>
          <w:color w:val="auto"/>
        </w:rPr>
      </w:pPr>
    </w:p>
    <w:p>
      <w:pPr>
        <w:ind w:left="660" w:hanging="544"/>
        <w:spacing w:after="0"/>
        <w:tabs>
          <w:tab w:leader="none" w:pos="660" w:val="left"/>
        </w:tabs>
        <w:numPr>
          <w:ilvl w:val="0"/>
          <w:numId w:val="2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left="560" w:right="60"/>
        <w:spacing w:after="0" w:line="277" w:lineRule="auto"/>
        <w:rPr>
          <w:sz w:val="20"/>
          <w:szCs w:val="20"/>
          <w:color w:val="auto"/>
        </w:rPr>
      </w:pPr>
      <w:r>
        <w:rPr>
          <w:rFonts w:ascii="Times New Roman" w:cs="Times New Roman" w:eastAsia="Times New Roman" w:hAnsi="Times New Roman"/>
          <w:sz w:val="17"/>
          <w:szCs w:val="17"/>
          <w:color w:val="auto"/>
        </w:rPr>
        <w:t>Credit risk refers to the risk that a counterparty will default on its contractual obligations resulting in a financial loss to the Group. The Group’s credit risk is primarily attributable to trade receivables, amount due from related parties, contract assets, receivables from payments made on behalf of customers, receivables from loans to employees and other receivables. The Group’s exposure to credit risk arising from time deposits, financial assets at FVTPL, cash, cash equivalents and restricted cash is limited because the counterparties are banks with high-credit-quality, for which the Group considers to have low credit risk. The Group does not provide any guarantees which would expose the Group to credit risk.</w:t>
      </w:r>
    </w:p>
    <w:p>
      <w:pPr>
        <w:spacing w:after="0" w:line="10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F-68</w:t>
      </w:r>
    </w:p>
    <w:p>
      <w:pPr>
        <w:sectPr>
          <w:pgSz w:w="11900" w:h="16838" w:orient="portrait"/>
          <w:cols w:equalWidth="0" w:num="1">
            <w:col w:w="10980"/>
          </w:cols>
          <w:pgMar w:left="320" w:top="482" w:right="59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Trade receivables, amounts due from related parties, contract assets and receivables from payments made on behalf of customers</w:t>
      </w:r>
    </w:p>
    <w:p>
      <w:pPr>
        <w:spacing w:after="0" w:line="227" w:lineRule="exact"/>
        <w:rPr>
          <w:sz w:val="20"/>
          <w:szCs w:val="20"/>
          <w:color w:val="auto"/>
        </w:rPr>
      </w:pPr>
    </w:p>
    <w:p>
      <w:pPr>
        <w:ind w:left="560" w:right="80"/>
        <w:spacing w:after="0" w:line="256" w:lineRule="auto"/>
        <w:rPr>
          <w:sz w:val="20"/>
          <w:szCs w:val="20"/>
          <w:color w:val="auto"/>
        </w:rPr>
      </w:pPr>
      <w:r>
        <w:rPr>
          <w:rFonts w:ascii="Times New Roman" w:cs="Times New Roman" w:eastAsia="Times New Roman" w:hAnsi="Times New Roman"/>
          <w:sz w:val="18"/>
          <w:szCs w:val="18"/>
          <w:color w:val="auto"/>
        </w:rPr>
        <w:t>The Group’s exposure to credit risk is influenced mainly by the individual characteristics of each customer rather than the industry or country in which the customers operate and therefore significant concentrations of credit risk primarily arise when the Group has significant exposure to individual customers. As of December 31, 2023 and 2024, 44% and 28% of the total trade receivables, amounts due from related parties, contract assets and receivables from payments made on behalf of customers were due from the Group’s largest customer, 47% and 37% of the total trade receivables, amounts due from related parties, contract assets and receivables from payments made on behalf of customers were due from the Group’s five largest customers, respectively.</w:t>
      </w:r>
    </w:p>
    <w:p>
      <w:pPr>
        <w:spacing w:after="0" w:line="187" w:lineRule="exact"/>
        <w:rPr>
          <w:sz w:val="20"/>
          <w:szCs w:val="20"/>
          <w:color w:val="auto"/>
        </w:rPr>
      </w:pPr>
    </w:p>
    <w:p>
      <w:pPr>
        <w:ind w:left="560" w:right="260"/>
        <w:spacing w:after="0" w:line="261" w:lineRule="auto"/>
        <w:rPr>
          <w:sz w:val="20"/>
          <w:szCs w:val="20"/>
          <w:color w:val="auto"/>
        </w:rPr>
      </w:pPr>
      <w:r>
        <w:rPr>
          <w:rFonts w:ascii="Times New Roman" w:cs="Times New Roman" w:eastAsia="Times New Roman" w:hAnsi="Times New Roman"/>
          <w:sz w:val="18"/>
          <w:szCs w:val="18"/>
          <w:color w:val="auto"/>
        </w:rPr>
        <w:t>Individual credit evaluations are performed on all customers requiring credit over a certain amount. These evaluations focus on the customer’s past history of making payments when due and current ability to pay, and take into account information specific to the customer as well as pertaining to the economic environment in which the customer operates. Trade receivables are due within 30 - 90 days from the date of billing. Normally, the Group does not obtain collateral from customers.</w:t>
      </w:r>
    </w:p>
    <w:p>
      <w:pPr>
        <w:spacing w:after="0" w:line="180"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color w:val="auto"/>
        </w:rPr>
        <w:t>The Group measures loss allowances for trade receivables, amounts due from related parties, contract assets and receivables from payments made on behalf of customers at an amount equal to lifetime ECLs, which is calculated using a provision matrix. As the Group’s historical credit loss experience does not indicate significantly different loss patterns for different customer segments, the loss allowance based on past due status is not further distinguished between the Group’s different customer bases.</w:t>
      </w:r>
    </w:p>
    <w:p>
      <w:pPr>
        <w:spacing w:after="0" w:line="180" w:lineRule="exact"/>
        <w:rPr>
          <w:sz w:val="20"/>
          <w:szCs w:val="20"/>
          <w:color w:val="auto"/>
        </w:rPr>
      </w:pPr>
    </w:p>
    <w:p>
      <w:pPr>
        <w:ind w:left="560" w:right="20"/>
        <w:spacing w:after="0" w:line="274" w:lineRule="auto"/>
        <w:rPr>
          <w:sz w:val="20"/>
          <w:szCs w:val="20"/>
          <w:color w:val="auto"/>
        </w:rPr>
      </w:pPr>
      <w:r>
        <w:rPr>
          <w:rFonts w:ascii="Times New Roman" w:cs="Times New Roman" w:eastAsia="Times New Roman" w:hAnsi="Times New Roman"/>
          <w:sz w:val="17"/>
          <w:szCs w:val="17"/>
          <w:color w:val="auto"/>
        </w:rPr>
        <w:t>Expected loss rates are calculated using a ‘roll rate’ method based on the probability of a receivable progressing through successive stages of delinquency to write-off. These rates are adjusted to reflect the differences between economic conditions during the period over which the historic data has been collected, current conditions and the Group’s view of economic conditions over the expected lives of the receivables. As of December 31, 2023 and 2024, 72% and 60% of the Group’s trade receivables, amounts due from related parties, contract assets and receivables from payments made on behalf of customers were due within one year, respectively. Based on this assessment, additional loss allowance of RMB11.7 million, RMB40.2 million and RMB28.7 million were recognized for the years ended December 31, 2022, 2023 and 2024, respectively.</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Receivables from loans to employees and other receivables</w:t>
      </w:r>
    </w:p>
    <w:p>
      <w:pPr>
        <w:spacing w:after="0" w:line="227" w:lineRule="exact"/>
        <w:rPr>
          <w:sz w:val="20"/>
          <w:szCs w:val="20"/>
          <w:color w:val="auto"/>
        </w:rPr>
      </w:pPr>
    </w:p>
    <w:p>
      <w:pPr>
        <w:ind w:left="560" w:right="420"/>
        <w:spacing w:after="0" w:line="261" w:lineRule="auto"/>
        <w:rPr>
          <w:sz w:val="20"/>
          <w:szCs w:val="20"/>
          <w:color w:val="auto"/>
        </w:rPr>
      </w:pPr>
      <w:r>
        <w:rPr>
          <w:rFonts w:ascii="Times New Roman" w:cs="Times New Roman" w:eastAsia="Times New Roman" w:hAnsi="Times New Roman"/>
          <w:sz w:val="18"/>
          <w:szCs w:val="18"/>
          <w:color w:val="auto"/>
        </w:rPr>
        <w:t>In determining the ECL for receivables from loans to employees and other receivables, the management has taken into account the historical default experience and forward-looking information, as appropriate. The management has assessed that no debtors of these receivables had a significant increase in credit risk since initial recognition and risk of default is insignificant, and therefore, no material ECL allowance was provided for receivables from loans to employees and other receivables for the years presented.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F-69</w:t>
      </w:r>
    </w:p>
    <w:p>
      <w:pPr>
        <w:sectPr>
          <w:pgSz w:w="11900" w:h="16838" w:orient="portrait"/>
          <w:cols w:equalWidth="0" w:num="1">
            <w:col w:w="11100"/>
          </w:cols>
          <w:pgMar w:left="320" w:top="482" w:right="47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right="42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Group’s exposure to credit risk and ECLs for trade receivables, amounts due from related parties, contract assets and receivables from payments made on behalf of customers: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As of December 31, 2023</w:t>
            </w:r>
          </w:p>
        </w:tc>
        <w:tc>
          <w:tcPr>
            <w:tcW w:w="6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40" w:type="dxa"/>
            <w:vAlign w:val="bottom"/>
          </w:tcPr>
          <w:p>
            <w:pPr>
              <w:spacing w:after="0"/>
              <w:rPr>
                <w:sz w:val="10"/>
                <w:szCs w:val="10"/>
                <w:color w:val="auto"/>
              </w:rPr>
            </w:pPr>
          </w:p>
        </w:tc>
        <w:tc>
          <w:tcPr>
            <w:tcW w:w="96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Carrying</w:t>
            </w:r>
          </w:p>
        </w:tc>
        <w:tc>
          <w:tcPr>
            <w:tcW w:w="1140" w:type="dxa"/>
            <w:vAlign w:val="bottom"/>
            <w:gridSpan w:val="2"/>
            <w:vMerge w:val="restart"/>
          </w:tcPr>
          <w:p>
            <w:pPr>
              <w:jc w:val="center"/>
              <w:ind w:right="148"/>
              <w:spacing w:after="0"/>
              <w:rPr>
                <w:sz w:val="20"/>
                <w:szCs w:val="20"/>
                <w:color w:val="auto"/>
              </w:rPr>
            </w:pPr>
            <w:r>
              <w:rPr>
                <w:rFonts w:ascii="Times New Roman" w:cs="Times New Roman" w:eastAsia="Times New Roman" w:hAnsi="Times New Roman"/>
                <w:sz w:val="14"/>
                <w:szCs w:val="14"/>
                <w:i w:val="1"/>
                <w:iCs w:val="1"/>
                <w:color w:val="auto"/>
              </w:rPr>
              <w:t>Provision on</w:t>
            </w:r>
          </w:p>
        </w:tc>
        <w:tc>
          <w:tcPr>
            <w:tcW w:w="1340" w:type="dxa"/>
            <w:vAlign w:val="bottom"/>
          </w:tcPr>
          <w:p>
            <w:pPr>
              <w:jc w:val="center"/>
              <w:ind w:right="241"/>
              <w:spacing w:after="0" w:line="118" w:lineRule="exact"/>
              <w:rPr>
                <w:sz w:val="20"/>
                <w:szCs w:val="20"/>
                <w:color w:val="auto"/>
              </w:rPr>
            </w:pPr>
            <w:r>
              <w:rPr>
                <w:rFonts w:ascii="Times New Roman" w:cs="Times New Roman" w:eastAsia="Times New Roman" w:hAnsi="Times New Roman"/>
                <w:sz w:val="13"/>
                <w:szCs w:val="13"/>
                <w:i w:val="1"/>
                <w:iCs w:val="1"/>
                <w:color w:val="auto"/>
              </w:rPr>
              <w:t>Weighted</w:t>
            </w: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40" w:type="dxa"/>
            <w:vAlign w:val="bottom"/>
          </w:tcPr>
          <w:p>
            <w:pPr>
              <w:jc w:val="center"/>
              <w:ind w:right="241"/>
              <w:spacing w:after="0" w:line="149" w:lineRule="exact"/>
              <w:rPr>
                <w:sz w:val="20"/>
                <w:szCs w:val="20"/>
                <w:color w:val="auto"/>
              </w:rPr>
            </w:pPr>
            <w:r>
              <w:rPr>
                <w:rFonts w:ascii="Times New Roman" w:cs="Times New Roman" w:eastAsia="Times New Roman" w:hAnsi="Times New Roman"/>
                <w:sz w:val="14"/>
                <w:szCs w:val="14"/>
                <w:i w:val="1"/>
                <w:iCs w:val="1"/>
                <w:color w:val="auto"/>
              </w:rPr>
              <w:t>average loss</w:t>
            </w:r>
          </w:p>
        </w:tc>
        <w:tc>
          <w:tcPr>
            <w:tcW w:w="980" w:type="dxa"/>
            <w:vAlign w:val="bottom"/>
            <w:gridSpan w:val="2"/>
            <w:vMerge w:val="restart"/>
          </w:tcPr>
          <w:p>
            <w:pPr>
              <w:jc w:val="center"/>
              <w:ind w:right="301"/>
              <w:spacing w:after="0"/>
              <w:rPr>
                <w:sz w:val="20"/>
                <w:szCs w:val="20"/>
                <w:color w:val="auto"/>
              </w:rPr>
            </w:pPr>
            <w:r>
              <w:rPr>
                <w:rFonts w:ascii="Times New Roman" w:cs="Times New Roman" w:eastAsia="Times New Roman" w:hAnsi="Times New Roman"/>
                <w:sz w:val="14"/>
                <w:szCs w:val="14"/>
                <w:i w:val="1"/>
                <w:iCs w:val="1"/>
                <w:color w:val="auto"/>
              </w:rPr>
              <w:t>ECLs</w:t>
            </w:r>
          </w:p>
        </w:tc>
        <w:tc>
          <w:tcPr>
            <w:tcW w:w="1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i w:val="1"/>
                <w:iCs w:val="1"/>
                <w:color w:val="auto"/>
              </w:rPr>
              <w:t>Loss allowance</w:t>
            </w:r>
          </w:p>
        </w:tc>
        <w:tc>
          <w:tcPr>
            <w:tcW w:w="0" w:type="dxa"/>
            <w:vAlign w:val="bottom"/>
          </w:tcPr>
          <w:p>
            <w:pPr>
              <w:spacing w:after="0"/>
              <w:rPr>
                <w:sz w:val="1"/>
                <w:szCs w:val="1"/>
                <w:color w:val="auto"/>
              </w:rPr>
            </w:pPr>
          </w:p>
        </w:tc>
      </w:tr>
      <w:tr>
        <w:trPr>
          <w:trHeight w:val="151"/>
        </w:trPr>
        <w:tc>
          <w:tcPr>
            <w:tcW w:w="5140" w:type="dxa"/>
            <w:vAlign w:val="bottom"/>
          </w:tcPr>
          <w:p>
            <w:pPr>
              <w:spacing w:after="0"/>
              <w:rPr>
                <w:sz w:val="13"/>
                <w:szCs w:val="13"/>
                <w:color w:val="auto"/>
              </w:rPr>
            </w:pPr>
          </w:p>
        </w:tc>
        <w:tc>
          <w:tcPr>
            <w:tcW w:w="960" w:type="dxa"/>
            <w:vAlign w:val="bottom"/>
            <w:gridSpan w:val="3"/>
          </w:tcPr>
          <w:p>
            <w:pPr>
              <w:jc w:val="center"/>
              <w:ind w:right="320"/>
              <w:spacing w:after="0" w:line="151" w:lineRule="exact"/>
              <w:rPr>
                <w:sz w:val="20"/>
                <w:szCs w:val="20"/>
                <w:color w:val="auto"/>
              </w:rPr>
            </w:pPr>
            <w:r>
              <w:rPr>
                <w:rFonts w:ascii="Times New Roman" w:cs="Times New Roman" w:eastAsia="Times New Roman" w:hAnsi="Times New Roman"/>
                <w:sz w:val="14"/>
                <w:szCs w:val="14"/>
                <w:i w:val="1"/>
                <w:iCs w:val="1"/>
                <w:color w:val="auto"/>
              </w:rPr>
              <w:t>amount</w:t>
            </w:r>
          </w:p>
        </w:tc>
        <w:tc>
          <w:tcPr>
            <w:tcW w:w="1140" w:type="dxa"/>
            <w:vAlign w:val="bottom"/>
            <w:gridSpan w:val="2"/>
          </w:tcPr>
          <w:p>
            <w:pPr>
              <w:jc w:val="center"/>
              <w:ind w:right="148"/>
              <w:spacing w:after="0" w:line="151" w:lineRule="exact"/>
              <w:rPr>
                <w:sz w:val="20"/>
                <w:szCs w:val="20"/>
                <w:color w:val="auto"/>
              </w:rPr>
            </w:pPr>
            <w:r>
              <w:rPr>
                <w:rFonts w:ascii="Times New Roman" w:cs="Times New Roman" w:eastAsia="Times New Roman" w:hAnsi="Times New Roman"/>
                <w:sz w:val="14"/>
                <w:szCs w:val="14"/>
                <w:i w:val="1"/>
                <w:iCs w:val="1"/>
                <w:color w:val="auto"/>
              </w:rPr>
              <w:t>individual basis</w:t>
            </w:r>
          </w:p>
        </w:tc>
        <w:tc>
          <w:tcPr>
            <w:tcW w:w="1340" w:type="dxa"/>
            <w:vAlign w:val="bottom"/>
          </w:tcPr>
          <w:p>
            <w:pPr>
              <w:jc w:val="center"/>
              <w:ind w:right="241"/>
              <w:spacing w:after="0" w:line="151" w:lineRule="exact"/>
              <w:rPr>
                <w:sz w:val="20"/>
                <w:szCs w:val="20"/>
                <w:color w:val="auto"/>
              </w:rPr>
            </w:pPr>
            <w:r>
              <w:rPr>
                <w:rFonts w:ascii="Times New Roman" w:cs="Times New Roman" w:eastAsia="Times New Roman" w:hAnsi="Times New Roman"/>
                <w:sz w:val="14"/>
                <w:szCs w:val="14"/>
                <w:i w:val="1"/>
                <w:iCs w:val="1"/>
                <w:color w:val="auto"/>
              </w:rPr>
              <w:t>rates</w:t>
            </w:r>
          </w:p>
        </w:tc>
        <w:tc>
          <w:tcPr>
            <w:tcW w:w="98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9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color w:val="auto"/>
              </w:rPr>
              <w:t>RMB’000</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gridSpan w:val="2"/>
          </w:tcPr>
          <w:p>
            <w:pPr>
              <w:jc w:val="center"/>
              <w:ind w:right="281"/>
              <w:spacing w:after="0"/>
              <w:rPr>
                <w:sz w:val="20"/>
                <w:szCs w:val="20"/>
                <w:color w:val="auto"/>
              </w:rPr>
            </w:pPr>
            <w:r>
              <w:rPr>
                <w:rFonts w:ascii="Times New Roman" w:cs="Times New Roman" w:eastAsia="Times New Roman" w:hAnsi="Times New Roman"/>
                <w:sz w:val="14"/>
                <w:szCs w:val="14"/>
                <w:color w:val="auto"/>
              </w:rPr>
              <w:t>RMB’000</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343,782</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8.2%</w:t>
            </w:r>
          </w:p>
        </w:tc>
        <w:tc>
          <w:tcPr>
            <w:tcW w:w="9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(28,045)</w:t>
            </w:r>
          </w:p>
        </w:tc>
        <w:tc>
          <w:tcPr>
            <w:tcW w:w="1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(28,045)</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More than 1 year</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138,463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(1,200)</w:t>
            </w:r>
          </w:p>
        </w:tc>
        <w:tc>
          <w:tcPr>
            <w:tcW w:w="1340" w:type="dxa"/>
            <w:vAlign w:val="bottom"/>
          </w:tcPr>
          <w:p>
            <w:pPr>
              <w:jc w:val="right"/>
              <w:ind w:right="241"/>
              <w:spacing w:after="0"/>
              <w:rPr>
                <w:sz w:val="20"/>
                <w:szCs w:val="20"/>
                <w:color w:val="auto"/>
              </w:rPr>
            </w:pPr>
            <w:r>
              <w:rPr>
                <w:rFonts w:ascii="Times New Roman" w:cs="Times New Roman" w:eastAsia="Times New Roman" w:hAnsi="Times New Roman"/>
                <w:sz w:val="18"/>
                <w:szCs w:val="18"/>
                <w:color w:val="auto"/>
              </w:rPr>
              <w:t>16.7%</w:t>
            </w:r>
          </w:p>
        </w:tc>
        <w:tc>
          <w:tcPr>
            <w:tcW w:w="9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(23,116)</w:t>
            </w:r>
          </w:p>
        </w:tc>
        <w:tc>
          <w:tcPr>
            <w:tcW w:w="1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(24,316)</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482,245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(1,200)</w:t>
            </w:r>
          </w:p>
        </w:tc>
        <w:tc>
          <w:tcPr>
            <w:tcW w:w="1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(51,161)</w:t>
            </w:r>
          </w:p>
        </w:tc>
        <w:tc>
          <w:tcPr>
            <w:tcW w:w="1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(52,361)</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i w:val="1"/>
                <w:iCs w:val="1"/>
                <w:color w:val="auto"/>
              </w:rPr>
              <w:t>As of December 31, 2024</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14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vMerge w:val="continue"/>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140" w:type="dxa"/>
            <w:vAlign w:val="bottom"/>
          </w:tcPr>
          <w:p>
            <w:pPr>
              <w:spacing w:after="0"/>
              <w:rPr>
                <w:sz w:val="10"/>
                <w:szCs w:val="10"/>
                <w:color w:val="auto"/>
              </w:rPr>
            </w:pPr>
          </w:p>
        </w:tc>
        <w:tc>
          <w:tcPr>
            <w:tcW w:w="96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Carrying</w:t>
            </w:r>
          </w:p>
        </w:tc>
        <w:tc>
          <w:tcPr>
            <w:tcW w:w="1140" w:type="dxa"/>
            <w:vAlign w:val="bottom"/>
            <w:gridSpan w:val="2"/>
            <w:vMerge w:val="restart"/>
          </w:tcPr>
          <w:p>
            <w:pPr>
              <w:jc w:val="center"/>
              <w:ind w:right="148"/>
              <w:spacing w:after="0"/>
              <w:rPr>
                <w:sz w:val="20"/>
                <w:szCs w:val="20"/>
                <w:color w:val="auto"/>
              </w:rPr>
            </w:pPr>
            <w:r>
              <w:rPr>
                <w:rFonts w:ascii="Times New Roman" w:cs="Times New Roman" w:eastAsia="Times New Roman" w:hAnsi="Times New Roman"/>
                <w:sz w:val="14"/>
                <w:szCs w:val="14"/>
                <w:i w:val="1"/>
                <w:iCs w:val="1"/>
                <w:color w:val="auto"/>
              </w:rPr>
              <w:t>Provision on</w:t>
            </w:r>
          </w:p>
        </w:tc>
        <w:tc>
          <w:tcPr>
            <w:tcW w:w="1340" w:type="dxa"/>
            <w:vAlign w:val="bottom"/>
          </w:tcPr>
          <w:p>
            <w:pPr>
              <w:jc w:val="center"/>
              <w:ind w:right="241"/>
              <w:spacing w:after="0" w:line="118" w:lineRule="exact"/>
              <w:rPr>
                <w:sz w:val="20"/>
                <w:szCs w:val="20"/>
                <w:color w:val="auto"/>
              </w:rPr>
            </w:pPr>
            <w:r>
              <w:rPr>
                <w:rFonts w:ascii="Times New Roman" w:cs="Times New Roman" w:eastAsia="Times New Roman" w:hAnsi="Times New Roman"/>
                <w:sz w:val="13"/>
                <w:szCs w:val="13"/>
                <w:i w:val="1"/>
                <w:iCs w:val="1"/>
                <w:color w:val="auto"/>
              </w:rPr>
              <w:t>Weighted</w:t>
            </w: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40" w:type="dxa"/>
            <w:vAlign w:val="bottom"/>
          </w:tcPr>
          <w:p>
            <w:pPr>
              <w:jc w:val="center"/>
              <w:ind w:right="241"/>
              <w:spacing w:after="0" w:line="149" w:lineRule="exact"/>
              <w:rPr>
                <w:sz w:val="20"/>
                <w:szCs w:val="20"/>
                <w:color w:val="auto"/>
              </w:rPr>
            </w:pPr>
            <w:r>
              <w:rPr>
                <w:rFonts w:ascii="Times New Roman" w:cs="Times New Roman" w:eastAsia="Times New Roman" w:hAnsi="Times New Roman"/>
                <w:sz w:val="14"/>
                <w:szCs w:val="14"/>
                <w:i w:val="1"/>
                <w:iCs w:val="1"/>
                <w:color w:val="auto"/>
              </w:rPr>
              <w:t>average loss</w:t>
            </w:r>
          </w:p>
        </w:tc>
        <w:tc>
          <w:tcPr>
            <w:tcW w:w="980" w:type="dxa"/>
            <w:vAlign w:val="bottom"/>
            <w:gridSpan w:val="2"/>
            <w:vMerge w:val="restart"/>
          </w:tcPr>
          <w:p>
            <w:pPr>
              <w:jc w:val="center"/>
              <w:ind w:right="301"/>
              <w:spacing w:after="0"/>
              <w:rPr>
                <w:sz w:val="20"/>
                <w:szCs w:val="20"/>
                <w:color w:val="auto"/>
              </w:rPr>
            </w:pPr>
            <w:r>
              <w:rPr>
                <w:rFonts w:ascii="Times New Roman" w:cs="Times New Roman" w:eastAsia="Times New Roman" w:hAnsi="Times New Roman"/>
                <w:sz w:val="14"/>
                <w:szCs w:val="14"/>
                <w:i w:val="1"/>
                <w:iCs w:val="1"/>
                <w:color w:val="auto"/>
              </w:rPr>
              <w:t>ECLs</w:t>
            </w:r>
          </w:p>
        </w:tc>
        <w:tc>
          <w:tcPr>
            <w:tcW w:w="1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i w:val="1"/>
                <w:iCs w:val="1"/>
                <w:color w:val="auto"/>
              </w:rPr>
              <w:t>Loss allowance</w:t>
            </w:r>
          </w:p>
        </w:tc>
        <w:tc>
          <w:tcPr>
            <w:tcW w:w="0" w:type="dxa"/>
            <w:vAlign w:val="bottom"/>
          </w:tcPr>
          <w:p>
            <w:pPr>
              <w:spacing w:after="0"/>
              <w:rPr>
                <w:sz w:val="1"/>
                <w:szCs w:val="1"/>
                <w:color w:val="auto"/>
              </w:rPr>
            </w:pPr>
          </w:p>
        </w:tc>
      </w:tr>
      <w:tr>
        <w:trPr>
          <w:trHeight w:val="151"/>
        </w:trPr>
        <w:tc>
          <w:tcPr>
            <w:tcW w:w="5140" w:type="dxa"/>
            <w:vAlign w:val="bottom"/>
          </w:tcPr>
          <w:p>
            <w:pPr>
              <w:spacing w:after="0"/>
              <w:rPr>
                <w:sz w:val="13"/>
                <w:szCs w:val="13"/>
                <w:color w:val="auto"/>
              </w:rPr>
            </w:pPr>
          </w:p>
        </w:tc>
        <w:tc>
          <w:tcPr>
            <w:tcW w:w="960" w:type="dxa"/>
            <w:vAlign w:val="bottom"/>
            <w:gridSpan w:val="3"/>
          </w:tcPr>
          <w:p>
            <w:pPr>
              <w:jc w:val="center"/>
              <w:ind w:right="320"/>
              <w:spacing w:after="0" w:line="151" w:lineRule="exact"/>
              <w:rPr>
                <w:sz w:val="20"/>
                <w:szCs w:val="20"/>
                <w:color w:val="auto"/>
              </w:rPr>
            </w:pPr>
            <w:r>
              <w:rPr>
                <w:rFonts w:ascii="Times New Roman" w:cs="Times New Roman" w:eastAsia="Times New Roman" w:hAnsi="Times New Roman"/>
                <w:sz w:val="14"/>
                <w:szCs w:val="14"/>
                <w:i w:val="1"/>
                <w:iCs w:val="1"/>
                <w:color w:val="auto"/>
              </w:rPr>
              <w:t>amount</w:t>
            </w:r>
          </w:p>
        </w:tc>
        <w:tc>
          <w:tcPr>
            <w:tcW w:w="1140" w:type="dxa"/>
            <w:vAlign w:val="bottom"/>
            <w:gridSpan w:val="2"/>
          </w:tcPr>
          <w:p>
            <w:pPr>
              <w:jc w:val="center"/>
              <w:ind w:right="148"/>
              <w:spacing w:after="0" w:line="151" w:lineRule="exact"/>
              <w:rPr>
                <w:sz w:val="20"/>
                <w:szCs w:val="20"/>
                <w:color w:val="auto"/>
              </w:rPr>
            </w:pPr>
            <w:r>
              <w:rPr>
                <w:rFonts w:ascii="Times New Roman" w:cs="Times New Roman" w:eastAsia="Times New Roman" w:hAnsi="Times New Roman"/>
                <w:sz w:val="14"/>
                <w:szCs w:val="14"/>
                <w:i w:val="1"/>
                <w:iCs w:val="1"/>
                <w:color w:val="auto"/>
              </w:rPr>
              <w:t>individual basis</w:t>
            </w:r>
          </w:p>
        </w:tc>
        <w:tc>
          <w:tcPr>
            <w:tcW w:w="1340" w:type="dxa"/>
            <w:vAlign w:val="bottom"/>
          </w:tcPr>
          <w:p>
            <w:pPr>
              <w:jc w:val="center"/>
              <w:ind w:right="241"/>
              <w:spacing w:after="0" w:line="151" w:lineRule="exact"/>
              <w:rPr>
                <w:sz w:val="20"/>
                <w:szCs w:val="20"/>
                <w:color w:val="auto"/>
              </w:rPr>
            </w:pPr>
            <w:r>
              <w:rPr>
                <w:rFonts w:ascii="Times New Roman" w:cs="Times New Roman" w:eastAsia="Times New Roman" w:hAnsi="Times New Roman"/>
                <w:sz w:val="14"/>
                <w:szCs w:val="14"/>
                <w:i w:val="1"/>
                <w:iCs w:val="1"/>
                <w:color w:val="auto"/>
              </w:rPr>
              <w:t>rates</w:t>
            </w:r>
          </w:p>
        </w:tc>
        <w:tc>
          <w:tcPr>
            <w:tcW w:w="98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9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color w:val="auto"/>
              </w:rPr>
              <w:t>RMB’000</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gridSpan w:val="2"/>
          </w:tcPr>
          <w:p>
            <w:pPr>
              <w:jc w:val="center"/>
              <w:ind w:right="281"/>
              <w:spacing w:after="0"/>
              <w:rPr>
                <w:sz w:val="20"/>
                <w:szCs w:val="20"/>
                <w:color w:val="auto"/>
              </w:rPr>
            </w:pPr>
            <w:r>
              <w:rPr>
                <w:rFonts w:ascii="Times New Roman" w:cs="Times New Roman" w:eastAsia="Times New Roman" w:hAnsi="Times New Roman"/>
                <w:sz w:val="14"/>
                <w:szCs w:val="14"/>
                <w:color w:val="auto"/>
              </w:rPr>
              <w:t>RMB’000</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242,657</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8.9%</w:t>
            </w:r>
          </w:p>
        </w:tc>
        <w:tc>
          <w:tcPr>
            <w:tcW w:w="9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(21,628)</w:t>
            </w:r>
          </w:p>
        </w:tc>
        <w:tc>
          <w:tcPr>
            <w:tcW w:w="1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(21,628)</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1 to 2 years</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59,470</w:t>
            </w:r>
          </w:p>
        </w:tc>
        <w:tc>
          <w:tcPr>
            <w:tcW w:w="300" w:type="dxa"/>
            <w:vAlign w:val="bottom"/>
          </w:tcPr>
          <w:p>
            <w:pPr>
              <w:spacing w:after="0"/>
              <w:rPr>
                <w:sz w:val="18"/>
                <w:szCs w:val="18"/>
                <w:color w:val="auto"/>
              </w:rPr>
            </w:pPr>
          </w:p>
        </w:tc>
        <w:tc>
          <w:tcPr>
            <w:tcW w:w="11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ind w:right="241"/>
              <w:spacing w:after="0"/>
              <w:rPr>
                <w:sz w:val="20"/>
                <w:szCs w:val="20"/>
                <w:color w:val="auto"/>
              </w:rPr>
            </w:pPr>
            <w:r>
              <w:rPr>
                <w:rFonts w:ascii="Times New Roman" w:cs="Times New Roman" w:eastAsia="Times New Roman" w:hAnsi="Times New Roman"/>
                <w:sz w:val="18"/>
                <w:szCs w:val="18"/>
                <w:color w:val="auto"/>
              </w:rPr>
              <w:t>20.5%</w:t>
            </w:r>
          </w:p>
        </w:tc>
        <w:tc>
          <w:tcPr>
            <w:tcW w:w="9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(12,195)</w:t>
            </w:r>
          </w:p>
        </w:tc>
        <w:tc>
          <w:tcPr>
            <w:tcW w:w="1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(12,195)</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More than 2 years</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105,124</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(1,410)</w:t>
            </w:r>
          </w:p>
        </w:tc>
        <w:tc>
          <w:tcPr>
            <w:tcW w:w="134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43.6%</w:t>
            </w:r>
          </w:p>
        </w:tc>
        <w:tc>
          <w:tcPr>
            <w:tcW w:w="9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(45,811)</w:t>
            </w:r>
          </w:p>
        </w:tc>
        <w:tc>
          <w:tcPr>
            <w:tcW w:w="1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(47,221)</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407,251</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w w:val="83"/>
              </w:rPr>
              <w:t>(1,410)</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(79,634</w:t>
            </w:r>
          </w:p>
        </w:tc>
        <w:tc>
          <w:tcPr>
            <w:tcW w:w="360" w:type="dxa"/>
            <w:vAlign w:val="bottom"/>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w w:val="87"/>
              </w:rPr>
              <w:t>(81,044)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right="320"/>
        <w:spacing w:after="0" w:line="282" w:lineRule="auto"/>
        <w:rPr>
          <w:sz w:val="20"/>
          <w:szCs w:val="20"/>
          <w:color w:val="auto"/>
        </w:rPr>
      </w:pPr>
      <w:r>
        <w:rPr>
          <w:rFonts w:ascii="Times New Roman" w:cs="Times New Roman" w:eastAsia="Times New Roman" w:hAnsi="Times New Roman"/>
          <w:sz w:val="18"/>
          <w:szCs w:val="18"/>
          <w:color w:val="auto"/>
        </w:rPr>
        <w:t>Movement in the loss allowance account in respect of trade receivables, amounts due from related parties, contract assets and receivables from payments made on behalf of customers during the years presented is as follows: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8200" w:type="dxa"/>
            <w:vAlign w:val="bottom"/>
          </w:tcPr>
          <w:p>
            <w:pPr>
              <w:spacing w:after="0"/>
              <w:rPr>
                <w:sz w:val="15"/>
                <w:szCs w:val="15"/>
                <w:color w:val="auto"/>
              </w:rPr>
            </w:pPr>
          </w:p>
        </w:tc>
        <w:tc>
          <w:tcPr>
            <w:tcW w:w="2380" w:type="dxa"/>
            <w:vAlign w:val="bottom"/>
            <w:gridSpan w:val="7"/>
          </w:tcPr>
          <w:p>
            <w:pPr>
              <w:jc w:val="right"/>
              <w:ind w:right="201"/>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r>
      <w:tr>
        <w:trPr>
          <w:trHeight w:val="142"/>
        </w:trPr>
        <w:tc>
          <w:tcPr>
            <w:tcW w:w="820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78"/>
              <w:spacing w:after="0" w:line="142" w:lineRule="exact"/>
              <w:rPr>
                <w:sz w:val="20"/>
                <w:szCs w:val="20"/>
                <w:color w:val="auto"/>
              </w:rPr>
            </w:pPr>
            <w:r>
              <w:rPr>
                <w:rFonts w:ascii="Times New Roman" w:cs="Times New Roman" w:eastAsia="Times New Roman" w:hAnsi="Times New Roman"/>
                <w:sz w:val="14"/>
                <w:szCs w:val="14"/>
                <w:i w:val="1"/>
                <w:iCs w:val="1"/>
                <w:color w:val="auto"/>
              </w:rPr>
              <w:t>2022</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i w:val="1"/>
                <w:iCs w:val="1"/>
                <w:color w:val="auto"/>
              </w:rPr>
              <w:t>2023</w:t>
            </w: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i w:val="1"/>
                <w:iCs w:val="1"/>
                <w:color w:val="auto"/>
              </w:rPr>
              <w:t>2024</w:t>
            </w:r>
          </w:p>
        </w:tc>
        <w:tc>
          <w:tcPr>
            <w:tcW w:w="120" w:type="dxa"/>
            <w:vAlign w:val="bottom"/>
          </w:tcPr>
          <w:p>
            <w:pPr>
              <w:spacing w:after="0"/>
              <w:rPr>
                <w:sz w:val="12"/>
                <w:szCs w:val="12"/>
                <w:color w:val="auto"/>
              </w:rPr>
            </w:pPr>
          </w:p>
        </w:tc>
      </w:tr>
      <w:tr>
        <w:trPr>
          <w:trHeight w:val="142"/>
        </w:trPr>
        <w:tc>
          <w:tcPr>
            <w:tcW w:w="8200" w:type="dxa"/>
            <w:vAlign w:val="bottom"/>
          </w:tcPr>
          <w:p>
            <w:pPr>
              <w:spacing w:after="0"/>
              <w:rPr>
                <w:sz w:val="12"/>
                <w:szCs w:val="12"/>
                <w:color w:val="auto"/>
              </w:rPr>
            </w:pPr>
          </w:p>
        </w:tc>
        <w:tc>
          <w:tcPr>
            <w:tcW w:w="6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200" w:type="dxa"/>
            <w:vAlign w:val="bottom"/>
            <w:gridSpan w:val="2"/>
          </w:tcPr>
          <w:p>
            <w:pPr>
              <w:spacing w:after="0"/>
              <w:rPr>
                <w:sz w:val="12"/>
                <w:szCs w:val="12"/>
                <w:color w:val="auto"/>
              </w:rPr>
            </w:pPr>
          </w:p>
        </w:tc>
        <w:tc>
          <w:tcPr>
            <w:tcW w:w="6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200" w:type="dxa"/>
            <w:vAlign w:val="bottom"/>
          </w:tcPr>
          <w:p>
            <w:pPr>
              <w:spacing w:after="0"/>
              <w:rPr>
                <w:sz w:val="12"/>
                <w:szCs w:val="12"/>
                <w:color w:val="auto"/>
              </w:rPr>
            </w:pPr>
          </w:p>
        </w:tc>
        <w:tc>
          <w:tcPr>
            <w:tcW w:w="6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120" w:type="dxa"/>
            <w:vAlign w:val="bottom"/>
          </w:tcPr>
          <w:p>
            <w:pPr>
              <w:spacing w:after="0"/>
              <w:rPr>
                <w:sz w:val="12"/>
                <w:szCs w:val="12"/>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w:t>
            </w: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(448)</w:t>
            </w:r>
          </w:p>
        </w:tc>
        <w:tc>
          <w:tcPr>
            <w:tcW w:w="8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(12,144)</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(52,361)</w:t>
            </w: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Credit loss recognized during the year</w:t>
            </w: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(11,696)</w:t>
            </w:r>
          </w:p>
        </w:tc>
        <w:tc>
          <w:tcPr>
            <w:tcW w:w="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(40,217)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(28,664)</w:t>
            </w: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8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(12,144</w:t>
            </w:r>
          </w:p>
        </w:tc>
        <w:tc>
          <w:tcPr>
            <w:tcW w:w="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(52,361</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(81,044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8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2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Liquidity risk</w:t>
      </w:r>
    </w:p>
    <w:p>
      <w:pPr>
        <w:spacing w:after="0" w:line="121" w:lineRule="exact"/>
        <w:rPr>
          <w:rFonts w:ascii="Times New Roman" w:cs="Times New Roman" w:eastAsia="Times New Roman" w:hAnsi="Times New Roman"/>
          <w:sz w:val="18"/>
          <w:szCs w:val="18"/>
          <w:b w:val="1"/>
          <w:bCs w:val="1"/>
          <w:i w:val="1"/>
          <w:iCs w:val="1"/>
          <w:color w:val="auto"/>
        </w:rPr>
      </w:pPr>
    </w:p>
    <w:p>
      <w:pPr>
        <w:ind w:left="560" w:right="24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Individual operating entities within the Group are responsible for their own cash management, including the short-term investment of cash surpluses and the raising of loans to cover expected cash demands, subject to the approval by the Company’s Board of Directors when the loans and borrowings exceed certain predetermined levels of authority. The Group’s policy is to regularly monitor its liquidity requirements and its compliance with lending covenants, to ensure that it maintains sufficient reserves of cash and adequate committed lines of funding from major financial institutions to meet its liquidity requirements in the short and longer term.</w:t>
      </w:r>
    </w:p>
    <w:p>
      <w:pPr>
        <w:spacing w:after="0" w:line="75" w:lineRule="exact"/>
        <w:rPr>
          <w:rFonts w:ascii="Times New Roman" w:cs="Times New Roman" w:eastAsia="Times New Roman" w:hAnsi="Times New Roman"/>
          <w:sz w:val="18"/>
          <w:szCs w:val="18"/>
          <w:b w:val="1"/>
          <w:bCs w:val="1"/>
          <w:i w:val="1"/>
          <w:iCs w:val="1"/>
          <w:color w:val="auto"/>
        </w:rPr>
      </w:pPr>
    </w:p>
    <w:p>
      <w:pPr>
        <w:ind w:left="560" w:right="2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following tables show the remaining contractual maturities at the end of the years presented of the Group’s financial liabilities, based on undiscounted cash flows (including interest payments computed using contractual rates or, if floating, based on current rates at the end of the years presented) and the earliest date the Group can be required to pay.</w:t>
      </w:r>
    </w:p>
    <w:p>
      <w:pPr>
        <w:spacing w:after="0" w:line="19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6"/>
          </w:tcPr>
          <w:p>
            <w:pPr>
              <w:ind w:left="540"/>
              <w:spacing w:after="0"/>
              <w:rPr>
                <w:sz w:val="20"/>
                <w:szCs w:val="20"/>
                <w:color w:val="auto"/>
              </w:rPr>
            </w:pPr>
            <w:r>
              <w:rPr>
                <w:rFonts w:ascii="Times New Roman" w:cs="Times New Roman" w:eastAsia="Times New Roman" w:hAnsi="Times New Roman"/>
                <w:sz w:val="14"/>
                <w:szCs w:val="14"/>
                <w:i w:val="1"/>
                <w:iCs w:val="1"/>
                <w:color w:val="auto"/>
              </w:rPr>
              <w:t>As of December 31, 2023</w:t>
            </w: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i w:val="1"/>
                <w:iCs w:val="1"/>
                <w:color w:val="auto"/>
              </w:rPr>
              <w:t>Total</w:t>
            </w: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i w:val="1"/>
                <w:iCs w:val="1"/>
                <w:color w:val="auto"/>
              </w:rPr>
              <w:t>Within</w:t>
            </w:r>
          </w:p>
        </w:tc>
        <w:tc>
          <w:tcPr>
            <w:tcW w:w="860" w:type="dxa"/>
            <w:vAlign w:val="bottom"/>
            <w:gridSpan w:val="2"/>
          </w:tcPr>
          <w:p>
            <w:pPr>
              <w:jc w:val="right"/>
              <w:ind w:right="260"/>
              <w:spacing w:after="0" w:line="118" w:lineRule="exact"/>
              <w:rPr>
                <w:sz w:val="20"/>
                <w:szCs w:val="20"/>
                <w:color w:val="auto"/>
              </w:rPr>
            </w:pPr>
            <w:r>
              <w:rPr>
                <w:rFonts w:ascii="Times New Roman" w:cs="Times New Roman" w:eastAsia="Times New Roman" w:hAnsi="Times New Roman"/>
                <w:sz w:val="13"/>
                <w:szCs w:val="13"/>
                <w:i w:val="1"/>
                <w:iCs w:val="1"/>
                <w:color w:val="auto"/>
              </w:rPr>
              <w:t>More than</w:t>
            </w: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i w:val="1"/>
                <w:i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i w:val="1"/>
                <w:iCs w:val="1"/>
                <w:color w:val="auto"/>
              </w:rPr>
              <w:t>Carrying</w:t>
            </w: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i w:val="1"/>
                <w:iCs w:val="1"/>
                <w:color w:val="auto"/>
              </w:rPr>
              <w:t>contractual</w:t>
            </w:r>
          </w:p>
        </w:tc>
        <w:tc>
          <w:tcPr>
            <w:tcW w:w="900" w:type="dxa"/>
            <w:vAlign w:val="bottom"/>
            <w:gridSpan w:val="2"/>
            <w:vMerge w:val="continue"/>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i w:val="1"/>
                <w:iCs w:val="1"/>
                <w:color w:val="auto"/>
              </w:rPr>
              <w:t>1 year but</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i w:val="1"/>
                <w:iCs w:val="1"/>
                <w:color w:val="auto"/>
              </w:rPr>
              <w:t>2 years but</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i w:val="1"/>
                <w:iCs w:val="1"/>
                <w:color w:val="auto"/>
              </w:rPr>
              <w:t>undiscounted</w:t>
            </w: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i w:val="1"/>
                <w:iCs w:val="1"/>
                <w:color w:val="auto"/>
              </w:rPr>
              <w:t>1 year or</w:t>
            </w: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i w:val="1"/>
                <w:iCs w:val="1"/>
                <w:color w:val="auto"/>
              </w:rPr>
              <w:t>within</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i w:val="1"/>
                <w:iCs w:val="1"/>
                <w:color w:val="auto"/>
              </w:rPr>
              <w:t>within</w:t>
            </w:r>
          </w:p>
        </w:tc>
        <w:tc>
          <w:tcPr>
            <w:tcW w:w="0" w:type="dxa"/>
            <w:vAlign w:val="bottom"/>
          </w:tcPr>
          <w:p>
            <w:pPr>
              <w:spacing w:after="0"/>
              <w:rPr>
                <w:sz w:val="1"/>
                <w:szCs w:val="1"/>
                <w:color w:val="auto"/>
              </w:rPr>
            </w:pPr>
          </w:p>
        </w:tc>
      </w:tr>
      <w:tr>
        <w:trPr>
          <w:trHeight w:val="173"/>
        </w:trPr>
        <w:tc>
          <w:tcPr>
            <w:tcW w:w="618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i w:val="1"/>
                <w:iCs w:val="1"/>
                <w:color w:val="auto"/>
              </w:rPr>
              <w:t>amount</w:t>
            </w: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i w:val="1"/>
                <w:iCs w:val="1"/>
                <w:color w:val="auto"/>
              </w:rPr>
              <w:t>cash flow</w:t>
            </w: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i w:val="1"/>
                <w:iCs w:val="1"/>
                <w:color w:val="auto"/>
              </w:rPr>
              <w:t>on demand</w:t>
            </w: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i w:val="1"/>
                <w:iCs w:val="1"/>
                <w:color w:val="auto"/>
              </w:rPr>
              <w:t>2 years</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i w:val="1"/>
                <w:iCs w:val="1"/>
                <w:color w:val="auto"/>
              </w:rPr>
              <w:t>5 years</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Put option liabilities</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40,449</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41,580</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41,580</w:t>
            </w: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16,962</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16,962</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16,962</w:t>
            </w:r>
          </w:p>
        </w:tc>
        <w:tc>
          <w:tcPr>
            <w:tcW w:w="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 deposits received and accrued expenses</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271,306</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271,306</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271,306</w:t>
            </w:r>
          </w:p>
        </w:tc>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53,407</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57,674</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34,602</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16,332</w:t>
            </w:r>
          </w:p>
        </w:tc>
        <w:tc>
          <w:tcPr>
            <w:tcW w:w="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6,740</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77,827</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77,827</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77,827</w:t>
            </w:r>
          </w:p>
        </w:tc>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1"/>
        </w:trPr>
        <w:tc>
          <w:tcPr>
            <w:tcW w:w="618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Total financial liabilities that are settled by delivering cash or another</w:t>
            </w:r>
          </w:p>
        </w:tc>
        <w:tc>
          <w:tcPr>
            <w:tcW w:w="6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financial asset except for preferred shares and other financial instruments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subject to redemption and other preferential rights</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459,951</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465,349</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400,697</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57,912</w:t>
            </w:r>
          </w:p>
        </w:tc>
        <w:tc>
          <w:tcPr>
            <w:tcW w:w="7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6,740</w:t>
            </w:r>
          </w:p>
        </w:tc>
        <w:tc>
          <w:tcPr>
            <w:tcW w:w="0" w:type="dxa"/>
            <w:vAlign w:val="bottom"/>
          </w:tcPr>
          <w:p>
            <w:pPr>
              <w:spacing w:after="0"/>
              <w:rPr>
                <w:sz w:val="1"/>
                <w:szCs w:val="1"/>
                <w:color w:val="auto"/>
              </w:rPr>
            </w:pPr>
          </w:p>
        </w:tc>
      </w:tr>
      <w:tr>
        <w:trPr>
          <w:trHeight w:val="20"/>
        </w:trPr>
        <w:tc>
          <w:tcPr>
            <w:tcW w:w="6180" w:type="dxa"/>
            <w:vAlign w:val="bottom"/>
            <w:vMerge w:val="restart"/>
          </w:tcPr>
          <w:p>
            <w:pPr>
              <w:ind w:left="4900"/>
              <w:spacing w:after="0"/>
              <w:rPr>
                <w:sz w:val="20"/>
                <w:szCs w:val="20"/>
                <w:color w:val="auto"/>
              </w:rPr>
            </w:pPr>
            <w:r>
              <w:rPr>
                <w:rFonts w:ascii="Times New Roman" w:cs="Times New Roman" w:eastAsia="Times New Roman" w:hAnsi="Times New Roman"/>
                <w:sz w:val="18"/>
                <w:szCs w:val="18"/>
                <w:color w:val="auto"/>
              </w:rPr>
              <w:t>F-70</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18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6"/>
          </w:tcPr>
          <w:p>
            <w:pPr>
              <w:ind w:left="540"/>
              <w:spacing w:after="0"/>
              <w:rPr>
                <w:sz w:val="20"/>
                <w:szCs w:val="20"/>
                <w:color w:val="auto"/>
              </w:rPr>
            </w:pPr>
            <w:r>
              <w:rPr>
                <w:rFonts w:ascii="Times New Roman" w:cs="Times New Roman" w:eastAsia="Times New Roman" w:hAnsi="Times New Roman"/>
                <w:sz w:val="14"/>
                <w:szCs w:val="14"/>
                <w:i w:val="1"/>
                <w:iCs w:val="1"/>
                <w:color w:val="auto"/>
              </w:rPr>
              <w:t>As of December 31, 2024</w:t>
            </w: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i w:val="1"/>
                <w:iCs w:val="1"/>
                <w:color w:val="auto"/>
              </w:rPr>
              <w:t>Total</w:t>
            </w: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i w:val="1"/>
                <w:iCs w:val="1"/>
                <w:color w:val="auto"/>
              </w:rPr>
              <w:t>Within</w:t>
            </w:r>
          </w:p>
        </w:tc>
        <w:tc>
          <w:tcPr>
            <w:tcW w:w="860" w:type="dxa"/>
            <w:vAlign w:val="bottom"/>
            <w:gridSpan w:val="2"/>
          </w:tcPr>
          <w:p>
            <w:pPr>
              <w:jc w:val="right"/>
              <w:ind w:right="260"/>
              <w:spacing w:after="0" w:line="118" w:lineRule="exact"/>
              <w:rPr>
                <w:sz w:val="20"/>
                <w:szCs w:val="20"/>
                <w:color w:val="auto"/>
              </w:rPr>
            </w:pPr>
            <w:r>
              <w:rPr>
                <w:rFonts w:ascii="Times New Roman" w:cs="Times New Roman" w:eastAsia="Times New Roman" w:hAnsi="Times New Roman"/>
                <w:sz w:val="13"/>
                <w:szCs w:val="13"/>
                <w:i w:val="1"/>
                <w:iCs w:val="1"/>
                <w:color w:val="auto"/>
              </w:rPr>
              <w:t>More than</w:t>
            </w: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i w:val="1"/>
                <w:i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i w:val="1"/>
                <w:iCs w:val="1"/>
                <w:color w:val="auto"/>
              </w:rPr>
              <w:t>Carrying</w:t>
            </w: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i w:val="1"/>
                <w:iCs w:val="1"/>
                <w:color w:val="auto"/>
              </w:rPr>
              <w:t>contractual</w:t>
            </w:r>
          </w:p>
        </w:tc>
        <w:tc>
          <w:tcPr>
            <w:tcW w:w="900" w:type="dxa"/>
            <w:vAlign w:val="bottom"/>
            <w:gridSpan w:val="2"/>
            <w:vMerge w:val="continue"/>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i w:val="1"/>
                <w:iCs w:val="1"/>
                <w:color w:val="auto"/>
              </w:rPr>
              <w:t>1 year but</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i w:val="1"/>
                <w:iCs w:val="1"/>
                <w:color w:val="auto"/>
              </w:rPr>
              <w:t>2 years but</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i w:val="1"/>
                <w:iCs w:val="1"/>
                <w:color w:val="auto"/>
              </w:rPr>
              <w:t>undiscounted</w:t>
            </w: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i w:val="1"/>
                <w:iCs w:val="1"/>
                <w:color w:val="auto"/>
              </w:rPr>
              <w:t>1 year or</w:t>
            </w:r>
          </w:p>
        </w:tc>
        <w:tc>
          <w:tcPr>
            <w:tcW w:w="8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i w:val="1"/>
                <w:iCs w:val="1"/>
                <w:color w:val="auto"/>
              </w:rPr>
              <w:t>within</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i w:val="1"/>
                <w:iCs w:val="1"/>
                <w:color w:val="auto"/>
              </w:rPr>
              <w:t>within</w:t>
            </w:r>
          </w:p>
        </w:tc>
        <w:tc>
          <w:tcPr>
            <w:tcW w:w="0" w:type="dxa"/>
            <w:vAlign w:val="bottom"/>
          </w:tcPr>
          <w:p>
            <w:pPr>
              <w:spacing w:after="0"/>
              <w:rPr>
                <w:sz w:val="1"/>
                <w:szCs w:val="1"/>
                <w:color w:val="auto"/>
              </w:rPr>
            </w:pPr>
          </w:p>
        </w:tc>
      </w:tr>
      <w:tr>
        <w:trPr>
          <w:trHeight w:val="173"/>
        </w:trPr>
        <w:tc>
          <w:tcPr>
            <w:tcW w:w="618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i w:val="1"/>
                <w:iCs w:val="1"/>
                <w:color w:val="auto"/>
              </w:rPr>
              <w:t>amount</w:t>
            </w: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i w:val="1"/>
                <w:iCs w:val="1"/>
                <w:color w:val="auto"/>
              </w:rPr>
              <w:t>cash flow</w:t>
            </w: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i w:val="1"/>
                <w:iCs w:val="1"/>
                <w:color w:val="auto"/>
              </w:rPr>
              <w:t>on demand</w:t>
            </w: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i w:val="1"/>
                <w:iCs w:val="1"/>
                <w:color w:val="auto"/>
              </w:rPr>
              <w:t>2 years</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i w:val="1"/>
                <w:iCs w:val="1"/>
                <w:color w:val="auto"/>
              </w:rPr>
              <w:t>5 years</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Put option liabilities</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41,099</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41,580</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41,580</w:t>
            </w:r>
          </w:p>
        </w:tc>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20,713</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20,713</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20,713</w:t>
            </w:r>
          </w:p>
        </w:tc>
        <w:tc>
          <w:tcPr>
            <w:tcW w:w="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bank loan</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50,040</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52,984</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52,984</w:t>
            </w: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Short-term bank loans</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30,019</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30,019</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30,019</w:t>
            </w:r>
          </w:p>
        </w:tc>
        <w:tc>
          <w:tcPr>
            <w:tcW w:w="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 deposits received and accrued expenses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397,755</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397,755</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397,755</w:t>
            </w:r>
          </w:p>
        </w:tc>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62,959</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67,175</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38,524</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22,761</w:t>
            </w:r>
          </w:p>
        </w:tc>
        <w:tc>
          <w:tcPr>
            <w:tcW w:w="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5,890</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9,450</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9,450</w:t>
            </w:r>
          </w:p>
        </w:tc>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1"/>
        </w:trPr>
        <w:tc>
          <w:tcPr>
            <w:tcW w:w="618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Total financial liabilities that are settled by delivering cash or another</w:t>
            </w:r>
          </w:p>
        </w:tc>
        <w:tc>
          <w:tcPr>
            <w:tcW w:w="6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financial asset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612,035</w:t>
            </w:r>
          </w:p>
        </w:tc>
        <w:tc>
          <w:tcPr>
            <w:tcW w:w="2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619,676</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538,041</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75,745</w:t>
            </w:r>
          </w:p>
        </w:tc>
        <w:tc>
          <w:tcPr>
            <w:tcW w:w="7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5,890</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carrying amount of preferred shares and other financial instruments subject to redemption and other preferential rights was</w:t>
      </w:r>
    </w:p>
    <w:p>
      <w:pPr>
        <w:spacing w:after="0" w:line="27" w:lineRule="exact"/>
        <w:rPr>
          <w:sz w:val="20"/>
          <w:szCs w:val="20"/>
          <w:color w:val="auto"/>
        </w:rPr>
      </w:pPr>
    </w:p>
    <w:p>
      <w:pPr>
        <w:ind w:left="560" w:right="180"/>
        <w:spacing w:after="0" w:line="273" w:lineRule="auto"/>
        <w:rPr>
          <w:sz w:val="20"/>
          <w:szCs w:val="20"/>
          <w:color w:val="auto"/>
        </w:rPr>
      </w:pPr>
      <w:r>
        <w:rPr>
          <w:rFonts w:ascii="Times New Roman" w:cs="Times New Roman" w:eastAsia="Times New Roman" w:hAnsi="Times New Roman"/>
          <w:sz w:val="17"/>
          <w:szCs w:val="17"/>
          <w:color w:val="auto"/>
        </w:rPr>
        <w:t>RMB8,181.7 million as of December 31, 2023. The carrying amount represented the maximum amounts that the Company could be required to pay upon occurrence of specified contingent events. As some of these triggering events, such as change of control of the Company could happen at any time, the Group may be required to pay the carrying amounts upon such events. These contingent redemption obligations automatically expired when the preferred shares were converted into ordinary shares upon the completion of the Company’s IPO on October 25, 2024.</w:t>
      </w:r>
    </w:p>
    <w:p>
      <w:pPr>
        <w:spacing w:after="0" w:line="317" w:lineRule="exact"/>
        <w:rPr>
          <w:sz w:val="20"/>
          <w:szCs w:val="20"/>
          <w:color w:val="auto"/>
        </w:rPr>
      </w:pPr>
    </w:p>
    <w:p>
      <w:pPr>
        <w:ind w:left="540" w:hanging="424"/>
        <w:spacing w:after="0"/>
        <w:tabs>
          <w:tab w:leader="none" w:pos="540" w:val="left"/>
        </w:tabs>
        <w:numPr>
          <w:ilvl w:val="0"/>
          <w:numId w:val="2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rFonts w:ascii="Times New Roman" w:cs="Times New Roman" w:eastAsia="Times New Roman" w:hAnsi="Times New Roman"/>
          <w:sz w:val="18"/>
          <w:szCs w:val="18"/>
          <w:b w:val="1"/>
          <w:bCs w:val="1"/>
          <w:i w:val="1"/>
          <w:iCs w:val="1"/>
          <w:color w:val="auto"/>
        </w:rPr>
      </w:pPr>
    </w:p>
    <w:p>
      <w:pPr>
        <w:ind w:left="560" w:right="2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Interest-bearing financial instruments at variable rates and at fixed rates expose the Group to cash flow interest rate risk and fair value interest risk, respectively. The Group determines the appropriate weightings of the fixed and floating rate interest-bearing instruments based on the current market conditions and performs regular reviews and monitoring to achieve an appropriate mix of fixed and floating rate exposure. The Group does not enter into financial derivatives to hedge interest rate risk.</w:t>
      </w:r>
    </w:p>
    <w:p>
      <w:pPr>
        <w:spacing w:after="0" w:line="71" w:lineRule="exact"/>
        <w:rPr>
          <w:rFonts w:ascii="Times New Roman" w:cs="Times New Roman" w:eastAsia="Times New Roman" w:hAnsi="Times New Roman"/>
          <w:sz w:val="18"/>
          <w:szCs w:val="18"/>
          <w:b w:val="1"/>
          <w:bCs w:val="1"/>
          <w:i w:val="1"/>
          <w:iCs w:val="1"/>
          <w:color w:val="auto"/>
        </w:rPr>
      </w:pPr>
    </w:p>
    <w:p>
      <w:pPr>
        <w:ind w:left="5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following table details the interest rate profile of the Group’s financial assets and liabilities as of the end of each year presented.</w:t>
      </w:r>
    </w:p>
    <w:p>
      <w:pPr>
        <w:spacing w:after="0" w:line="130" w:lineRule="exact"/>
        <w:rPr>
          <w:rFonts w:ascii="Times New Roman" w:cs="Times New Roman" w:eastAsia="Times New Roman" w:hAnsi="Times New Roman"/>
          <w:sz w:val="18"/>
          <w:szCs w:val="18"/>
          <w:b w:val="1"/>
          <w:bCs w:val="1"/>
          <w:i w:val="1"/>
          <w:iCs w:val="1"/>
          <w:color w:val="auto"/>
        </w:rPr>
      </w:pPr>
    </w:p>
    <w:p>
      <w:pPr>
        <w:ind w:left="1080" w:hanging="532"/>
        <w:spacing w:after="0"/>
        <w:tabs>
          <w:tab w:leader="none" w:pos="108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risk profile</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740"/>
              <w:spacing w:after="0"/>
              <w:rPr>
                <w:sz w:val="20"/>
                <w:szCs w:val="20"/>
                <w:color w:val="auto"/>
              </w:rPr>
            </w:pPr>
            <w:r>
              <w:rPr>
                <w:rFonts w:ascii="Times New Roman" w:cs="Times New Roman" w:eastAsia="Times New Roman" w:hAnsi="Times New Roman"/>
                <w:sz w:val="14"/>
                <w:szCs w:val="14"/>
                <w:i w:val="1"/>
                <w:iCs w:val="1"/>
                <w:color w:val="auto"/>
              </w:rPr>
              <w:t>As of December 31,</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260" w:type="dxa"/>
            <w:vAlign w:val="bottom"/>
          </w:tcPr>
          <w:p>
            <w:pPr>
              <w:spacing w:after="0"/>
              <w:rPr>
                <w:sz w:val="15"/>
                <w:szCs w:val="15"/>
                <w:color w:val="auto"/>
              </w:rPr>
            </w:pPr>
          </w:p>
        </w:tc>
        <w:tc>
          <w:tcPr>
            <w:tcW w:w="12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color w:val="auto"/>
              </w:rPr>
              <w:t>interest rates</w:t>
            </w:r>
          </w:p>
        </w:tc>
        <w:tc>
          <w:tcPr>
            <w:tcW w:w="780" w:type="dxa"/>
            <w:vAlign w:val="bottom"/>
          </w:tcPr>
          <w:p>
            <w:pPr>
              <w:jc w:val="right"/>
              <w:ind w:right="154"/>
              <w:spacing w:after="0"/>
              <w:rPr>
                <w:sz w:val="20"/>
                <w:szCs w:val="20"/>
                <w:color w:val="auto"/>
              </w:rPr>
            </w:pPr>
            <w:r>
              <w:rPr>
                <w:rFonts w:ascii="Times New Roman" w:cs="Times New Roman" w:eastAsia="Times New Roman" w:hAnsi="Times New Roman"/>
                <w:sz w:val="14"/>
                <w:szCs w:val="14"/>
                <w:color w:val="auto"/>
              </w:rPr>
              <w:t>2023</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ind w:right="153"/>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6"/>
        </w:trPr>
        <w:tc>
          <w:tcPr>
            <w:tcW w:w="62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RMB’000</w:t>
            </w:r>
          </w:p>
        </w:tc>
        <w:tc>
          <w:tcPr>
            <w:tcW w:w="12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interest rates %</w:t>
            </w:r>
          </w:p>
        </w:tc>
        <w:tc>
          <w:tcPr>
            <w:tcW w:w="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171"/>
        </w:trPr>
        <w:tc>
          <w:tcPr>
            <w:tcW w:w="6260" w:type="dxa"/>
            <w:vAlign w:val="bottom"/>
          </w:tcPr>
          <w:p>
            <w:pPr>
              <w:spacing w:after="0"/>
              <w:rPr>
                <w:sz w:val="14"/>
                <w:szCs w:val="14"/>
                <w:color w:val="auto"/>
              </w:rPr>
            </w:pPr>
          </w:p>
        </w:tc>
        <w:tc>
          <w:tcPr>
            <w:tcW w:w="900" w:type="dxa"/>
            <w:vAlign w:val="bottom"/>
          </w:tcPr>
          <w:p>
            <w:pPr>
              <w:jc w:val="right"/>
              <w:ind w:right="294"/>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Fix rate instruments:</w:t>
            </w:r>
          </w:p>
        </w:tc>
        <w:tc>
          <w:tcPr>
            <w:tcW w:w="9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0%~3.1%</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1,661,152</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0%~5.25%</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4,268,300</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4.69%-6.00%</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2,550,279</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1.55%~5.05%</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620,148</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 current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0.01%</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10,194</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0.01%~2%</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4,814</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 non-current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0.01%</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1,575</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0.01%~1.61%</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9,669</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Long-term bank loan</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(50,040)</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bank loans</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(30,019)</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liabilities-current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(31,098)</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(36,900)</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 non-current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(22,309)</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(26,059)</w:t>
            </w:r>
          </w:p>
        </w:tc>
        <w:tc>
          <w:tcPr>
            <w:tcW w:w="0" w:type="dxa"/>
            <w:vAlign w:val="bottom"/>
          </w:tcPr>
          <w:p>
            <w:pPr>
              <w:spacing w:after="0"/>
              <w:rPr>
                <w:sz w:val="1"/>
                <w:szCs w:val="1"/>
                <w:color w:val="auto"/>
              </w:rPr>
            </w:pPr>
          </w:p>
        </w:tc>
      </w:tr>
      <w:tr>
        <w:trPr>
          <w:trHeight w:val="223"/>
        </w:trPr>
        <w:tc>
          <w:tcPr>
            <w:tcW w:w="6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4,169,793</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4,759,913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Variable rate instruments:</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Non-equity investments</w:t>
            </w: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317,042</w:t>
            </w: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1,685,146</w:t>
            </w: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1080" w:hanging="532"/>
        <w:spacing w:after="0"/>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Sensitivity analysis</w:t>
      </w:r>
    </w:p>
    <w:p>
      <w:pPr>
        <w:spacing w:after="0" w:line="117" w:lineRule="exact"/>
        <w:rPr>
          <w:sz w:val="20"/>
          <w:szCs w:val="20"/>
          <w:color w:val="auto"/>
        </w:rPr>
      </w:pPr>
    </w:p>
    <w:p>
      <w:pPr>
        <w:jc w:val="both"/>
        <w:ind w:left="560" w:right="260"/>
        <w:spacing w:after="0" w:line="266" w:lineRule="auto"/>
        <w:rPr>
          <w:sz w:val="20"/>
          <w:szCs w:val="20"/>
          <w:color w:val="auto"/>
        </w:rPr>
      </w:pPr>
      <w:r>
        <w:rPr>
          <w:rFonts w:ascii="Times New Roman" w:cs="Times New Roman" w:eastAsia="Times New Roman" w:hAnsi="Times New Roman"/>
          <w:sz w:val="18"/>
          <w:szCs w:val="18"/>
          <w:color w:val="auto"/>
        </w:rPr>
        <w:t>As of December 31, 2023 and 2024, it is estimated that a general increase/decrease of 100 basis points in interest rates, with all other variables held constant, would have decreased/increased the Group’s loss for the year and accumulated losses by RMB3.2 million and RMB16.9 million, respectively.</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F-71</w:t>
      </w:r>
    </w:p>
    <w:p>
      <w:pPr>
        <w:sectPr>
          <w:pgSz w:w="11900" w:h="16838" w:orient="portrait"/>
          <w:cols w:equalWidth="0" w:num="1">
            <w:col w:w="11140"/>
          </w:cols>
          <w:pgMar w:left="320" w:top="482" w:right="4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right="120"/>
        <w:spacing w:after="0" w:line="256" w:lineRule="auto"/>
        <w:rPr>
          <w:sz w:val="20"/>
          <w:szCs w:val="20"/>
          <w:color w:val="auto"/>
        </w:rPr>
      </w:pPr>
      <w:r>
        <w:rPr>
          <w:rFonts w:ascii="Times New Roman" w:cs="Times New Roman" w:eastAsia="Times New Roman" w:hAnsi="Times New Roman"/>
          <w:sz w:val="18"/>
          <w:szCs w:val="18"/>
          <w:color w:val="auto"/>
        </w:rPr>
        <w:t>The sensitivity analysis above indicates the instantaneous change in the Group’s loss for the year and accumulated losses that would arise assuming that the change in interest rates had occurred at the end of the years presented and had been applied to re-measure those financial instruments held by the Group which expose the Group to fair value interest rate risk at the end of the years presented. In respect of the exposure to cash flow interest rate risk arising from floating rate non-derivative instruments held by the Group at the end of the years presented, the impact on the Group’s loss for the year and accumulated losses is estimated as an annualised impact on interest expense or income of such a change in interest rates.</w:t>
      </w:r>
    </w:p>
    <w:p>
      <w:pPr>
        <w:spacing w:after="0" w:line="332" w:lineRule="exact"/>
        <w:rPr>
          <w:sz w:val="20"/>
          <w:szCs w:val="20"/>
          <w:color w:val="auto"/>
        </w:rPr>
      </w:pPr>
    </w:p>
    <w:p>
      <w:pPr>
        <w:ind w:left="540" w:hanging="424"/>
        <w:spacing w:after="0"/>
        <w:tabs>
          <w:tab w:leader="none" w:pos="540" w:val="left"/>
        </w:tabs>
        <w:numPr>
          <w:ilvl w:val="0"/>
          <w:numId w:val="2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rFonts w:ascii="Times New Roman" w:cs="Times New Roman" w:eastAsia="Times New Roman" w:hAnsi="Times New Roman"/>
          <w:sz w:val="18"/>
          <w:szCs w:val="18"/>
          <w:b w:val="1"/>
          <w:bCs w:val="1"/>
          <w:i w:val="1"/>
          <w:iCs w:val="1"/>
          <w:color w:val="auto"/>
        </w:rPr>
      </w:pPr>
    </w:p>
    <w:p>
      <w:pPr>
        <w:jc w:val="both"/>
        <w:ind w:left="560" w:right="18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Group is exposed to currency risk primarily due to receivables, payables and cash balances that are denominated in a foreign currency, i.e. a currency other than the functional currency of the operations to which the transactions relate. The currencies giving rise to this risk are primarily United States dollars (“USD”). The Group manages this risk as follows:</w:t>
      </w:r>
    </w:p>
    <w:p>
      <w:pPr>
        <w:spacing w:after="0" w:line="81" w:lineRule="exact"/>
        <w:rPr>
          <w:sz w:val="20"/>
          <w:szCs w:val="20"/>
          <w:color w:val="auto"/>
        </w:rPr>
      </w:pPr>
    </w:p>
    <w:p>
      <w:pPr>
        <w:ind w:left="1080" w:hanging="532"/>
        <w:spacing w:after="0"/>
        <w:tabs>
          <w:tab w:leader="none" w:pos="10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currency risk</w:t>
      </w:r>
    </w:p>
    <w:p>
      <w:pPr>
        <w:spacing w:after="0" w:line="117" w:lineRule="exact"/>
        <w:rPr>
          <w:sz w:val="20"/>
          <w:szCs w:val="20"/>
          <w:color w:val="auto"/>
        </w:rPr>
      </w:pPr>
    </w:p>
    <w:p>
      <w:pPr>
        <w:ind w:left="560" w:right="400"/>
        <w:spacing w:after="0" w:line="261" w:lineRule="auto"/>
        <w:rPr>
          <w:sz w:val="20"/>
          <w:szCs w:val="20"/>
          <w:color w:val="auto"/>
        </w:rPr>
      </w:pPr>
      <w:r>
        <w:rPr>
          <w:rFonts w:ascii="Times New Roman" w:cs="Times New Roman" w:eastAsia="Times New Roman" w:hAnsi="Times New Roman"/>
          <w:sz w:val="18"/>
          <w:szCs w:val="18"/>
          <w:color w:val="auto"/>
        </w:rPr>
        <w:t>The following table details the Group’s exposure at the end of the years presented to currency risk arising from recognized assets or liabilities denominated in a currency other than the functional currency of the entity to which they relate. For presentation purposes, the amounts of the exposure are shown in RMB, translated using the spot rate at the year-end date. Differences resulting from the translation of the financial statements of foreign operations into the Group’s presentation currency are excluded.</w:t>
      </w:r>
    </w:p>
    <w:p>
      <w:pPr>
        <w:spacing w:after="0" w:line="18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640" w:type="dxa"/>
            <w:vAlign w:val="bottom"/>
          </w:tcPr>
          <w:p>
            <w:pPr>
              <w:spacing w:after="0"/>
              <w:rPr>
                <w:sz w:val="13"/>
                <w:szCs w:val="13"/>
                <w:color w:val="auto"/>
              </w:rPr>
            </w:pPr>
          </w:p>
        </w:tc>
        <w:tc>
          <w:tcPr>
            <w:tcW w:w="194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color w:val="auto"/>
              </w:rPr>
              <w:t>Exposure to foreign currencies</w:t>
            </w:r>
          </w:p>
        </w:tc>
      </w:tr>
      <w:tr>
        <w:trPr>
          <w:trHeight w:val="173"/>
        </w:trPr>
        <w:tc>
          <w:tcPr>
            <w:tcW w:w="8640" w:type="dxa"/>
            <w:vAlign w:val="bottom"/>
          </w:tcPr>
          <w:p>
            <w:pPr>
              <w:spacing w:after="0"/>
              <w:rPr>
                <w:sz w:val="15"/>
                <w:szCs w:val="15"/>
                <w:color w:val="auto"/>
              </w:rPr>
            </w:pPr>
          </w:p>
        </w:tc>
        <w:tc>
          <w:tcPr>
            <w:tcW w:w="194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i w:val="1"/>
                <w:iCs w:val="1"/>
                <w:color w:val="auto"/>
              </w:rPr>
              <w:t>As of December 31,</w:t>
            </w:r>
          </w:p>
        </w:tc>
      </w:tr>
      <w:tr>
        <w:trPr>
          <w:trHeight w:val="117"/>
        </w:trPr>
        <w:tc>
          <w:tcPr>
            <w:tcW w:w="8640" w:type="dxa"/>
            <w:vAlign w:val="bottom"/>
          </w:tcPr>
          <w:p>
            <w:pPr>
              <w:spacing w:after="0"/>
              <w:rPr>
                <w:sz w:val="10"/>
                <w:szCs w:val="10"/>
                <w:color w:val="auto"/>
              </w:rPr>
            </w:pPr>
          </w:p>
        </w:tc>
        <w:tc>
          <w:tcPr>
            <w:tcW w:w="940" w:type="dxa"/>
            <w:vAlign w:val="bottom"/>
            <w:tcBorders>
              <w:top w:val="single" w:sz="8" w:color="auto"/>
            </w:tcBorders>
            <w:gridSpan w:val="3"/>
          </w:tcPr>
          <w:p>
            <w:pPr>
              <w:jc w:val="right"/>
              <w:ind w:right="420"/>
              <w:spacing w:after="0" w:line="118" w:lineRule="exact"/>
              <w:rPr>
                <w:sz w:val="20"/>
                <w:szCs w:val="20"/>
                <w:color w:val="auto"/>
              </w:rPr>
            </w:pPr>
            <w:r>
              <w:rPr>
                <w:rFonts w:ascii="Times New Roman" w:cs="Times New Roman" w:eastAsia="Times New Roman" w:hAnsi="Times New Roman"/>
                <w:sz w:val="13"/>
                <w:szCs w:val="13"/>
                <w:color w:val="auto"/>
              </w:rPr>
              <w:t>USD</w:t>
            </w:r>
          </w:p>
        </w:tc>
        <w:tc>
          <w:tcPr>
            <w:tcW w:w="880" w:type="dxa"/>
            <w:vAlign w:val="bottom"/>
            <w:tcBorders>
              <w:top w:val="single" w:sz="8" w:color="auto"/>
            </w:tcBorders>
          </w:tcPr>
          <w:p>
            <w:pPr>
              <w:jc w:val="right"/>
              <w:ind w:right="218"/>
              <w:spacing w:after="0" w:line="118" w:lineRule="exact"/>
              <w:rPr>
                <w:sz w:val="20"/>
                <w:szCs w:val="20"/>
                <w:color w:val="auto"/>
              </w:rPr>
            </w:pPr>
            <w:r>
              <w:rPr>
                <w:rFonts w:ascii="Times New Roman" w:cs="Times New Roman" w:eastAsia="Times New Roman" w:hAnsi="Times New Roman"/>
                <w:sz w:val="13"/>
                <w:szCs w:val="13"/>
                <w:color w:val="auto"/>
              </w:rPr>
              <w:t>USD</w:t>
            </w:r>
          </w:p>
        </w:tc>
        <w:tc>
          <w:tcPr>
            <w:tcW w:w="120" w:type="dxa"/>
            <w:vAlign w:val="bottom"/>
          </w:tcPr>
          <w:p>
            <w:pPr>
              <w:spacing w:after="0"/>
              <w:rPr>
                <w:sz w:val="10"/>
                <w:szCs w:val="10"/>
                <w:color w:val="auto"/>
              </w:rPr>
            </w:pPr>
          </w:p>
        </w:tc>
      </w:tr>
      <w:tr>
        <w:trPr>
          <w:trHeight w:val="151"/>
        </w:trPr>
        <w:tc>
          <w:tcPr>
            <w:tcW w:w="8640" w:type="dxa"/>
            <w:vAlign w:val="bottom"/>
          </w:tcPr>
          <w:p>
            <w:pPr>
              <w:spacing w:after="0"/>
              <w:rPr>
                <w:sz w:val="13"/>
                <w:szCs w:val="13"/>
                <w:color w:val="auto"/>
              </w:rPr>
            </w:pPr>
          </w:p>
        </w:tc>
        <w:tc>
          <w:tcPr>
            <w:tcW w:w="740" w:type="dxa"/>
            <w:vAlign w:val="bottom"/>
          </w:tcPr>
          <w:p>
            <w:pPr>
              <w:jc w:val="right"/>
              <w:ind w:right="161"/>
              <w:spacing w:after="0" w:line="151" w:lineRule="exact"/>
              <w:rPr>
                <w:sz w:val="20"/>
                <w:szCs w:val="20"/>
                <w:color w:val="auto"/>
              </w:rPr>
            </w:pPr>
            <w:r>
              <w:rPr>
                <w:rFonts w:ascii="Times New Roman" w:cs="Times New Roman" w:eastAsia="Times New Roman" w:hAnsi="Times New Roman"/>
                <w:sz w:val="14"/>
                <w:szCs w:val="14"/>
                <w:i w:val="1"/>
                <w:iCs w:val="1"/>
                <w:color w:val="auto"/>
              </w:rPr>
              <w:t>2023</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218"/>
              <w:spacing w:after="0" w:line="151" w:lineRule="exact"/>
              <w:rPr>
                <w:sz w:val="20"/>
                <w:szCs w:val="20"/>
                <w:color w:val="auto"/>
              </w:rPr>
            </w:pPr>
            <w:r>
              <w:rPr>
                <w:rFonts w:ascii="Times New Roman" w:cs="Times New Roman" w:eastAsia="Times New Roman" w:hAnsi="Times New Roman"/>
                <w:sz w:val="14"/>
                <w:szCs w:val="14"/>
                <w:i w:val="1"/>
                <w:iCs w:val="1"/>
                <w:color w:val="auto"/>
              </w:rPr>
              <w:t>2024</w:t>
            </w:r>
          </w:p>
        </w:tc>
        <w:tc>
          <w:tcPr>
            <w:tcW w:w="120" w:type="dxa"/>
            <w:vAlign w:val="bottom"/>
          </w:tcPr>
          <w:p>
            <w:pPr>
              <w:spacing w:after="0"/>
              <w:rPr>
                <w:sz w:val="13"/>
                <w:szCs w:val="13"/>
                <w:color w:val="auto"/>
              </w:rPr>
            </w:pPr>
          </w:p>
        </w:tc>
      </w:tr>
      <w:tr>
        <w:trPr>
          <w:trHeight w:val="171"/>
        </w:trPr>
        <w:tc>
          <w:tcPr>
            <w:tcW w:w="8640" w:type="dxa"/>
            <w:vAlign w:val="bottom"/>
          </w:tcPr>
          <w:p>
            <w:pPr>
              <w:spacing w:after="0"/>
              <w:rPr>
                <w:sz w:val="14"/>
                <w:szCs w:val="14"/>
                <w:color w:val="auto"/>
              </w:rPr>
            </w:pPr>
          </w:p>
        </w:tc>
        <w:tc>
          <w:tcPr>
            <w:tcW w:w="9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color w:val="auto"/>
              </w:rPr>
              <w:t>RMB’000</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RMB’000</w:t>
            </w: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306,677</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1,941,370</w:t>
            </w: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9,694</w:t>
            </w: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Intercompany payables</w:t>
            </w:r>
          </w:p>
        </w:tc>
        <w:tc>
          <w:tcPr>
            <w:tcW w:w="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(280,050)</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(1,493,516)</w:t>
            </w:r>
          </w:p>
        </w:tc>
      </w:tr>
      <w:tr>
        <w:trPr>
          <w:trHeight w:val="223"/>
        </w:trPr>
        <w:tc>
          <w:tcPr>
            <w:tcW w:w="8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exposure arising from recognized assets and liabilities</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26,627</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457,548</w:t>
            </w:r>
          </w:p>
        </w:tc>
        <w:tc>
          <w:tcPr>
            <w:tcW w:w="120" w:type="dxa"/>
            <w:vAlign w:val="bottom"/>
          </w:tcPr>
          <w:p>
            <w:pPr>
              <w:spacing w:after="0"/>
              <w:rPr>
                <w:sz w:val="19"/>
                <w:szCs w:val="19"/>
                <w:color w:val="auto"/>
              </w:rPr>
            </w:pPr>
          </w:p>
        </w:tc>
      </w:tr>
      <w:tr>
        <w:trPr>
          <w:trHeight w:val="20"/>
        </w:trPr>
        <w:tc>
          <w:tcPr>
            <w:tcW w:w="86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0" w:lineRule="exact"/>
        <w:rPr>
          <w:sz w:val="20"/>
          <w:szCs w:val="20"/>
          <w:color w:val="auto"/>
        </w:rPr>
      </w:pPr>
    </w:p>
    <w:p>
      <w:pPr>
        <w:ind w:left="1080" w:hanging="532"/>
        <w:spacing w:after="0"/>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Sensitivity analysis</w:t>
      </w:r>
    </w:p>
    <w:p>
      <w:pPr>
        <w:spacing w:after="0" w:line="117" w:lineRule="exact"/>
        <w:rPr>
          <w:sz w:val="20"/>
          <w:szCs w:val="20"/>
          <w:color w:val="auto"/>
        </w:rPr>
      </w:pPr>
    </w:p>
    <w:p>
      <w:pPr>
        <w:ind w:left="560" w:right="100"/>
        <w:spacing w:after="0" w:line="266" w:lineRule="auto"/>
        <w:rPr>
          <w:sz w:val="20"/>
          <w:szCs w:val="20"/>
          <w:color w:val="auto"/>
        </w:rPr>
      </w:pPr>
      <w:r>
        <w:rPr>
          <w:rFonts w:ascii="Times New Roman" w:cs="Times New Roman" w:eastAsia="Times New Roman" w:hAnsi="Times New Roman"/>
          <w:sz w:val="18"/>
          <w:szCs w:val="18"/>
          <w:color w:val="auto"/>
        </w:rPr>
        <w:t>The following table indicates the instantaneous change in the Group’s loss for the year and cumulative losses that would arise if foreign exchange rates to which the Group has significant exposure at the end of each year presented had changed at that date, assuming all other risk variables remained constant.</w:t>
      </w:r>
    </w:p>
    <w:p>
      <w:pPr>
        <w:spacing w:after="0" w:line="19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gridSpan w:val="2"/>
          </w:tcPr>
          <w:p>
            <w:pPr>
              <w:jc w:val="right"/>
              <w:ind w:right="1422"/>
              <w:spacing w:after="0"/>
              <w:rPr>
                <w:sz w:val="20"/>
                <w:szCs w:val="20"/>
                <w:color w:val="auto"/>
              </w:rPr>
            </w:pPr>
            <w:r>
              <w:rPr>
                <w:rFonts w:ascii="Times New Roman" w:cs="Times New Roman" w:eastAsia="Times New Roman" w:hAnsi="Times New Roman"/>
                <w:sz w:val="14"/>
                <w:szCs w:val="14"/>
                <w:i w:val="1"/>
                <w:iCs w:val="1"/>
                <w:color w:val="auto"/>
              </w:rPr>
              <w:t>As of December 31,</w:t>
            </w: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140" w:type="dxa"/>
            <w:vAlign w:val="bottom"/>
          </w:tcPr>
          <w:p>
            <w:pPr>
              <w:spacing w:after="0"/>
              <w:rPr>
                <w:sz w:val="15"/>
                <w:szCs w:val="15"/>
                <w:color w:val="auto"/>
              </w:rPr>
            </w:pPr>
          </w:p>
        </w:tc>
        <w:tc>
          <w:tcPr>
            <w:tcW w:w="1740" w:type="dxa"/>
            <w:vAlign w:val="bottom"/>
          </w:tcPr>
          <w:p>
            <w:pPr>
              <w:jc w:val="right"/>
              <w:ind w:right="100"/>
              <w:spacing w:after="0"/>
              <w:rPr>
                <w:sz w:val="20"/>
                <w:szCs w:val="20"/>
                <w:color w:val="auto"/>
              </w:rPr>
            </w:pPr>
            <w:r>
              <w:rPr>
                <w:rFonts w:ascii="Times New Roman" w:cs="Times New Roman" w:eastAsia="Times New Roman" w:hAnsi="Times New Roman"/>
                <w:sz w:val="14"/>
                <w:szCs w:val="14"/>
                <w:color w:val="auto"/>
              </w:rPr>
              <w:t>2023</w:t>
            </w:r>
          </w:p>
        </w:tc>
        <w:tc>
          <w:tcPr>
            <w:tcW w:w="1460" w:type="dxa"/>
            <w:vAlign w:val="bottom"/>
            <w:vMerge w:val="restart"/>
          </w:tcPr>
          <w:p>
            <w:pPr>
              <w:jc w:val="center"/>
              <w:ind w:right="124"/>
              <w:spacing w:after="0"/>
              <w:rPr>
                <w:sz w:val="20"/>
                <w:szCs w:val="20"/>
                <w:color w:val="auto"/>
              </w:rPr>
            </w:pPr>
            <w:r>
              <w:rPr>
                <w:rFonts w:ascii="Times New Roman" w:cs="Times New Roman" w:eastAsia="Times New Roman" w:hAnsi="Times New Roman"/>
                <w:sz w:val="14"/>
                <w:szCs w:val="14"/>
                <w:color w:val="auto"/>
              </w:rPr>
              <w:t>(Increase)/</w:t>
            </w:r>
          </w:p>
        </w:tc>
        <w:tc>
          <w:tcPr>
            <w:tcW w:w="2020" w:type="dxa"/>
            <w:vAlign w:val="bottom"/>
          </w:tcPr>
          <w:p>
            <w:pPr>
              <w:jc w:val="right"/>
              <w:ind w:right="102"/>
              <w:spacing w:after="0"/>
              <w:rPr>
                <w:sz w:val="20"/>
                <w:szCs w:val="20"/>
                <w:color w:val="auto"/>
              </w:rPr>
            </w:pPr>
            <w:r>
              <w:rPr>
                <w:rFonts w:ascii="Times New Roman" w:cs="Times New Roman" w:eastAsia="Times New Roman" w:hAnsi="Times New Roman"/>
                <w:sz w:val="14"/>
                <w:szCs w:val="14"/>
                <w:color w:val="auto"/>
              </w:rPr>
              <w:t>2024</w:t>
            </w: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(Increase)/</w:t>
            </w:r>
          </w:p>
        </w:tc>
        <w:tc>
          <w:tcPr>
            <w:tcW w:w="0" w:type="dxa"/>
            <w:vAlign w:val="bottom"/>
          </w:tcPr>
          <w:p>
            <w:pPr>
              <w:spacing w:after="0"/>
              <w:rPr>
                <w:sz w:val="1"/>
                <w:szCs w:val="1"/>
                <w:color w:val="auto"/>
              </w:rPr>
            </w:pPr>
          </w:p>
        </w:tc>
      </w:tr>
      <w:tr>
        <w:trPr>
          <w:trHeight w:val="86"/>
        </w:trPr>
        <w:tc>
          <w:tcPr>
            <w:tcW w:w="41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20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60" w:type="dxa"/>
            <w:vAlign w:val="bottom"/>
          </w:tcPr>
          <w:p>
            <w:pPr>
              <w:jc w:val="center"/>
              <w:ind w:right="124"/>
              <w:spacing w:after="0" w:line="149" w:lineRule="exact"/>
              <w:rPr>
                <w:sz w:val="20"/>
                <w:szCs w:val="20"/>
                <w:color w:val="auto"/>
              </w:rPr>
            </w:pPr>
            <w:r>
              <w:rPr>
                <w:rFonts w:ascii="Times New Roman" w:cs="Times New Roman" w:eastAsia="Times New Roman" w:hAnsi="Times New Roman"/>
                <w:sz w:val="14"/>
                <w:szCs w:val="14"/>
                <w:color w:val="auto"/>
              </w:rPr>
              <w:t>decrease on loss</w:t>
            </w:r>
          </w:p>
        </w:tc>
        <w:tc>
          <w:tcPr>
            <w:tcW w:w="202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decrease on loss</w:t>
            </w:r>
          </w:p>
        </w:tc>
        <w:tc>
          <w:tcPr>
            <w:tcW w:w="0" w:type="dxa"/>
            <w:vAlign w:val="bottom"/>
          </w:tcPr>
          <w:p>
            <w:pPr>
              <w:spacing w:after="0"/>
              <w:rPr>
                <w:sz w:val="1"/>
                <w:szCs w:val="1"/>
                <w:color w:val="auto"/>
              </w:rPr>
            </w:pPr>
          </w:p>
        </w:tc>
      </w:tr>
      <w:tr>
        <w:trPr>
          <w:trHeight w:val="158"/>
        </w:trPr>
        <w:tc>
          <w:tcPr>
            <w:tcW w:w="4140" w:type="dxa"/>
            <w:vAlign w:val="bottom"/>
          </w:tcPr>
          <w:p>
            <w:pPr>
              <w:spacing w:after="0"/>
              <w:rPr>
                <w:sz w:val="13"/>
                <w:szCs w:val="13"/>
                <w:color w:val="auto"/>
              </w:rPr>
            </w:pPr>
          </w:p>
        </w:tc>
        <w:tc>
          <w:tcPr>
            <w:tcW w:w="1740" w:type="dxa"/>
            <w:vAlign w:val="bottom"/>
          </w:tcPr>
          <w:p>
            <w:pPr>
              <w:jc w:val="center"/>
              <w:ind w:right="560"/>
              <w:spacing w:after="0" w:line="158" w:lineRule="exact"/>
              <w:rPr>
                <w:sz w:val="20"/>
                <w:szCs w:val="20"/>
                <w:color w:val="auto"/>
              </w:rPr>
            </w:pPr>
            <w:r>
              <w:rPr>
                <w:rFonts w:ascii="Times New Roman" w:cs="Times New Roman" w:eastAsia="Times New Roman" w:hAnsi="Times New Roman"/>
                <w:sz w:val="14"/>
                <w:szCs w:val="14"/>
                <w:color w:val="auto"/>
              </w:rPr>
              <w:t>Increase/(decrease)</w:t>
            </w:r>
          </w:p>
        </w:tc>
        <w:tc>
          <w:tcPr>
            <w:tcW w:w="1460" w:type="dxa"/>
            <w:vAlign w:val="bottom"/>
          </w:tcPr>
          <w:p>
            <w:pPr>
              <w:jc w:val="center"/>
              <w:ind w:right="124"/>
              <w:spacing w:after="0" w:line="158" w:lineRule="exact"/>
              <w:rPr>
                <w:sz w:val="20"/>
                <w:szCs w:val="20"/>
                <w:color w:val="auto"/>
              </w:rPr>
            </w:pPr>
            <w:r>
              <w:rPr>
                <w:rFonts w:ascii="Times New Roman" w:cs="Times New Roman" w:eastAsia="Times New Roman" w:hAnsi="Times New Roman"/>
                <w:sz w:val="14"/>
                <w:szCs w:val="14"/>
                <w:color w:val="auto"/>
              </w:rPr>
              <w:t>for the year and</w:t>
            </w:r>
          </w:p>
        </w:tc>
        <w:tc>
          <w:tcPr>
            <w:tcW w:w="2020" w:type="dxa"/>
            <w:vAlign w:val="bottom"/>
          </w:tcPr>
          <w:p>
            <w:pPr>
              <w:jc w:val="center"/>
              <w:ind w:right="262"/>
              <w:spacing w:after="0" w:line="158" w:lineRule="exact"/>
              <w:rPr>
                <w:sz w:val="20"/>
                <w:szCs w:val="20"/>
                <w:color w:val="auto"/>
              </w:rPr>
            </w:pPr>
            <w:r>
              <w:rPr>
                <w:rFonts w:ascii="Times New Roman" w:cs="Times New Roman" w:eastAsia="Times New Roman" w:hAnsi="Times New Roman"/>
                <w:sz w:val="14"/>
                <w:szCs w:val="14"/>
                <w:color w:val="auto"/>
              </w:rPr>
              <w:t>Increase/(decrease)</w:t>
            </w:r>
          </w:p>
        </w:tc>
        <w:tc>
          <w:tcPr>
            <w:tcW w:w="122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color w:val="auto"/>
              </w:rPr>
              <w:t>for the year and</w:t>
            </w: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1740" w:type="dxa"/>
            <w:vAlign w:val="bottom"/>
          </w:tcPr>
          <w:p>
            <w:pPr>
              <w:jc w:val="center"/>
              <w:ind w:right="540"/>
              <w:spacing w:after="0" w:line="149" w:lineRule="exact"/>
              <w:rPr>
                <w:sz w:val="20"/>
                <w:szCs w:val="20"/>
                <w:color w:val="auto"/>
              </w:rPr>
            </w:pPr>
            <w:r>
              <w:rPr>
                <w:rFonts w:ascii="Times New Roman" w:cs="Times New Roman" w:eastAsia="Times New Roman" w:hAnsi="Times New Roman"/>
                <w:sz w:val="14"/>
                <w:szCs w:val="14"/>
                <w:color w:val="auto"/>
              </w:rPr>
              <w:t>in foreign</w:t>
            </w:r>
          </w:p>
        </w:tc>
        <w:tc>
          <w:tcPr>
            <w:tcW w:w="1460" w:type="dxa"/>
            <w:vAlign w:val="bottom"/>
          </w:tcPr>
          <w:p>
            <w:pPr>
              <w:jc w:val="center"/>
              <w:ind w:right="124"/>
              <w:spacing w:after="0" w:line="149" w:lineRule="exact"/>
              <w:rPr>
                <w:sz w:val="20"/>
                <w:szCs w:val="20"/>
                <w:color w:val="auto"/>
              </w:rPr>
            </w:pPr>
            <w:r>
              <w:rPr>
                <w:rFonts w:ascii="Times New Roman" w:cs="Times New Roman" w:eastAsia="Times New Roman" w:hAnsi="Times New Roman"/>
                <w:sz w:val="14"/>
                <w:szCs w:val="14"/>
                <w:color w:val="auto"/>
              </w:rPr>
              <w:t>accumulated</w:t>
            </w:r>
          </w:p>
        </w:tc>
        <w:tc>
          <w:tcPr>
            <w:tcW w:w="2020" w:type="dxa"/>
            <w:vAlign w:val="bottom"/>
          </w:tcPr>
          <w:p>
            <w:pPr>
              <w:jc w:val="center"/>
              <w:ind w:right="262"/>
              <w:spacing w:after="0" w:line="149" w:lineRule="exact"/>
              <w:rPr>
                <w:sz w:val="20"/>
                <w:szCs w:val="20"/>
                <w:color w:val="auto"/>
              </w:rPr>
            </w:pPr>
            <w:r>
              <w:rPr>
                <w:rFonts w:ascii="Times New Roman" w:cs="Times New Roman" w:eastAsia="Times New Roman" w:hAnsi="Times New Roman"/>
                <w:sz w:val="14"/>
                <w:szCs w:val="14"/>
                <w:color w:val="auto"/>
              </w:rPr>
              <w:t>in foreign</w:t>
            </w:r>
          </w:p>
        </w:tc>
        <w:tc>
          <w:tcPr>
            <w:tcW w:w="12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accumulated</w:t>
            </w:r>
          </w:p>
        </w:tc>
        <w:tc>
          <w:tcPr>
            <w:tcW w:w="0" w:type="dxa"/>
            <w:vAlign w:val="bottom"/>
          </w:tcPr>
          <w:p>
            <w:pPr>
              <w:spacing w:after="0"/>
              <w:rPr>
                <w:sz w:val="1"/>
                <w:szCs w:val="1"/>
                <w:color w:val="auto"/>
              </w:rPr>
            </w:pPr>
          </w:p>
        </w:tc>
      </w:tr>
      <w:tr>
        <w:trPr>
          <w:trHeight w:val="153"/>
        </w:trPr>
        <w:tc>
          <w:tcPr>
            <w:tcW w:w="4140" w:type="dxa"/>
            <w:vAlign w:val="bottom"/>
          </w:tcPr>
          <w:p>
            <w:pPr>
              <w:spacing w:after="0"/>
              <w:rPr>
                <w:sz w:val="13"/>
                <w:szCs w:val="13"/>
                <w:color w:val="auto"/>
              </w:rPr>
            </w:pPr>
          </w:p>
        </w:tc>
        <w:tc>
          <w:tcPr>
            <w:tcW w:w="1740" w:type="dxa"/>
            <w:vAlign w:val="bottom"/>
          </w:tcPr>
          <w:p>
            <w:pPr>
              <w:jc w:val="center"/>
              <w:ind w:right="560"/>
              <w:spacing w:after="0" w:line="153" w:lineRule="exact"/>
              <w:rPr>
                <w:sz w:val="20"/>
                <w:szCs w:val="20"/>
                <w:color w:val="auto"/>
              </w:rPr>
            </w:pPr>
            <w:r>
              <w:rPr>
                <w:rFonts w:ascii="Times New Roman" w:cs="Times New Roman" w:eastAsia="Times New Roman" w:hAnsi="Times New Roman"/>
                <w:sz w:val="14"/>
                <w:szCs w:val="14"/>
                <w:color w:val="auto"/>
              </w:rPr>
              <w:t>exchange rates</w:t>
            </w:r>
          </w:p>
        </w:tc>
        <w:tc>
          <w:tcPr>
            <w:tcW w:w="1460" w:type="dxa"/>
            <w:vAlign w:val="bottom"/>
          </w:tcPr>
          <w:p>
            <w:pPr>
              <w:jc w:val="center"/>
              <w:ind w:right="124"/>
              <w:spacing w:after="0" w:line="153" w:lineRule="exact"/>
              <w:rPr>
                <w:sz w:val="20"/>
                <w:szCs w:val="20"/>
                <w:color w:val="auto"/>
              </w:rPr>
            </w:pPr>
            <w:r>
              <w:rPr>
                <w:rFonts w:ascii="Times New Roman" w:cs="Times New Roman" w:eastAsia="Times New Roman" w:hAnsi="Times New Roman"/>
                <w:sz w:val="14"/>
                <w:szCs w:val="14"/>
                <w:color w:val="auto"/>
              </w:rPr>
              <w:t>losses</w:t>
            </w:r>
          </w:p>
        </w:tc>
        <w:tc>
          <w:tcPr>
            <w:tcW w:w="2020" w:type="dxa"/>
            <w:vAlign w:val="bottom"/>
          </w:tcPr>
          <w:p>
            <w:pPr>
              <w:jc w:val="center"/>
              <w:ind w:right="262"/>
              <w:spacing w:after="0" w:line="153" w:lineRule="exact"/>
              <w:rPr>
                <w:sz w:val="20"/>
                <w:szCs w:val="20"/>
                <w:color w:val="auto"/>
              </w:rPr>
            </w:pPr>
            <w:r>
              <w:rPr>
                <w:rFonts w:ascii="Times New Roman" w:cs="Times New Roman" w:eastAsia="Times New Roman" w:hAnsi="Times New Roman"/>
                <w:sz w:val="14"/>
                <w:szCs w:val="14"/>
                <w:color w:val="auto"/>
              </w:rPr>
              <w:t>exchange rates</w:t>
            </w:r>
          </w:p>
        </w:tc>
        <w:tc>
          <w:tcPr>
            <w:tcW w:w="122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4"/>
                <w:szCs w:val="14"/>
                <w:color w:val="auto"/>
              </w:rPr>
              <w:t>losses</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60" w:type="dxa"/>
            <w:vAlign w:val="bottom"/>
          </w:tcPr>
          <w:p>
            <w:pPr>
              <w:jc w:val="center"/>
              <w:ind w:right="124"/>
              <w:spacing w:after="0"/>
              <w:rPr>
                <w:sz w:val="20"/>
                <w:szCs w:val="20"/>
                <w:color w:val="auto"/>
              </w:rPr>
            </w:pPr>
            <w:r>
              <w:rPr>
                <w:rFonts w:ascii="Times New Roman" w:cs="Times New Roman" w:eastAsia="Times New Roman" w:hAnsi="Times New Roman"/>
                <w:sz w:val="14"/>
                <w:szCs w:val="14"/>
                <w:color w:val="auto"/>
              </w:rPr>
              <w:t>RMB’000</w:t>
            </w:r>
          </w:p>
        </w:tc>
        <w:tc>
          <w:tcPr>
            <w:tcW w:w="202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USD</w:t>
            </w:r>
          </w:p>
        </w:tc>
        <w:tc>
          <w:tcPr>
            <w:tcW w:w="174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w:t>
            </w:r>
          </w:p>
        </w:tc>
        <w:tc>
          <w:tcPr>
            <w:tcW w:w="146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8"/>
                <w:szCs w:val="18"/>
                <w:color w:val="auto"/>
              </w:rPr>
              <w:t>2,663</w:t>
            </w:r>
          </w:p>
        </w:tc>
        <w:tc>
          <w:tcPr>
            <w:tcW w:w="2020" w:type="dxa"/>
            <w:vAlign w:val="bottom"/>
            <w:shd w:val="clear" w:color="auto" w:fill="CCEEFF"/>
          </w:tcPr>
          <w:p>
            <w:pPr>
              <w:jc w:val="right"/>
              <w:ind w:right="402"/>
              <w:spacing w:after="0"/>
              <w:rPr>
                <w:sz w:val="20"/>
                <w:szCs w:val="20"/>
                <w:color w:val="auto"/>
              </w:rPr>
            </w:pPr>
            <w:r>
              <w:rPr>
                <w:rFonts w:ascii="Times New Roman" w:cs="Times New Roman" w:eastAsia="Times New Roman" w:hAnsi="Times New Roman"/>
                <w:sz w:val="18"/>
                <w:szCs w:val="18"/>
                <w:color w:val="auto"/>
              </w:rPr>
              <w:t>10%</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45,755</w:t>
            </w:r>
          </w:p>
        </w:tc>
        <w:tc>
          <w:tcPr>
            <w:tcW w:w="0" w:type="dxa"/>
            <w:vAlign w:val="bottom"/>
          </w:tcPr>
          <w:p>
            <w:pPr>
              <w:spacing w:after="0"/>
              <w:rPr>
                <w:sz w:val="1"/>
                <w:szCs w:val="1"/>
                <w:color w:val="auto"/>
              </w:rPr>
            </w:pPr>
          </w:p>
        </w:tc>
      </w:t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USD</w:t>
            </w:r>
          </w:p>
        </w:tc>
        <w:tc>
          <w:tcPr>
            <w:tcW w:w="1740" w:type="dxa"/>
            <w:vAlign w:val="bottom"/>
          </w:tcPr>
          <w:p>
            <w:pPr>
              <w:jc w:val="right"/>
              <w:ind w:right="340"/>
              <w:spacing w:after="0"/>
              <w:rPr>
                <w:sz w:val="20"/>
                <w:szCs w:val="20"/>
                <w:color w:val="auto"/>
              </w:rPr>
            </w:pPr>
            <w:r>
              <w:rPr>
                <w:rFonts w:ascii="Times New Roman" w:cs="Times New Roman" w:eastAsia="Times New Roman" w:hAnsi="Times New Roman"/>
                <w:sz w:val="18"/>
                <w:szCs w:val="18"/>
                <w:color w:val="auto"/>
              </w:rPr>
              <w:t>(10%)</w:t>
            </w:r>
          </w:p>
        </w:tc>
        <w:tc>
          <w:tcPr>
            <w:tcW w:w="1460" w:type="dxa"/>
            <w:vAlign w:val="bottom"/>
          </w:tcPr>
          <w:p>
            <w:pPr>
              <w:jc w:val="right"/>
              <w:ind w:right="224"/>
              <w:spacing w:after="0"/>
              <w:rPr>
                <w:sz w:val="20"/>
                <w:szCs w:val="20"/>
                <w:color w:val="auto"/>
              </w:rPr>
            </w:pPr>
            <w:r>
              <w:rPr>
                <w:rFonts w:ascii="Times New Roman" w:cs="Times New Roman" w:eastAsia="Times New Roman" w:hAnsi="Times New Roman"/>
                <w:sz w:val="18"/>
                <w:szCs w:val="18"/>
                <w:color w:val="auto"/>
              </w:rPr>
              <w:t>(2,663)</w:t>
            </w:r>
          </w:p>
        </w:tc>
        <w:tc>
          <w:tcPr>
            <w:tcW w:w="2020" w:type="dxa"/>
            <w:vAlign w:val="bottom"/>
          </w:tcPr>
          <w:p>
            <w:pPr>
              <w:jc w:val="right"/>
              <w:ind w:right="342"/>
              <w:spacing w:after="0"/>
              <w:rPr>
                <w:sz w:val="20"/>
                <w:szCs w:val="20"/>
                <w:color w:val="auto"/>
              </w:rPr>
            </w:pPr>
            <w:r>
              <w:rPr>
                <w:rFonts w:ascii="Times New Roman" w:cs="Times New Roman" w:eastAsia="Times New Roman" w:hAnsi="Times New Roman"/>
                <w:sz w:val="18"/>
                <w:szCs w:val="18"/>
                <w:color w:val="auto"/>
              </w:rPr>
              <w:t>(10%)</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(45,755)</w:t>
            </w:r>
          </w:p>
        </w:tc>
        <w:tc>
          <w:tcPr>
            <w:tcW w:w="0" w:type="dxa"/>
            <w:vAlign w:val="bottom"/>
          </w:tcPr>
          <w:p>
            <w:pPr>
              <w:spacing w:after="0"/>
              <w:rPr>
                <w:sz w:val="1"/>
                <w:szCs w:val="1"/>
                <w:color w:val="auto"/>
              </w:rPr>
            </w:pPr>
          </w:p>
        </w:tc>
      </w:tr>
      <w:tr>
        <w:trPr>
          <w:trHeight w:val="346"/>
        </w:trPr>
        <w:tc>
          <w:tcPr>
            <w:tcW w:w="4140" w:type="dxa"/>
            <w:vAlign w:val="bottom"/>
          </w:tcPr>
          <w:p>
            <w:pPr>
              <w:spacing w:after="0"/>
              <w:rPr>
                <w:sz w:val="24"/>
                <w:szCs w:val="24"/>
                <w:color w:val="auto"/>
              </w:rPr>
            </w:pPr>
          </w:p>
        </w:tc>
        <w:tc>
          <w:tcPr>
            <w:tcW w:w="1740" w:type="dxa"/>
            <w:vAlign w:val="bottom"/>
          </w:tcPr>
          <w:p>
            <w:pPr>
              <w:jc w:val="right"/>
              <w:ind w:right="560"/>
              <w:spacing w:after="0"/>
              <w:rPr>
                <w:sz w:val="20"/>
                <w:szCs w:val="20"/>
                <w:color w:val="auto"/>
              </w:rPr>
            </w:pPr>
            <w:r>
              <w:rPr>
                <w:rFonts w:ascii="Times New Roman" w:cs="Times New Roman" w:eastAsia="Times New Roman" w:hAnsi="Times New Roman"/>
                <w:sz w:val="18"/>
                <w:szCs w:val="18"/>
                <w:color w:val="auto"/>
              </w:rPr>
              <w:t>F-72</w:t>
            </w:r>
          </w:p>
        </w:tc>
        <w:tc>
          <w:tcPr>
            <w:tcW w:w="14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560" w:right="140"/>
        <w:spacing w:after="0" w:line="266" w:lineRule="auto"/>
        <w:rPr>
          <w:sz w:val="20"/>
          <w:szCs w:val="20"/>
          <w:color w:val="auto"/>
        </w:rPr>
      </w:pPr>
      <w:r>
        <w:rPr>
          <w:rFonts w:ascii="Times New Roman" w:cs="Times New Roman" w:eastAsia="Times New Roman" w:hAnsi="Times New Roman"/>
          <w:sz w:val="18"/>
          <w:szCs w:val="18"/>
          <w:color w:val="auto"/>
        </w:rPr>
        <w:t>Results of the analysis as presented in the above table represent an aggregation of the instantaneous effects on each of the Group entities’ loss for the year and cumulative losses measured in the respective functional currencies, translated into RMB at the exchange rate ruling at the end of the years presented for presentation purposes.</w:t>
      </w:r>
    </w:p>
    <w:p>
      <w:pPr>
        <w:spacing w:after="0" w:line="68" w:lineRule="exact"/>
        <w:rPr>
          <w:sz w:val="20"/>
          <w:szCs w:val="20"/>
          <w:color w:val="auto"/>
        </w:rPr>
      </w:pPr>
    </w:p>
    <w:p>
      <w:pPr>
        <w:ind w:left="560" w:right="140"/>
        <w:spacing w:after="0" w:line="261" w:lineRule="auto"/>
        <w:rPr>
          <w:sz w:val="20"/>
          <w:szCs w:val="20"/>
          <w:color w:val="auto"/>
        </w:rPr>
      </w:pPr>
      <w:r>
        <w:rPr>
          <w:rFonts w:ascii="Times New Roman" w:cs="Times New Roman" w:eastAsia="Times New Roman" w:hAnsi="Times New Roman"/>
          <w:sz w:val="18"/>
          <w:szCs w:val="18"/>
          <w:color w:val="auto"/>
        </w:rPr>
        <w:t>The sensitivity analysis assumes that the change in foreign exchange rates had been applied to re-measure those financial instruments held by the Group which expose the Group to foreign currency risk at the end of each year presented, including inter-company payables and receivables within the Group which are denominated in a currency other than the functional currencies of the lender or the borrower. The analysis excludes differences that would result from the translation of the financial statements of foreign operations into the Group’s presentation currency.</w:t>
      </w:r>
    </w:p>
    <w:p>
      <w:pPr>
        <w:spacing w:after="0" w:line="324" w:lineRule="exact"/>
        <w:rPr>
          <w:sz w:val="20"/>
          <w:szCs w:val="20"/>
          <w:color w:val="auto"/>
        </w:rPr>
      </w:pPr>
    </w:p>
    <w:p>
      <w:pPr>
        <w:ind w:left="540" w:hanging="424"/>
        <w:spacing w:after="0"/>
        <w:tabs>
          <w:tab w:leader="none" w:pos="540" w:val="left"/>
        </w:tabs>
        <w:numPr>
          <w:ilvl w:val="0"/>
          <w:numId w:val="2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Fair value measurement</w:t>
      </w:r>
    </w:p>
    <w:p>
      <w:pPr>
        <w:spacing w:after="0" w:line="135" w:lineRule="exact"/>
        <w:rPr>
          <w:sz w:val="20"/>
          <w:szCs w:val="20"/>
          <w:color w:val="auto"/>
        </w:rPr>
      </w:pPr>
    </w:p>
    <w:p>
      <w:pPr>
        <w:ind w:left="560" w:right="6260" w:hanging="12"/>
        <w:spacing w:after="0" w:line="375" w:lineRule="auto"/>
        <w:tabs>
          <w:tab w:leader="none" w:pos="1092"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assets and liabilities measured at fair value Fair value hierarchy</w:t>
      </w:r>
    </w:p>
    <w:p>
      <w:pPr>
        <w:spacing w:after="0" w:line="1" w:lineRule="exact"/>
        <w:rPr>
          <w:sz w:val="20"/>
          <w:szCs w:val="20"/>
          <w:color w:val="auto"/>
        </w:rPr>
      </w:pPr>
    </w:p>
    <w:p>
      <w:pPr>
        <w:ind w:left="560"/>
        <w:spacing w:after="0" w:line="289" w:lineRule="auto"/>
        <w:rPr>
          <w:sz w:val="20"/>
          <w:szCs w:val="20"/>
          <w:color w:val="auto"/>
        </w:rPr>
      </w:pPr>
      <w:r>
        <w:rPr>
          <w:rFonts w:ascii="Times New Roman" w:cs="Times New Roman" w:eastAsia="Times New Roman" w:hAnsi="Times New Roman"/>
          <w:sz w:val="17"/>
          <w:szCs w:val="17"/>
          <w:color w:val="auto"/>
        </w:rPr>
        <w:t xml:space="preserve">The following table presents the fair value of the Group’s financial instruments measured at the end of the years presented on a recurring basis, categorized into the three-level fair value hierarchy as defined in IFRS 13, </w:t>
      </w:r>
      <w:r>
        <w:rPr>
          <w:rFonts w:ascii="Times New Roman" w:cs="Times New Roman" w:eastAsia="Times New Roman" w:hAnsi="Times New Roman"/>
          <w:sz w:val="17"/>
          <w:szCs w:val="17"/>
          <w:i w:val="1"/>
          <w:iCs w:val="1"/>
          <w:color w:val="auto"/>
        </w:rPr>
        <w:t>Fair value measurement</w:t>
      </w:r>
      <w:r>
        <w:rPr>
          <w:rFonts w:ascii="Times New Roman" w:cs="Times New Roman" w:eastAsia="Times New Roman" w:hAnsi="Times New Roman"/>
          <w:sz w:val="17"/>
          <w:szCs w:val="17"/>
          <w:color w:val="auto"/>
        </w:rPr>
        <w:t>. The level into which a fair value measurement is classified is determined with reference to the observability and significance of the inputs used in the valuation technique as follows:</w:t>
      </w:r>
    </w:p>
    <w:p>
      <w:pPr>
        <w:spacing w:after="0" w:line="63"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1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Level 1 valuations:</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measured using only Level 1 inputs i.e. unadjusted quoted prices in active markets for identical assets or</w:t>
            </w:r>
          </w:p>
        </w:tc>
      </w:tr>
      <w:tr>
        <w:trPr>
          <w:trHeight w:val="234"/>
        </w:trPr>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liabilities at the measurement date.</w:t>
            </w:r>
          </w:p>
        </w:tc>
      </w:tr>
      <w:tr>
        <w:trPr>
          <w:trHeight w:val="306"/>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1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Level 2 valuations:</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Fair value measured using Level 2 inputs i.e. observable inputs which fail to meet Level 1, and not using significant</w:t>
            </w:r>
          </w:p>
        </w:tc>
      </w:tr>
      <w:tr>
        <w:trPr>
          <w:trHeight w:val="234"/>
        </w:trPr>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unobservable inputs. Unobservable inputs are inputs for which market data are not available.</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1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Level 3 valuations:</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measured using significant unobservable inputs.</w:t>
            </w:r>
          </w:p>
        </w:tc>
      </w:tr>
    </w:tbl>
    <w:p>
      <w:pPr>
        <w:spacing w:after="0" w:line="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the Group’s financial assets and liabilities that are measured at fair value at the end of each year presented:</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Recurring fair value measurement</w:t>
            </w:r>
          </w:p>
        </w:tc>
        <w:tc>
          <w:tcPr>
            <w:tcW w:w="33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2"/>
          </w:tcPr>
          <w:p>
            <w:pPr>
              <w:jc w:val="right"/>
              <w:ind w:right="244"/>
              <w:spacing w:after="0"/>
              <w:rPr>
                <w:sz w:val="20"/>
                <w:szCs w:val="20"/>
                <w:color w:val="auto"/>
              </w:rPr>
            </w:pPr>
            <w:r>
              <w:rPr>
                <w:rFonts w:ascii="Times New Roman" w:cs="Times New Roman" w:eastAsia="Times New Roman" w:hAnsi="Times New Roman"/>
                <w:sz w:val="14"/>
                <w:szCs w:val="14"/>
                <w:i w:val="1"/>
                <w:iCs w:val="1"/>
                <w:color w:val="auto"/>
              </w:rPr>
              <w:t>As of December 31, 2023</w:t>
            </w:r>
          </w:p>
        </w:tc>
        <w:tc>
          <w:tcPr>
            <w:tcW w:w="7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640" w:type="dxa"/>
            <w:vAlign w:val="bottom"/>
            <w:vMerge w:val="continue"/>
          </w:tcPr>
          <w:p>
            <w:pPr>
              <w:spacing w:after="0"/>
              <w:rPr>
                <w:sz w:val="10"/>
                <w:szCs w:val="10"/>
                <w:color w:val="auto"/>
              </w:rPr>
            </w:pPr>
          </w:p>
        </w:tc>
        <w:tc>
          <w:tcPr>
            <w:tcW w:w="3360" w:type="dxa"/>
            <w:vAlign w:val="bottom"/>
          </w:tcPr>
          <w:p>
            <w:pPr>
              <w:spacing w:after="0"/>
              <w:rPr>
                <w:sz w:val="10"/>
                <w:szCs w:val="10"/>
                <w:color w:val="auto"/>
              </w:rPr>
            </w:pPr>
          </w:p>
        </w:tc>
        <w:tc>
          <w:tcPr>
            <w:tcW w:w="900" w:type="dxa"/>
            <w:vAlign w:val="bottom"/>
          </w:tcPr>
          <w:p>
            <w:pPr>
              <w:ind w:left="80"/>
              <w:spacing w:after="0" w:line="119" w:lineRule="exact"/>
              <w:rPr>
                <w:sz w:val="20"/>
                <w:szCs w:val="20"/>
                <w:color w:val="auto"/>
              </w:rPr>
            </w:pPr>
            <w:r>
              <w:rPr>
                <w:rFonts w:ascii="Times New Roman" w:cs="Times New Roman" w:eastAsia="Times New Roman" w:hAnsi="Times New Roman"/>
                <w:sz w:val="13"/>
                <w:szCs w:val="13"/>
                <w:i w:val="1"/>
                <w:iCs w:val="1"/>
                <w:color w:val="auto"/>
              </w:rPr>
              <w:t>Fair value</w:t>
            </w:r>
          </w:p>
        </w:tc>
        <w:tc>
          <w:tcPr>
            <w:tcW w:w="880" w:type="dxa"/>
            <w:vAlign w:val="bottom"/>
          </w:tcPr>
          <w:p>
            <w:pPr>
              <w:jc w:val="right"/>
              <w:ind w:right="165"/>
              <w:spacing w:after="0" w:line="119" w:lineRule="exact"/>
              <w:rPr>
                <w:sz w:val="20"/>
                <w:szCs w:val="20"/>
                <w:color w:val="auto"/>
              </w:rPr>
            </w:pPr>
            <w:r>
              <w:rPr>
                <w:rFonts w:ascii="Times New Roman" w:cs="Times New Roman" w:eastAsia="Times New Roman" w:hAnsi="Times New Roman"/>
                <w:sz w:val="13"/>
                <w:szCs w:val="13"/>
                <w:i w:val="1"/>
                <w:iCs w:val="1"/>
                <w:color w:val="auto"/>
              </w:rPr>
              <w:t>Level 1</w:t>
            </w:r>
          </w:p>
        </w:tc>
        <w:tc>
          <w:tcPr>
            <w:tcW w:w="1020" w:type="dxa"/>
            <w:vAlign w:val="bottom"/>
          </w:tcPr>
          <w:p>
            <w:pPr>
              <w:jc w:val="right"/>
              <w:ind w:right="244"/>
              <w:spacing w:after="0" w:line="119" w:lineRule="exact"/>
              <w:rPr>
                <w:sz w:val="20"/>
                <w:szCs w:val="20"/>
                <w:color w:val="auto"/>
              </w:rPr>
            </w:pPr>
            <w:r>
              <w:rPr>
                <w:rFonts w:ascii="Times New Roman" w:cs="Times New Roman" w:eastAsia="Times New Roman" w:hAnsi="Times New Roman"/>
                <w:sz w:val="13"/>
                <w:szCs w:val="13"/>
                <w:i w:val="1"/>
                <w:iCs w:val="1"/>
                <w:color w:val="auto"/>
              </w:rPr>
              <w:t>Level 2</w:t>
            </w:r>
          </w:p>
        </w:tc>
        <w:tc>
          <w:tcPr>
            <w:tcW w:w="720" w:type="dxa"/>
            <w:vAlign w:val="bottom"/>
          </w:tcPr>
          <w:p>
            <w:pPr>
              <w:jc w:val="center"/>
              <w:ind w:left="64"/>
              <w:spacing w:after="0" w:line="119" w:lineRule="exact"/>
              <w:rPr>
                <w:sz w:val="20"/>
                <w:szCs w:val="20"/>
                <w:color w:val="auto"/>
              </w:rPr>
            </w:pPr>
            <w:r>
              <w:rPr>
                <w:rFonts w:ascii="Times New Roman" w:cs="Times New Roman" w:eastAsia="Times New Roman" w:hAnsi="Times New Roman"/>
                <w:sz w:val="13"/>
                <w:szCs w:val="13"/>
                <w:i w:val="1"/>
                <w:iCs w:val="1"/>
                <w:color w:val="auto"/>
              </w:rPr>
              <w:t>Level 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RMB’000</w:t>
            </w:r>
          </w:p>
        </w:tc>
        <w:tc>
          <w:tcPr>
            <w:tcW w:w="880" w:type="dxa"/>
            <w:vAlign w:val="bottom"/>
          </w:tcPr>
          <w:p>
            <w:pPr>
              <w:jc w:val="right"/>
              <w:ind w:right="85"/>
              <w:spacing w:after="0"/>
              <w:rPr>
                <w:sz w:val="20"/>
                <w:szCs w:val="20"/>
                <w:color w:val="auto"/>
              </w:rPr>
            </w:pPr>
            <w:r>
              <w:rPr>
                <w:rFonts w:ascii="Times New Roman" w:cs="Times New Roman" w:eastAsia="Times New Roman" w:hAnsi="Times New Roman"/>
                <w:sz w:val="14"/>
                <w:szCs w:val="14"/>
                <w:color w:val="auto"/>
              </w:rPr>
              <w:t>RMB’000</w:t>
            </w:r>
          </w:p>
        </w:tc>
        <w:tc>
          <w:tcPr>
            <w:tcW w:w="1020" w:type="dxa"/>
            <w:vAlign w:val="bottom"/>
          </w:tcPr>
          <w:p>
            <w:pPr>
              <w:jc w:val="right"/>
              <w:ind w:right="164"/>
              <w:spacing w:after="0"/>
              <w:rPr>
                <w:sz w:val="20"/>
                <w:szCs w:val="20"/>
                <w:color w:val="auto"/>
              </w:rPr>
            </w:pPr>
            <w:r>
              <w:rPr>
                <w:rFonts w:ascii="Times New Roman" w:cs="Times New Roman" w:eastAsia="Times New Roman" w:hAnsi="Times New Roman"/>
                <w:sz w:val="14"/>
                <w:szCs w:val="14"/>
                <w:color w:val="auto"/>
              </w:rPr>
              <w:t>RMB’000</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Financial assets at FVTPL</w:t>
            </w:r>
          </w:p>
        </w:tc>
        <w:tc>
          <w:tcPr>
            <w:tcW w:w="426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317,042</w:t>
            </w:r>
          </w:p>
        </w:tc>
        <w:tc>
          <w:tcPr>
            <w:tcW w:w="880" w:type="dxa"/>
            <w:vAlign w:val="bottom"/>
          </w:tcPr>
          <w:p>
            <w:pPr>
              <w:jc w:val="right"/>
              <w:ind w:right="125"/>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Pr>
          <w:p>
            <w:pPr>
              <w:jc w:val="right"/>
              <w:ind w:right="64"/>
              <w:spacing w:after="0"/>
              <w:rPr>
                <w:sz w:val="20"/>
                <w:szCs w:val="20"/>
                <w:color w:val="auto"/>
              </w:rPr>
            </w:pPr>
            <w:r>
              <w:rPr>
                <w:rFonts w:ascii="Times New Roman" w:cs="Times New Roman" w:eastAsia="Times New Roman" w:hAnsi="Times New Roman"/>
                <w:sz w:val="18"/>
                <w:szCs w:val="18"/>
                <w:color w:val="auto"/>
              </w:rPr>
              <w:t>317,042</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346"/>
        </w:trPr>
        <w:tc>
          <w:tcPr>
            <w:tcW w:w="3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Recurring fair value measurement</w:t>
            </w:r>
          </w:p>
        </w:tc>
        <w:tc>
          <w:tcPr>
            <w:tcW w:w="33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right"/>
              <w:ind w:right="244"/>
              <w:spacing w:after="0"/>
              <w:rPr>
                <w:sz w:val="20"/>
                <w:szCs w:val="20"/>
                <w:color w:val="auto"/>
              </w:rPr>
            </w:pPr>
            <w:r>
              <w:rPr>
                <w:rFonts w:ascii="Times New Roman" w:cs="Times New Roman" w:eastAsia="Times New Roman" w:hAnsi="Times New Roman"/>
                <w:sz w:val="14"/>
                <w:szCs w:val="14"/>
                <w:i w:val="1"/>
                <w:iCs w:val="1"/>
                <w:color w:val="auto"/>
              </w:rPr>
              <w:t>As of December 31, 2024</w:t>
            </w:r>
          </w:p>
        </w:tc>
        <w:tc>
          <w:tcPr>
            <w:tcW w:w="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640" w:type="dxa"/>
            <w:vAlign w:val="bottom"/>
            <w:vMerge w:val="continue"/>
          </w:tcPr>
          <w:p>
            <w:pPr>
              <w:spacing w:after="0"/>
              <w:rPr>
                <w:sz w:val="10"/>
                <w:szCs w:val="10"/>
                <w:color w:val="auto"/>
              </w:rPr>
            </w:pPr>
          </w:p>
        </w:tc>
        <w:tc>
          <w:tcPr>
            <w:tcW w:w="3360" w:type="dxa"/>
            <w:vAlign w:val="bottom"/>
          </w:tcPr>
          <w:p>
            <w:pPr>
              <w:spacing w:after="0"/>
              <w:rPr>
                <w:sz w:val="10"/>
                <w:szCs w:val="10"/>
                <w:color w:val="auto"/>
              </w:rPr>
            </w:pPr>
          </w:p>
        </w:tc>
        <w:tc>
          <w:tcPr>
            <w:tcW w:w="900" w:type="dxa"/>
            <w:vAlign w:val="bottom"/>
          </w:tcPr>
          <w:p>
            <w:pPr>
              <w:ind w:left="80"/>
              <w:spacing w:after="0" w:line="119" w:lineRule="exact"/>
              <w:rPr>
                <w:sz w:val="20"/>
                <w:szCs w:val="20"/>
                <w:color w:val="auto"/>
              </w:rPr>
            </w:pPr>
            <w:r>
              <w:rPr>
                <w:rFonts w:ascii="Times New Roman" w:cs="Times New Roman" w:eastAsia="Times New Roman" w:hAnsi="Times New Roman"/>
                <w:sz w:val="13"/>
                <w:szCs w:val="13"/>
                <w:i w:val="1"/>
                <w:iCs w:val="1"/>
                <w:color w:val="auto"/>
              </w:rPr>
              <w:t>Fair value</w:t>
            </w:r>
          </w:p>
        </w:tc>
        <w:tc>
          <w:tcPr>
            <w:tcW w:w="880" w:type="dxa"/>
            <w:vAlign w:val="bottom"/>
          </w:tcPr>
          <w:p>
            <w:pPr>
              <w:jc w:val="right"/>
              <w:ind w:right="165"/>
              <w:spacing w:after="0" w:line="119" w:lineRule="exact"/>
              <w:rPr>
                <w:sz w:val="20"/>
                <w:szCs w:val="20"/>
                <w:color w:val="auto"/>
              </w:rPr>
            </w:pPr>
            <w:r>
              <w:rPr>
                <w:rFonts w:ascii="Times New Roman" w:cs="Times New Roman" w:eastAsia="Times New Roman" w:hAnsi="Times New Roman"/>
                <w:sz w:val="13"/>
                <w:szCs w:val="13"/>
                <w:i w:val="1"/>
                <w:iCs w:val="1"/>
                <w:color w:val="auto"/>
              </w:rPr>
              <w:t>Level 1</w:t>
            </w:r>
          </w:p>
        </w:tc>
        <w:tc>
          <w:tcPr>
            <w:tcW w:w="1020" w:type="dxa"/>
            <w:vAlign w:val="bottom"/>
          </w:tcPr>
          <w:p>
            <w:pPr>
              <w:jc w:val="right"/>
              <w:ind w:right="244"/>
              <w:spacing w:after="0" w:line="119" w:lineRule="exact"/>
              <w:rPr>
                <w:sz w:val="20"/>
                <w:szCs w:val="20"/>
                <w:color w:val="auto"/>
              </w:rPr>
            </w:pPr>
            <w:r>
              <w:rPr>
                <w:rFonts w:ascii="Times New Roman" w:cs="Times New Roman" w:eastAsia="Times New Roman" w:hAnsi="Times New Roman"/>
                <w:sz w:val="13"/>
                <w:szCs w:val="13"/>
                <w:i w:val="1"/>
                <w:iCs w:val="1"/>
                <w:color w:val="auto"/>
              </w:rPr>
              <w:t>Level 2</w:t>
            </w:r>
          </w:p>
        </w:tc>
        <w:tc>
          <w:tcPr>
            <w:tcW w:w="720" w:type="dxa"/>
            <w:vAlign w:val="bottom"/>
          </w:tcPr>
          <w:p>
            <w:pPr>
              <w:jc w:val="center"/>
              <w:ind w:left="64"/>
              <w:spacing w:after="0" w:line="119" w:lineRule="exact"/>
              <w:rPr>
                <w:sz w:val="20"/>
                <w:szCs w:val="20"/>
                <w:color w:val="auto"/>
              </w:rPr>
            </w:pPr>
            <w:r>
              <w:rPr>
                <w:rFonts w:ascii="Times New Roman" w:cs="Times New Roman" w:eastAsia="Times New Roman" w:hAnsi="Times New Roman"/>
                <w:sz w:val="13"/>
                <w:szCs w:val="13"/>
                <w:i w:val="1"/>
                <w:iCs w:val="1"/>
                <w:color w:val="auto"/>
              </w:rPr>
              <w:t>Level 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RMB’000</w:t>
            </w:r>
          </w:p>
        </w:tc>
        <w:tc>
          <w:tcPr>
            <w:tcW w:w="880" w:type="dxa"/>
            <w:vAlign w:val="bottom"/>
          </w:tcPr>
          <w:p>
            <w:pPr>
              <w:jc w:val="right"/>
              <w:ind w:right="85"/>
              <w:spacing w:after="0"/>
              <w:rPr>
                <w:sz w:val="20"/>
                <w:szCs w:val="20"/>
                <w:color w:val="auto"/>
              </w:rPr>
            </w:pPr>
            <w:r>
              <w:rPr>
                <w:rFonts w:ascii="Times New Roman" w:cs="Times New Roman" w:eastAsia="Times New Roman" w:hAnsi="Times New Roman"/>
                <w:sz w:val="14"/>
                <w:szCs w:val="14"/>
                <w:color w:val="auto"/>
              </w:rPr>
              <w:t>RMB’000</w:t>
            </w:r>
          </w:p>
        </w:tc>
        <w:tc>
          <w:tcPr>
            <w:tcW w:w="1020" w:type="dxa"/>
            <w:vAlign w:val="bottom"/>
          </w:tcPr>
          <w:p>
            <w:pPr>
              <w:jc w:val="right"/>
              <w:ind w:right="164"/>
              <w:spacing w:after="0"/>
              <w:rPr>
                <w:sz w:val="20"/>
                <w:szCs w:val="20"/>
                <w:color w:val="auto"/>
              </w:rPr>
            </w:pPr>
            <w:r>
              <w:rPr>
                <w:rFonts w:ascii="Times New Roman" w:cs="Times New Roman" w:eastAsia="Times New Roman" w:hAnsi="Times New Roman"/>
                <w:sz w:val="14"/>
                <w:szCs w:val="14"/>
                <w:color w:val="auto"/>
              </w:rPr>
              <w:t>RMB’000</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Financial assets at FVTPL</w:t>
            </w:r>
          </w:p>
        </w:tc>
        <w:tc>
          <w:tcPr>
            <w:tcW w:w="426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1,742,065</w:t>
            </w:r>
          </w:p>
        </w:tc>
        <w:tc>
          <w:tcPr>
            <w:tcW w:w="880" w:type="dxa"/>
            <w:vAlign w:val="bottom"/>
          </w:tcPr>
          <w:p>
            <w:pPr>
              <w:jc w:val="right"/>
              <w:ind w:right="85"/>
              <w:spacing w:after="0"/>
              <w:rPr>
                <w:sz w:val="20"/>
                <w:szCs w:val="20"/>
                <w:color w:val="auto"/>
              </w:rPr>
            </w:pPr>
            <w:r>
              <w:rPr>
                <w:rFonts w:ascii="Times New Roman" w:cs="Times New Roman" w:eastAsia="Times New Roman" w:hAnsi="Times New Roman"/>
                <w:sz w:val="18"/>
                <w:szCs w:val="18"/>
                <w:color w:val="auto"/>
              </w:rPr>
              <w:t>56,919</w:t>
            </w:r>
          </w:p>
        </w:tc>
        <w:tc>
          <w:tcPr>
            <w:tcW w:w="1020" w:type="dxa"/>
            <w:vAlign w:val="bottom"/>
          </w:tcPr>
          <w:p>
            <w:pPr>
              <w:jc w:val="right"/>
              <w:ind w:right="64"/>
              <w:spacing w:after="0"/>
              <w:rPr>
                <w:sz w:val="20"/>
                <w:szCs w:val="20"/>
                <w:color w:val="auto"/>
              </w:rPr>
            </w:pPr>
            <w:r>
              <w:rPr>
                <w:rFonts w:ascii="Times New Roman" w:cs="Times New Roman" w:eastAsia="Times New Roman" w:hAnsi="Times New Roman"/>
                <w:sz w:val="18"/>
                <w:szCs w:val="18"/>
                <w:color w:val="auto"/>
              </w:rPr>
              <w:t>1,685,146</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346"/>
        </w:trPr>
        <w:tc>
          <w:tcPr>
            <w:tcW w:w="3640" w:type="dxa"/>
            <w:vAlign w:val="bottom"/>
          </w:tcPr>
          <w:p>
            <w:pPr>
              <w:spacing w:after="0"/>
              <w:rPr>
                <w:sz w:val="24"/>
                <w:szCs w:val="24"/>
                <w:color w:val="auto"/>
              </w:rPr>
            </w:pPr>
          </w:p>
        </w:tc>
        <w:tc>
          <w:tcPr>
            <w:tcW w:w="4260" w:type="dxa"/>
            <w:vAlign w:val="bottom"/>
            <w:gridSpan w:val="2"/>
          </w:tcPr>
          <w:p>
            <w:pPr>
              <w:jc w:val="right"/>
              <w:ind w:right="2591"/>
              <w:spacing w:after="0"/>
              <w:rPr>
                <w:sz w:val="20"/>
                <w:szCs w:val="20"/>
                <w:color w:val="auto"/>
              </w:rPr>
            </w:pPr>
            <w:r>
              <w:rPr>
                <w:rFonts w:ascii="Times New Roman" w:cs="Times New Roman" w:eastAsia="Times New Roman" w:hAnsi="Times New Roman"/>
                <w:sz w:val="18"/>
                <w:szCs w:val="18"/>
                <w:color w:val="auto"/>
              </w:rPr>
              <w:t>F-73</w:t>
            </w: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right="720"/>
        <w:spacing w:after="0" w:line="282" w:lineRule="auto"/>
        <w:rPr>
          <w:sz w:val="20"/>
          <w:szCs w:val="20"/>
          <w:color w:val="auto"/>
        </w:rPr>
      </w:pPr>
      <w:r>
        <w:rPr>
          <w:rFonts w:ascii="Times New Roman" w:cs="Times New Roman" w:eastAsia="Times New Roman" w:hAnsi="Times New Roman"/>
          <w:sz w:val="18"/>
          <w:szCs w:val="18"/>
          <w:color w:val="auto"/>
        </w:rPr>
        <w:t>For the years presented, there were no transfers between Level 1 and Level 2, or transfers into or out of Level 3. The Group’s policy is to recognize transfers between levels of fair value hierarchy as at the end of the years presented in which they occur.</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Financial instruments in level 2</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Financial assets at FVTPL</w:t>
      </w:r>
    </w:p>
    <w:p>
      <w:pPr>
        <w:spacing w:after="0" w:line="119" w:lineRule="exact"/>
        <w:rPr>
          <w:sz w:val="20"/>
          <w:szCs w:val="20"/>
          <w:color w:val="auto"/>
        </w:rPr>
      </w:pPr>
    </w:p>
    <w:p>
      <w:pPr>
        <w:ind w:left="560" w:right="280"/>
        <w:spacing w:after="0" w:line="312" w:lineRule="auto"/>
        <w:rPr>
          <w:sz w:val="20"/>
          <w:szCs w:val="20"/>
          <w:color w:val="auto"/>
        </w:rPr>
      </w:pPr>
      <w:r>
        <w:rPr>
          <w:rFonts w:ascii="Times New Roman" w:cs="Times New Roman" w:eastAsia="Times New Roman" w:hAnsi="Times New Roman"/>
          <w:sz w:val="17"/>
          <w:szCs w:val="17"/>
          <w:color w:val="auto"/>
        </w:rPr>
        <w:t>The fair value of the financial assets in Level 2, is determined based on the unit price published on the counterparty bank’s or financial institution’s websites. The published unit price is the unit price at which a holder could redeem the fund units at the end of each year presented.</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Financial assets at FVTPL consisted of the following:</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920" w:type="dxa"/>
            <w:vAlign w:val="bottom"/>
          </w:tcPr>
          <w:p>
            <w:pPr>
              <w:spacing w:after="0"/>
              <w:rPr>
                <w:sz w:val="15"/>
                <w:szCs w:val="15"/>
                <w:color w:val="auto"/>
              </w:rPr>
            </w:pPr>
          </w:p>
        </w:tc>
        <w:tc>
          <w:tcPr>
            <w:tcW w:w="1640" w:type="dxa"/>
            <w:vAlign w:val="bottom"/>
            <w:gridSpan w:val="4"/>
          </w:tcPr>
          <w:p>
            <w:pPr>
              <w:ind w:left="220"/>
              <w:spacing w:after="0"/>
              <w:rPr>
                <w:sz w:val="20"/>
                <w:szCs w:val="20"/>
                <w:color w:val="auto"/>
              </w:rPr>
            </w:pPr>
            <w:r>
              <w:rPr>
                <w:rFonts w:ascii="Times New Roman" w:cs="Times New Roman" w:eastAsia="Times New Roman" w:hAnsi="Times New Roman"/>
                <w:sz w:val="14"/>
                <w:szCs w:val="14"/>
                <w:i w:val="1"/>
                <w:iCs w:val="1"/>
                <w:color w:val="auto"/>
              </w:rPr>
              <w:t>As of December 31,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920" w:type="dxa"/>
            <w:vAlign w:val="bottom"/>
          </w:tcPr>
          <w:p>
            <w:pPr>
              <w:spacing w:after="0"/>
              <w:rPr>
                <w:sz w:val="10"/>
                <w:szCs w:val="10"/>
                <w:color w:val="auto"/>
              </w:rPr>
            </w:pPr>
          </w:p>
        </w:tc>
        <w:tc>
          <w:tcPr>
            <w:tcW w:w="640" w:type="dxa"/>
            <w:vAlign w:val="bottom"/>
            <w:tcBorders>
              <w:top w:val="single" w:sz="8" w:color="auto"/>
            </w:tcBorders>
          </w:tcPr>
          <w:p>
            <w:pPr>
              <w:jc w:val="right"/>
              <w:ind w:right="100"/>
              <w:spacing w:after="0" w:line="119" w:lineRule="exact"/>
              <w:rPr>
                <w:sz w:val="20"/>
                <w:szCs w:val="20"/>
                <w:color w:val="auto"/>
              </w:rPr>
            </w:pPr>
            <w:r>
              <w:rPr>
                <w:rFonts w:ascii="Times New Roman" w:cs="Times New Roman" w:eastAsia="Times New Roman" w:hAnsi="Times New Roman"/>
                <w:sz w:val="13"/>
                <w:szCs w:val="13"/>
                <w:i w:val="1"/>
                <w:iCs w:val="1"/>
                <w:color w:val="auto"/>
              </w:rPr>
              <w:t>2023</w:t>
            </w: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158"/>
              <w:spacing w:after="0" w:line="119" w:lineRule="exact"/>
              <w:rPr>
                <w:sz w:val="20"/>
                <w:szCs w:val="20"/>
                <w:color w:val="auto"/>
              </w:rPr>
            </w:pPr>
            <w:r>
              <w:rPr>
                <w:rFonts w:ascii="Times New Roman" w:cs="Times New Roman" w:eastAsia="Times New Roman" w:hAnsi="Times New Roman"/>
                <w:sz w:val="13"/>
                <w:szCs w:val="13"/>
                <w:i w:val="1"/>
                <w:iCs w:val="1"/>
                <w:color w:val="auto"/>
              </w:rPr>
              <w:t>2024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RMB’000</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Aggregated cost basis</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258,587</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1,662,401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Gross unrealized holding gain</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58,455</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22,745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Aggregated fair value</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317,042</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1,685,146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right="120"/>
        <w:spacing w:after="0" w:line="282" w:lineRule="auto"/>
        <w:rPr>
          <w:sz w:val="20"/>
          <w:szCs w:val="20"/>
          <w:color w:val="auto"/>
        </w:rPr>
      </w:pPr>
      <w:r>
        <w:rPr>
          <w:rFonts w:ascii="Times New Roman" w:cs="Times New Roman" w:eastAsia="Times New Roman" w:hAnsi="Times New Roman"/>
          <w:sz w:val="18"/>
          <w:szCs w:val="18"/>
          <w:color w:val="auto"/>
        </w:rPr>
        <w:t>The tables below reflect the reconciliation from the opening balance to the closing balance for recurring fair value measurements of the fair value hierarchy for the years presented:</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4"/>
          </w:tcPr>
          <w:p>
            <w:pPr>
              <w:jc w:val="right"/>
              <w:ind w:right="565"/>
              <w:spacing w:after="0"/>
              <w:rPr>
                <w:sz w:val="20"/>
                <w:szCs w:val="20"/>
                <w:color w:val="auto"/>
              </w:rPr>
            </w:pPr>
            <w:r>
              <w:rPr>
                <w:rFonts w:ascii="Times New Roman" w:cs="Times New Roman" w:eastAsia="Times New Roman" w:hAnsi="Times New Roman"/>
                <w:sz w:val="14"/>
                <w:szCs w:val="14"/>
                <w:color w:val="auto"/>
              </w:rPr>
              <w:t>For the year ended December 31, 2022</w:t>
            </w: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January 1,</w:t>
            </w:r>
          </w:p>
        </w:tc>
        <w:tc>
          <w:tcPr>
            <w:tcW w:w="9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Included in</w:t>
            </w:r>
          </w:p>
        </w:tc>
        <w:tc>
          <w:tcPr>
            <w:tcW w:w="74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Foreign</w:t>
            </w: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Purchase</w:t>
            </w:r>
          </w:p>
        </w:tc>
        <w:tc>
          <w:tcPr>
            <w:tcW w:w="1000" w:type="dxa"/>
            <w:vAlign w:val="bottom"/>
            <w:vMerge w:val="restart"/>
          </w:tcPr>
          <w:p>
            <w:pPr>
              <w:jc w:val="center"/>
              <w:ind w:right="22"/>
              <w:spacing w:after="0"/>
              <w:rPr>
                <w:sz w:val="20"/>
                <w:szCs w:val="20"/>
                <w:color w:val="auto"/>
              </w:rPr>
            </w:pPr>
            <w:r>
              <w:rPr>
                <w:rFonts w:ascii="Times New Roman" w:cs="Times New Roman" w:eastAsia="Times New Roman" w:hAnsi="Times New Roman"/>
                <w:sz w:val="14"/>
                <w:szCs w:val="14"/>
                <w:color w:val="auto"/>
              </w:rPr>
              <w:t>Sell</w:t>
            </w:r>
          </w:p>
        </w:tc>
        <w:tc>
          <w:tcPr>
            <w:tcW w:w="820" w:type="dxa"/>
            <w:vAlign w:val="bottom"/>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exchange</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2740" w:type="dxa"/>
            <w:vAlign w:val="bottom"/>
            <w:gridSpan w:val="2"/>
          </w:tcPr>
          <w:p>
            <w:pPr>
              <w:jc w:val="center"/>
              <w:ind w:left="1658"/>
              <w:spacing w:after="0" w:line="149" w:lineRule="exact"/>
              <w:rPr>
                <w:sz w:val="20"/>
                <w:szCs w:val="20"/>
                <w:color w:val="auto"/>
              </w:rPr>
            </w:pPr>
            <w:r>
              <w:rPr>
                <w:rFonts w:ascii="Times New Roman" w:cs="Times New Roman" w:eastAsia="Times New Roman" w:hAnsi="Times New Roman"/>
                <w:sz w:val="14"/>
                <w:szCs w:val="14"/>
                <w:color w:val="auto"/>
                <w:w w:val="99"/>
              </w:rPr>
              <w:t>2022</w:t>
            </w:r>
          </w:p>
        </w:tc>
        <w:tc>
          <w:tcPr>
            <w:tcW w:w="94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earnings</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effect</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RMB’000</w:t>
            </w:r>
          </w:p>
        </w:tc>
        <w:tc>
          <w:tcPr>
            <w:tcW w:w="940" w:type="dxa"/>
            <w:vAlign w:val="bottom"/>
          </w:tcPr>
          <w:p>
            <w:pPr>
              <w:jc w:val="center"/>
              <w:ind w:right="4"/>
              <w:spacing w:after="0"/>
              <w:rPr>
                <w:sz w:val="20"/>
                <w:szCs w:val="20"/>
                <w:color w:val="auto"/>
              </w:rPr>
            </w:pPr>
            <w:r>
              <w:rPr>
                <w:rFonts w:ascii="Times New Roman" w:cs="Times New Roman" w:eastAsia="Times New Roman" w:hAnsi="Times New Roman"/>
                <w:sz w:val="14"/>
                <w:szCs w:val="14"/>
                <w:color w:val="auto"/>
              </w:rPr>
              <w:t>RMB’000</w:t>
            </w:r>
          </w:p>
        </w:tc>
        <w:tc>
          <w:tcPr>
            <w:tcW w:w="1000" w:type="dxa"/>
            <w:vAlign w:val="bottom"/>
          </w:tcPr>
          <w:p>
            <w:pPr>
              <w:jc w:val="center"/>
              <w:ind w:right="22"/>
              <w:spacing w:after="0"/>
              <w:rPr>
                <w:sz w:val="20"/>
                <w:szCs w:val="20"/>
                <w:color w:val="auto"/>
              </w:rPr>
            </w:pPr>
            <w:r>
              <w:rPr>
                <w:rFonts w:ascii="Times New Roman" w:cs="Times New Roman" w:eastAsia="Times New Roman" w:hAnsi="Times New Roman"/>
                <w:sz w:val="14"/>
                <w:szCs w:val="14"/>
                <w:color w:val="auto"/>
              </w:rPr>
              <w:t>RMB’000</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RMB’000</w:t>
            </w:r>
          </w:p>
        </w:tc>
        <w:tc>
          <w:tcPr>
            <w:tcW w:w="740" w:type="dxa"/>
            <w:vAlign w:val="bottom"/>
          </w:tcPr>
          <w:p>
            <w:pPr>
              <w:jc w:val="right"/>
              <w:ind w:right="5"/>
              <w:spacing w:after="0"/>
              <w:rPr>
                <w:sz w:val="20"/>
                <w:szCs w:val="20"/>
                <w:color w:val="auto"/>
              </w:rPr>
            </w:pPr>
            <w:r>
              <w:rPr>
                <w:rFonts w:ascii="Times New Roman" w:cs="Times New Roman" w:eastAsia="Times New Roman" w:hAnsi="Times New Roman"/>
                <w:sz w:val="14"/>
                <w:szCs w:val="14"/>
                <w:color w:val="auto"/>
              </w:rPr>
              <w:t>RMB’000</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Financial assets at FVTPL</w:t>
            </w:r>
          </w:p>
        </w:tc>
        <w:tc>
          <w:tcPr>
            <w:tcW w:w="27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53,868</w:t>
            </w: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8"/>
                <w:szCs w:val="18"/>
                <w:color w:val="auto"/>
              </w:rPr>
              <w:t>2,041,173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(929,785)</w:t>
            </w: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7,731</w:t>
            </w:r>
          </w:p>
        </w:tc>
        <w:tc>
          <w:tcPr>
            <w:tcW w:w="740" w:type="dxa"/>
            <w:vAlign w:val="bottom"/>
          </w:tcPr>
          <w:p>
            <w:pPr>
              <w:jc w:val="right"/>
              <w:ind w:right="5"/>
              <w:spacing w:after="0"/>
              <w:rPr>
                <w:sz w:val="20"/>
                <w:szCs w:val="20"/>
                <w:color w:val="auto"/>
              </w:rPr>
            </w:pPr>
            <w:r>
              <w:rPr>
                <w:rFonts w:ascii="Times New Roman" w:cs="Times New Roman" w:eastAsia="Times New Roman" w:hAnsi="Times New Roman"/>
                <w:sz w:val="18"/>
                <w:szCs w:val="18"/>
                <w:color w:val="auto"/>
              </w:rPr>
              <w:t>45,537</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1,218,524</w:t>
            </w:r>
          </w:p>
        </w:tc>
        <w:tc>
          <w:tcPr>
            <w:tcW w:w="0" w:type="dxa"/>
            <w:vAlign w:val="bottom"/>
          </w:tcPr>
          <w:p>
            <w:pPr>
              <w:spacing w:after="0"/>
              <w:rPr>
                <w:sz w:val="1"/>
                <w:szCs w:val="1"/>
                <w:color w:val="auto"/>
              </w:rPr>
            </w:pPr>
          </w:p>
        </w:tc>
      </w:tr>
      <w:tr>
        <w:trPr>
          <w:trHeight w:val="346"/>
        </w:trPr>
        <w:tc>
          <w:tcPr>
            <w:tcW w:w="34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4"/>
          </w:tcPr>
          <w:p>
            <w:pPr>
              <w:jc w:val="right"/>
              <w:ind w:right="565"/>
              <w:spacing w:after="0"/>
              <w:rPr>
                <w:sz w:val="20"/>
                <w:szCs w:val="20"/>
                <w:color w:val="auto"/>
              </w:rPr>
            </w:pPr>
            <w:r>
              <w:rPr>
                <w:rFonts w:ascii="Times New Roman" w:cs="Times New Roman" w:eastAsia="Times New Roman" w:hAnsi="Times New Roman"/>
                <w:sz w:val="14"/>
                <w:szCs w:val="14"/>
                <w:color w:val="auto"/>
              </w:rPr>
              <w:t>For the year ended December 31, 2023</w:t>
            </w:r>
          </w:p>
        </w:tc>
        <w:tc>
          <w:tcPr>
            <w:tcW w:w="8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4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January 1,</w:t>
            </w:r>
          </w:p>
        </w:tc>
        <w:tc>
          <w:tcPr>
            <w:tcW w:w="9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Included in</w:t>
            </w:r>
          </w:p>
        </w:tc>
        <w:tc>
          <w:tcPr>
            <w:tcW w:w="74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Foreign</w:t>
            </w: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Purchase</w:t>
            </w:r>
          </w:p>
        </w:tc>
        <w:tc>
          <w:tcPr>
            <w:tcW w:w="1000" w:type="dxa"/>
            <w:vAlign w:val="bottom"/>
            <w:vMerge w:val="restart"/>
          </w:tcPr>
          <w:p>
            <w:pPr>
              <w:jc w:val="center"/>
              <w:ind w:right="22"/>
              <w:spacing w:after="0"/>
              <w:rPr>
                <w:sz w:val="20"/>
                <w:szCs w:val="20"/>
                <w:color w:val="auto"/>
              </w:rPr>
            </w:pPr>
            <w:r>
              <w:rPr>
                <w:rFonts w:ascii="Times New Roman" w:cs="Times New Roman" w:eastAsia="Times New Roman" w:hAnsi="Times New Roman"/>
                <w:sz w:val="14"/>
                <w:szCs w:val="14"/>
                <w:color w:val="auto"/>
              </w:rPr>
              <w:t>Sell</w:t>
            </w:r>
          </w:p>
        </w:tc>
        <w:tc>
          <w:tcPr>
            <w:tcW w:w="820" w:type="dxa"/>
            <w:vAlign w:val="bottom"/>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exchange</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2740" w:type="dxa"/>
            <w:vAlign w:val="bottom"/>
            <w:gridSpan w:val="2"/>
          </w:tcPr>
          <w:p>
            <w:pPr>
              <w:jc w:val="center"/>
              <w:ind w:left="1658"/>
              <w:spacing w:after="0" w:line="149" w:lineRule="exact"/>
              <w:rPr>
                <w:sz w:val="20"/>
                <w:szCs w:val="20"/>
                <w:color w:val="auto"/>
              </w:rPr>
            </w:pPr>
            <w:r>
              <w:rPr>
                <w:rFonts w:ascii="Times New Roman" w:cs="Times New Roman" w:eastAsia="Times New Roman" w:hAnsi="Times New Roman"/>
                <w:sz w:val="14"/>
                <w:szCs w:val="14"/>
                <w:color w:val="auto"/>
                <w:w w:val="99"/>
              </w:rPr>
              <w:t>2023</w:t>
            </w:r>
          </w:p>
        </w:tc>
        <w:tc>
          <w:tcPr>
            <w:tcW w:w="94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earnings</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effect</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RMB’000</w:t>
            </w:r>
          </w:p>
        </w:tc>
        <w:tc>
          <w:tcPr>
            <w:tcW w:w="940" w:type="dxa"/>
            <w:vAlign w:val="bottom"/>
          </w:tcPr>
          <w:p>
            <w:pPr>
              <w:jc w:val="center"/>
              <w:ind w:right="4"/>
              <w:spacing w:after="0"/>
              <w:rPr>
                <w:sz w:val="20"/>
                <w:szCs w:val="20"/>
                <w:color w:val="auto"/>
              </w:rPr>
            </w:pPr>
            <w:r>
              <w:rPr>
                <w:rFonts w:ascii="Times New Roman" w:cs="Times New Roman" w:eastAsia="Times New Roman" w:hAnsi="Times New Roman"/>
                <w:sz w:val="14"/>
                <w:szCs w:val="14"/>
                <w:color w:val="auto"/>
              </w:rPr>
              <w:t>RMB’000</w:t>
            </w:r>
          </w:p>
        </w:tc>
        <w:tc>
          <w:tcPr>
            <w:tcW w:w="1000" w:type="dxa"/>
            <w:vAlign w:val="bottom"/>
          </w:tcPr>
          <w:p>
            <w:pPr>
              <w:jc w:val="center"/>
              <w:ind w:right="22"/>
              <w:spacing w:after="0"/>
              <w:rPr>
                <w:sz w:val="20"/>
                <w:szCs w:val="20"/>
                <w:color w:val="auto"/>
              </w:rPr>
            </w:pPr>
            <w:r>
              <w:rPr>
                <w:rFonts w:ascii="Times New Roman" w:cs="Times New Roman" w:eastAsia="Times New Roman" w:hAnsi="Times New Roman"/>
                <w:sz w:val="14"/>
                <w:szCs w:val="14"/>
                <w:color w:val="auto"/>
              </w:rPr>
              <w:t>RMB’000</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RMB’000</w:t>
            </w:r>
          </w:p>
        </w:tc>
        <w:tc>
          <w:tcPr>
            <w:tcW w:w="740" w:type="dxa"/>
            <w:vAlign w:val="bottom"/>
          </w:tcPr>
          <w:p>
            <w:pPr>
              <w:jc w:val="right"/>
              <w:ind w:right="5"/>
              <w:spacing w:after="0"/>
              <w:rPr>
                <w:sz w:val="20"/>
                <w:szCs w:val="20"/>
                <w:color w:val="auto"/>
              </w:rPr>
            </w:pPr>
            <w:r>
              <w:rPr>
                <w:rFonts w:ascii="Times New Roman" w:cs="Times New Roman" w:eastAsia="Times New Roman" w:hAnsi="Times New Roman"/>
                <w:sz w:val="14"/>
                <w:szCs w:val="14"/>
                <w:color w:val="auto"/>
              </w:rPr>
              <w:t>RMB’000</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Financial assets at FVTPL</w:t>
            </w:r>
          </w:p>
        </w:tc>
        <w:tc>
          <w:tcPr>
            <w:tcW w:w="27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1,218,524</w:t>
            </w: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8"/>
                <w:szCs w:val="18"/>
                <w:color w:val="auto"/>
              </w:rPr>
              <w:t>1,965,328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(2,925,265)</w:t>
            </w: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42,960</w:t>
            </w:r>
          </w:p>
        </w:tc>
        <w:tc>
          <w:tcPr>
            <w:tcW w:w="740" w:type="dxa"/>
            <w:vAlign w:val="bottom"/>
          </w:tcPr>
          <w:p>
            <w:pPr>
              <w:jc w:val="right"/>
              <w:ind w:right="5"/>
              <w:spacing w:after="0"/>
              <w:rPr>
                <w:sz w:val="20"/>
                <w:szCs w:val="20"/>
                <w:color w:val="auto"/>
              </w:rPr>
            </w:pPr>
            <w:r>
              <w:rPr>
                <w:rFonts w:ascii="Times New Roman" w:cs="Times New Roman" w:eastAsia="Times New Roman" w:hAnsi="Times New Roman"/>
                <w:sz w:val="18"/>
                <w:szCs w:val="18"/>
                <w:color w:val="auto"/>
              </w:rPr>
              <w:t>15,495</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317,042</w:t>
            </w:r>
          </w:p>
        </w:tc>
        <w:tc>
          <w:tcPr>
            <w:tcW w:w="0" w:type="dxa"/>
            <w:vAlign w:val="bottom"/>
          </w:tcPr>
          <w:p>
            <w:pPr>
              <w:spacing w:after="0"/>
              <w:rPr>
                <w:sz w:val="1"/>
                <w:szCs w:val="1"/>
                <w:color w:val="auto"/>
              </w:rPr>
            </w:pPr>
          </w:p>
        </w:tc>
      </w:tr>
      <w:tr>
        <w:trPr>
          <w:trHeight w:val="346"/>
        </w:trPr>
        <w:tc>
          <w:tcPr>
            <w:tcW w:w="34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4"/>
          </w:tcPr>
          <w:p>
            <w:pPr>
              <w:jc w:val="right"/>
              <w:ind w:right="565"/>
              <w:spacing w:after="0"/>
              <w:rPr>
                <w:sz w:val="20"/>
                <w:szCs w:val="20"/>
                <w:color w:val="auto"/>
              </w:rPr>
            </w:pPr>
            <w:r>
              <w:rPr>
                <w:rFonts w:ascii="Times New Roman" w:cs="Times New Roman" w:eastAsia="Times New Roman" w:hAnsi="Times New Roman"/>
                <w:sz w:val="14"/>
                <w:szCs w:val="14"/>
                <w:color w:val="auto"/>
              </w:rPr>
              <w:t>For the year ended December 31, 2024</w:t>
            </w:r>
          </w:p>
        </w:tc>
        <w:tc>
          <w:tcPr>
            <w:tcW w:w="8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4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January 1,</w:t>
            </w:r>
          </w:p>
        </w:tc>
        <w:tc>
          <w:tcPr>
            <w:tcW w:w="9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Included in</w:t>
            </w:r>
          </w:p>
        </w:tc>
        <w:tc>
          <w:tcPr>
            <w:tcW w:w="74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Foreign</w:t>
            </w: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Purchase</w:t>
            </w:r>
          </w:p>
        </w:tc>
        <w:tc>
          <w:tcPr>
            <w:tcW w:w="1000" w:type="dxa"/>
            <w:vAlign w:val="bottom"/>
            <w:vMerge w:val="restart"/>
          </w:tcPr>
          <w:p>
            <w:pPr>
              <w:jc w:val="center"/>
              <w:ind w:right="22"/>
              <w:spacing w:after="0"/>
              <w:rPr>
                <w:sz w:val="20"/>
                <w:szCs w:val="20"/>
                <w:color w:val="auto"/>
              </w:rPr>
            </w:pPr>
            <w:r>
              <w:rPr>
                <w:rFonts w:ascii="Times New Roman" w:cs="Times New Roman" w:eastAsia="Times New Roman" w:hAnsi="Times New Roman"/>
                <w:sz w:val="14"/>
                <w:szCs w:val="14"/>
                <w:color w:val="auto"/>
              </w:rPr>
              <w:t>Sell</w:t>
            </w:r>
          </w:p>
        </w:tc>
        <w:tc>
          <w:tcPr>
            <w:tcW w:w="820" w:type="dxa"/>
            <w:vAlign w:val="bottom"/>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exchange</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2740" w:type="dxa"/>
            <w:vAlign w:val="bottom"/>
            <w:gridSpan w:val="2"/>
          </w:tcPr>
          <w:p>
            <w:pPr>
              <w:jc w:val="center"/>
              <w:ind w:left="1658"/>
              <w:spacing w:after="0" w:line="149" w:lineRule="exact"/>
              <w:rPr>
                <w:sz w:val="20"/>
                <w:szCs w:val="20"/>
                <w:color w:val="auto"/>
              </w:rPr>
            </w:pPr>
            <w:r>
              <w:rPr>
                <w:rFonts w:ascii="Times New Roman" w:cs="Times New Roman" w:eastAsia="Times New Roman" w:hAnsi="Times New Roman"/>
                <w:sz w:val="14"/>
                <w:szCs w:val="14"/>
                <w:color w:val="auto"/>
                <w:w w:val="99"/>
              </w:rPr>
              <w:t>2024</w:t>
            </w:r>
          </w:p>
        </w:tc>
        <w:tc>
          <w:tcPr>
            <w:tcW w:w="94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earnings</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effect</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RMB’000</w:t>
            </w:r>
          </w:p>
        </w:tc>
        <w:tc>
          <w:tcPr>
            <w:tcW w:w="940" w:type="dxa"/>
            <w:vAlign w:val="bottom"/>
          </w:tcPr>
          <w:p>
            <w:pPr>
              <w:jc w:val="center"/>
              <w:ind w:right="4"/>
              <w:spacing w:after="0"/>
              <w:rPr>
                <w:sz w:val="20"/>
                <w:szCs w:val="20"/>
                <w:color w:val="auto"/>
              </w:rPr>
            </w:pPr>
            <w:r>
              <w:rPr>
                <w:rFonts w:ascii="Times New Roman" w:cs="Times New Roman" w:eastAsia="Times New Roman" w:hAnsi="Times New Roman"/>
                <w:sz w:val="14"/>
                <w:szCs w:val="14"/>
                <w:color w:val="auto"/>
              </w:rPr>
              <w:t>RMB’000</w:t>
            </w:r>
          </w:p>
        </w:tc>
        <w:tc>
          <w:tcPr>
            <w:tcW w:w="1000" w:type="dxa"/>
            <w:vAlign w:val="bottom"/>
          </w:tcPr>
          <w:p>
            <w:pPr>
              <w:jc w:val="center"/>
              <w:ind w:right="22"/>
              <w:spacing w:after="0"/>
              <w:rPr>
                <w:sz w:val="20"/>
                <w:szCs w:val="20"/>
                <w:color w:val="auto"/>
              </w:rPr>
            </w:pPr>
            <w:r>
              <w:rPr>
                <w:rFonts w:ascii="Times New Roman" w:cs="Times New Roman" w:eastAsia="Times New Roman" w:hAnsi="Times New Roman"/>
                <w:sz w:val="14"/>
                <w:szCs w:val="14"/>
                <w:color w:val="auto"/>
              </w:rPr>
              <w:t>RMB’000</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RMB’000</w:t>
            </w:r>
          </w:p>
        </w:tc>
        <w:tc>
          <w:tcPr>
            <w:tcW w:w="740" w:type="dxa"/>
            <w:vAlign w:val="bottom"/>
          </w:tcPr>
          <w:p>
            <w:pPr>
              <w:jc w:val="right"/>
              <w:ind w:right="5"/>
              <w:spacing w:after="0"/>
              <w:rPr>
                <w:sz w:val="20"/>
                <w:szCs w:val="20"/>
                <w:color w:val="auto"/>
              </w:rPr>
            </w:pPr>
            <w:r>
              <w:rPr>
                <w:rFonts w:ascii="Times New Roman" w:cs="Times New Roman" w:eastAsia="Times New Roman" w:hAnsi="Times New Roman"/>
                <w:sz w:val="14"/>
                <w:szCs w:val="14"/>
                <w:color w:val="auto"/>
              </w:rPr>
              <w:t>RMB’000</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Financial assets at FVTPL</w:t>
            </w:r>
          </w:p>
        </w:tc>
        <w:tc>
          <w:tcPr>
            <w:tcW w:w="27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317,042</w:t>
            </w: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8"/>
                <w:szCs w:val="18"/>
                <w:color w:val="auto"/>
              </w:rPr>
              <w:t>1,665,195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(324,791)</w:t>
            </w: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22,745</w:t>
            </w:r>
          </w:p>
        </w:tc>
        <w:tc>
          <w:tcPr>
            <w:tcW w:w="740" w:type="dxa"/>
            <w:vAlign w:val="bottom"/>
          </w:tcPr>
          <w:p>
            <w:pPr>
              <w:jc w:val="right"/>
              <w:ind w:right="5"/>
              <w:spacing w:after="0"/>
              <w:rPr>
                <w:sz w:val="20"/>
                <w:szCs w:val="20"/>
                <w:color w:val="auto"/>
              </w:rPr>
            </w:pPr>
            <w:r>
              <w:rPr>
                <w:rFonts w:ascii="Times New Roman" w:cs="Times New Roman" w:eastAsia="Times New Roman" w:hAnsi="Times New Roman"/>
                <w:sz w:val="18"/>
                <w:szCs w:val="18"/>
                <w:color w:val="auto"/>
              </w:rPr>
              <w:t>4,955</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1,685,146</w:t>
            </w:r>
          </w:p>
        </w:tc>
        <w:tc>
          <w:tcPr>
            <w:tcW w:w="0" w:type="dxa"/>
            <w:vAlign w:val="bottom"/>
          </w:tcPr>
          <w:p>
            <w:pPr>
              <w:spacing w:after="0"/>
              <w:rPr>
                <w:sz w:val="1"/>
                <w:szCs w:val="1"/>
                <w:color w:val="auto"/>
              </w:rPr>
            </w:pPr>
          </w:p>
        </w:tc>
      </w:tr>
      <w:tr>
        <w:trPr>
          <w:trHeight w:val="346"/>
        </w:trPr>
        <w:tc>
          <w:tcPr>
            <w:tcW w:w="3400" w:type="dxa"/>
            <w:vAlign w:val="bottom"/>
          </w:tcPr>
          <w:p>
            <w:pPr>
              <w:spacing w:after="0"/>
              <w:rPr>
                <w:sz w:val="24"/>
                <w:szCs w:val="24"/>
                <w:color w:val="auto"/>
              </w:rPr>
            </w:pPr>
          </w:p>
        </w:tc>
        <w:tc>
          <w:tcPr>
            <w:tcW w:w="274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F-74</w:t>
            </w: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financial assets and liabilities carried at other than fair value</w:t>
      </w:r>
    </w:p>
    <w:p>
      <w:pPr>
        <w:spacing w:after="0" w:line="117" w:lineRule="exact"/>
        <w:rPr>
          <w:sz w:val="20"/>
          <w:szCs w:val="20"/>
          <w:color w:val="auto"/>
        </w:rPr>
      </w:pPr>
    </w:p>
    <w:p>
      <w:pPr>
        <w:ind w:left="560" w:right="80"/>
        <w:spacing w:after="0" w:line="266" w:lineRule="auto"/>
        <w:rPr>
          <w:sz w:val="20"/>
          <w:szCs w:val="20"/>
          <w:color w:val="auto"/>
        </w:rPr>
      </w:pPr>
      <w:r>
        <w:rPr>
          <w:rFonts w:ascii="Times New Roman" w:cs="Times New Roman" w:eastAsia="Times New Roman" w:hAnsi="Times New Roman"/>
          <w:sz w:val="18"/>
          <w:szCs w:val="18"/>
          <w:color w:val="auto"/>
        </w:rPr>
        <w:t>The carrying amounts of the Group’s financial instruments carried at cost or amortized cost are not materially different from their fair values as of December 31, 2023 and 2024, except for the preferred shares and other financial instruments subject to redemption and other preferential rights, for which their carrying amounts and fair value and the level of fair value hierarchy were disclosed as below:</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Fair value measurements</w:t>
            </w: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144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i w:val="1"/>
                <w:iCs w:val="1"/>
                <w:color w:val="auto"/>
              </w:rPr>
              <w:t>Carrying amounts</w:t>
            </w: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i w:val="1"/>
                <w:iCs w:val="1"/>
                <w:color w:val="auto"/>
              </w:rPr>
              <w:t>Fair value</w:t>
            </w:r>
          </w:p>
        </w:tc>
        <w:tc>
          <w:tcPr>
            <w:tcW w:w="266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i w:val="1"/>
                <w:iCs w:val="1"/>
                <w:color w:val="auto"/>
              </w:rPr>
              <w:t>as of December 31, 2023 categorized into</w:t>
            </w:r>
          </w:p>
        </w:tc>
        <w:tc>
          <w:tcPr>
            <w:tcW w:w="0" w:type="dxa"/>
            <w:vAlign w:val="bottom"/>
          </w:tcPr>
          <w:p>
            <w:pPr>
              <w:spacing w:after="0"/>
              <w:rPr>
                <w:sz w:val="1"/>
                <w:szCs w:val="1"/>
                <w:color w:val="auto"/>
              </w:rPr>
            </w:pPr>
          </w:p>
        </w:tc>
      </w:tr>
      <w:tr>
        <w:trPr>
          <w:trHeight w:val="119"/>
        </w:trPr>
        <w:tc>
          <w:tcPr>
            <w:tcW w:w="528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720" w:type="dxa"/>
            <w:vAlign w:val="bottom"/>
            <w:tcBorders>
              <w:top w:val="single" w:sz="8" w:color="auto"/>
            </w:tcBorders>
          </w:tcPr>
          <w:p>
            <w:pPr>
              <w:jc w:val="center"/>
              <w:ind w:right="65"/>
              <w:spacing w:after="0" w:line="119" w:lineRule="exact"/>
              <w:rPr>
                <w:sz w:val="20"/>
                <w:szCs w:val="20"/>
                <w:color w:val="auto"/>
              </w:rPr>
            </w:pPr>
            <w:r>
              <w:rPr>
                <w:rFonts w:ascii="Times New Roman" w:cs="Times New Roman" w:eastAsia="Times New Roman" w:hAnsi="Times New Roman"/>
                <w:sz w:val="13"/>
                <w:szCs w:val="13"/>
                <w:i w:val="1"/>
                <w:iCs w:val="1"/>
                <w:color w:val="auto"/>
              </w:rPr>
              <w:t>Level 1</w:t>
            </w:r>
          </w:p>
        </w:tc>
        <w:tc>
          <w:tcPr>
            <w:tcW w:w="90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i w:val="1"/>
                <w:iCs w:val="1"/>
                <w:color w:val="auto"/>
              </w:rPr>
              <w:t>Level 2</w:t>
            </w:r>
          </w:p>
        </w:tc>
        <w:tc>
          <w:tcPr>
            <w:tcW w:w="980" w:type="dxa"/>
            <w:vAlign w:val="bottom"/>
            <w:tcBorders>
              <w:top w:val="single" w:sz="8" w:color="auto"/>
            </w:tcBorders>
          </w:tcPr>
          <w:p>
            <w:pPr>
              <w:jc w:val="center"/>
              <w:ind w:left="4"/>
              <w:spacing w:after="0" w:line="119" w:lineRule="exact"/>
              <w:rPr>
                <w:sz w:val="20"/>
                <w:szCs w:val="20"/>
                <w:color w:val="auto"/>
              </w:rPr>
            </w:pPr>
            <w:r>
              <w:rPr>
                <w:rFonts w:ascii="Times New Roman" w:cs="Times New Roman" w:eastAsia="Times New Roman" w:hAnsi="Times New Roman"/>
                <w:sz w:val="13"/>
                <w:szCs w:val="13"/>
                <w:i w:val="1"/>
                <w:iCs w:val="1"/>
                <w:color w:val="auto"/>
              </w:rPr>
              <w:t>Level 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440" w:type="dxa"/>
            <w:vAlign w:val="bottom"/>
          </w:tcPr>
          <w:p>
            <w:pPr>
              <w:jc w:val="right"/>
              <w:ind w:right="322"/>
              <w:spacing w:after="0"/>
              <w:rPr>
                <w:sz w:val="20"/>
                <w:szCs w:val="20"/>
                <w:color w:val="auto"/>
              </w:rPr>
            </w:pPr>
            <w:r>
              <w:rPr>
                <w:rFonts w:ascii="Times New Roman" w:cs="Times New Roman" w:eastAsia="Times New Roman" w:hAnsi="Times New Roman"/>
                <w:sz w:val="14"/>
                <w:szCs w:val="14"/>
                <w:color w:val="auto"/>
              </w:rPr>
              <w:t>RMB’000</w:t>
            </w:r>
          </w:p>
        </w:tc>
        <w:tc>
          <w:tcPr>
            <w:tcW w:w="1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RMB’000</w:t>
            </w:r>
          </w:p>
        </w:tc>
        <w:tc>
          <w:tcPr>
            <w:tcW w:w="720" w:type="dxa"/>
            <w:vAlign w:val="bottom"/>
          </w:tcPr>
          <w:p>
            <w:pPr>
              <w:jc w:val="center"/>
              <w:ind w:right="65"/>
              <w:spacing w:after="0"/>
              <w:rPr>
                <w:sz w:val="20"/>
                <w:szCs w:val="20"/>
                <w:color w:val="auto"/>
              </w:rPr>
            </w:pPr>
            <w:r>
              <w:rPr>
                <w:rFonts w:ascii="Times New Roman" w:cs="Times New Roman" w:eastAsia="Times New Roman" w:hAnsi="Times New Roman"/>
                <w:sz w:val="14"/>
                <w:szCs w:val="14"/>
                <w:color w:val="auto"/>
              </w:rPr>
              <w:t>RMB’000</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RMB’000</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198"/>
        </w:trPr>
        <w:tc>
          <w:tcPr>
            <w:tcW w:w="5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shares and other financial instruments subject to redemption</w:t>
            </w:r>
          </w:p>
        </w:tc>
        <w:tc>
          <w:tcPr>
            <w:tcW w:w="14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other preferential rights</w:t>
            </w:r>
          </w:p>
        </w:tc>
        <w:tc>
          <w:tcPr>
            <w:tcW w:w="14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8,181,722</w:t>
            </w:r>
          </w:p>
        </w:tc>
        <w:tc>
          <w:tcPr>
            <w:tcW w:w="12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11,181,388</w:t>
            </w:r>
          </w:p>
        </w:tc>
        <w:tc>
          <w:tcPr>
            <w:tcW w:w="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CEEFF"/>
          </w:tcPr>
          <w:p>
            <w:pPr>
              <w:jc w:val="center"/>
              <w:ind w:left="164"/>
              <w:spacing w:after="0"/>
              <w:rPr>
                <w:sz w:val="20"/>
                <w:szCs w:val="20"/>
                <w:color w:val="auto"/>
              </w:rPr>
            </w:pPr>
            <w:r>
              <w:rPr>
                <w:rFonts w:ascii="Times New Roman" w:cs="Times New Roman" w:eastAsia="Times New Roman" w:hAnsi="Times New Roman"/>
                <w:sz w:val="18"/>
                <w:szCs w:val="18"/>
                <w:color w:val="auto"/>
                <w:w w:val="81"/>
              </w:rPr>
              <w:t>— </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11,181,388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60" w:right="380"/>
        <w:spacing w:after="0" w:line="282" w:lineRule="auto"/>
        <w:rPr>
          <w:sz w:val="20"/>
          <w:szCs w:val="20"/>
          <w:color w:val="auto"/>
        </w:rPr>
      </w:pPr>
      <w:r>
        <w:rPr>
          <w:rFonts w:ascii="Times New Roman" w:cs="Times New Roman" w:eastAsia="Times New Roman" w:hAnsi="Times New Roman"/>
          <w:sz w:val="18"/>
          <w:szCs w:val="18"/>
          <w:color w:val="auto"/>
        </w:rPr>
        <w:t>The fair value of preferred shares and other financial instruments subject to redemption and other preferential rights was determined using the binominal option-pricing model. Assumptions used in the binominal option-pricing model were presented as below:</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26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i w:val="1"/>
                <w:iCs w:val="1"/>
                <w:color w:val="auto"/>
              </w:rPr>
              <w:t>As of December 31,</w:t>
            </w:r>
          </w:p>
        </w:tc>
      </w:tr>
      <w:tr>
        <w:trPr>
          <w:trHeight w:val="142"/>
        </w:trPr>
        <w:tc>
          <w:tcPr>
            <w:tcW w:w="32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160" w:type="dxa"/>
            <w:vAlign w:val="bottom"/>
            <w:tcBorders>
              <w:top w:val="single" w:sz="8" w:color="auto"/>
            </w:tcBorders>
          </w:tcPr>
          <w:p>
            <w:pPr>
              <w:jc w:val="right"/>
              <w:ind w:right="362"/>
              <w:spacing w:after="0" w:line="142" w:lineRule="exact"/>
              <w:rPr>
                <w:sz w:val="20"/>
                <w:szCs w:val="20"/>
                <w:color w:val="auto"/>
              </w:rPr>
            </w:pPr>
            <w:r>
              <w:rPr>
                <w:rFonts w:ascii="Times New Roman" w:cs="Times New Roman" w:eastAsia="Times New Roman" w:hAnsi="Times New Roman"/>
                <w:sz w:val="14"/>
                <w:szCs w:val="14"/>
                <w:i w:val="1"/>
                <w:iCs w:val="1"/>
                <w:color w:val="auto"/>
              </w:rPr>
              <w:t>2023</w:t>
            </w:r>
          </w:p>
        </w:tc>
        <w:tc>
          <w:tcPr>
            <w:tcW w:w="40" w:type="dxa"/>
            <w:vAlign w:val="bottom"/>
          </w:tcPr>
          <w:p>
            <w:pPr>
              <w:spacing w:after="0"/>
              <w:rPr>
                <w:sz w:val="12"/>
                <w:szCs w:val="12"/>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53.8%</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(per annum)</w:t>
            </w:r>
          </w:p>
        </w:tc>
        <w:tc>
          <w:tcPr>
            <w:tcW w:w="5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5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390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 years</w:t>
            </w:r>
          </w:p>
        </w:tc>
      </w:tr>
      <w:tr>
        <w:trPr>
          <w:trHeight w:val="346"/>
        </w:trPr>
        <w:tc>
          <w:tcPr>
            <w:tcW w:w="3260" w:type="dxa"/>
            <w:vAlign w:val="bottom"/>
          </w:tcPr>
          <w:p>
            <w:pPr>
              <w:spacing w:after="0"/>
              <w:rPr>
                <w:sz w:val="24"/>
                <w:szCs w:val="24"/>
                <w:color w:val="auto"/>
              </w:rPr>
            </w:pPr>
          </w:p>
        </w:tc>
        <w:tc>
          <w:tcPr>
            <w:tcW w:w="510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F-75</w:t>
            </w:r>
          </w:p>
        </w:tc>
      </w:tr>
    </w:tbl>
    <w:p>
      <w:pPr>
        <w:sectPr>
          <w:pgSz w:w="11900" w:h="16838" w:orient="portrait"/>
          <w:cols w:equalWidth="0" w:num="1">
            <w:col w:w="11140"/>
          </w:cols>
          <w:pgMar w:left="320" w:top="482" w:right="4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2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Cash concentration</w:t>
      </w:r>
    </w:p>
    <w:p>
      <w:pPr>
        <w:spacing w:after="0" w:line="121" w:lineRule="exact"/>
        <w:rPr>
          <w:rFonts w:ascii="Times New Roman" w:cs="Times New Roman" w:eastAsia="Times New Roman" w:hAnsi="Times New Roman"/>
          <w:sz w:val="18"/>
          <w:szCs w:val="18"/>
          <w:b w:val="1"/>
          <w:bCs w:val="1"/>
          <w:i w:val="1"/>
          <w:iCs w:val="1"/>
          <w:color w:val="auto"/>
        </w:rPr>
      </w:pPr>
    </w:p>
    <w:p>
      <w:pPr>
        <w:ind w:left="5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Cash, cash equivalents, restricted cash, time deposits and financial assets at FVTPL, which are maintained at banks, consist of the following:</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520" w:type="dxa"/>
            <w:vAlign w:val="bottom"/>
          </w:tcPr>
          <w:p>
            <w:pPr>
              <w:spacing w:after="0"/>
              <w:rPr>
                <w:sz w:val="15"/>
                <w:szCs w:val="15"/>
                <w:color w:val="auto"/>
              </w:rPr>
            </w:pPr>
          </w:p>
        </w:tc>
        <w:tc>
          <w:tcPr>
            <w:tcW w:w="184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i w:val="1"/>
                <w:iCs w:val="1"/>
                <w:color w:val="auto"/>
              </w:rPr>
              <w:t>As of December 31,</w:t>
            </w:r>
          </w:p>
        </w:tc>
      </w:tr>
      <w:tr>
        <w:trPr>
          <w:trHeight w:val="119"/>
        </w:trPr>
        <w:tc>
          <w:tcPr>
            <w:tcW w:w="6520" w:type="dxa"/>
            <w:vAlign w:val="bottom"/>
          </w:tcPr>
          <w:p>
            <w:pPr>
              <w:spacing w:after="0"/>
              <w:rPr>
                <w:sz w:val="10"/>
                <w:szCs w:val="10"/>
                <w:color w:val="auto"/>
              </w:rPr>
            </w:pPr>
          </w:p>
        </w:tc>
        <w:tc>
          <w:tcPr>
            <w:tcW w:w="920" w:type="dxa"/>
            <w:vAlign w:val="bottom"/>
            <w:tcBorders>
              <w:top w:val="single" w:sz="8" w:color="auto"/>
            </w:tcBorders>
          </w:tcPr>
          <w:p>
            <w:pPr>
              <w:jc w:val="right"/>
              <w:ind w:right="295"/>
              <w:spacing w:after="0" w:line="119" w:lineRule="exact"/>
              <w:rPr>
                <w:sz w:val="20"/>
                <w:szCs w:val="20"/>
                <w:color w:val="auto"/>
              </w:rPr>
            </w:pPr>
            <w:r>
              <w:rPr>
                <w:rFonts w:ascii="Times New Roman" w:cs="Times New Roman" w:eastAsia="Times New Roman" w:hAnsi="Times New Roman"/>
                <w:sz w:val="13"/>
                <w:szCs w:val="13"/>
                <w:i w:val="1"/>
                <w:iCs w:val="1"/>
                <w:color w:val="auto"/>
              </w:rPr>
              <w:t>2023</w:t>
            </w:r>
          </w:p>
        </w:tc>
        <w:tc>
          <w:tcPr>
            <w:tcW w:w="860" w:type="dxa"/>
            <w:vAlign w:val="bottom"/>
            <w:tcBorders>
              <w:top w:val="single" w:sz="8" w:color="auto"/>
            </w:tcBorders>
          </w:tcPr>
          <w:p>
            <w:pPr>
              <w:jc w:val="right"/>
              <w:ind w:right="153"/>
              <w:spacing w:after="0" w:line="119" w:lineRule="exact"/>
              <w:rPr>
                <w:sz w:val="20"/>
                <w:szCs w:val="20"/>
                <w:color w:val="auto"/>
              </w:rPr>
            </w:pPr>
            <w:r>
              <w:rPr>
                <w:rFonts w:ascii="Times New Roman" w:cs="Times New Roman" w:eastAsia="Times New Roman" w:hAnsi="Times New Roman"/>
                <w:sz w:val="13"/>
                <w:szCs w:val="13"/>
                <w:i w:val="1"/>
                <w:iCs w:val="1"/>
                <w:color w:val="auto"/>
              </w:rPr>
              <w:t>2024</w:t>
            </w:r>
          </w:p>
        </w:tc>
        <w:tc>
          <w:tcPr>
            <w:tcW w:w="60" w:type="dxa"/>
            <w:vAlign w:val="bottom"/>
          </w:tcPr>
          <w:p>
            <w:pPr>
              <w:spacing w:after="0"/>
              <w:rPr>
                <w:sz w:val="10"/>
                <w:szCs w:val="10"/>
                <w:color w:val="auto"/>
              </w:rPr>
            </w:pPr>
          </w:p>
        </w:tc>
      </w:tr>
      <w:tr>
        <w:trPr>
          <w:trHeight w:val="171"/>
        </w:trPr>
        <w:tc>
          <w:tcPr>
            <w:tcW w:w="6520" w:type="dxa"/>
            <w:vAlign w:val="bottom"/>
          </w:tcPr>
          <w:p>
            <w:pPr>
              <w:spacing w:after="0"/>
              <w:rPr>
                <w:sz w:val="14"/>
                <w:szCs w:val="14"/>
                <w:color w:val="auto"/>
              </w:rPr>
            </w:pPr>
          </w:p>
        </w:tc>
        <w:tc>
          <w:tcPr>
            <w:tcW w:w="920" w:type="dxa"/>
            <w:vAlign w:val="bottom"/>
          </w:tcPr>
          <w:p>
            <w:pPr>
              <w:jc w:val="center"/>
              <w:ind w:right="55"/>
              <w:spacing w:after="0"/>
              <w:rPr>
                <w:sz w:val="20"/>
                <w:szCs w:val="20"/>
                <w:color w:val="auto"/>
              </w:rPr>
            </w:pPr>
            <w:r>
              <w:rPr>
                <w:rFonts w:ascii="Times New Roman" w:cs="Times New Roman" w:eastAsia="Times New Roman" w:hAnsi="Times New Roman"/>
                <w:sz w:val="14"/>
                <w:szCs w:val="14"/>
                <w:color w:val="auto"/>
              </w:rPr>
              <w:t>RMB’000</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RMB’000</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RMB denominated:</w:t>
            </w: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Financial institutions in Chinese Mainland</w:t>
            </w: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528,980</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503,800</w:t>
            </w:r>
          </w:p>
        </w:tc>
      </w:tr>
      <w:tr>
        <w:trPr>
          <w:trHeight w:val="90"/>
        </w:trPr>
        <w:tc>
          <w:tcPr>
            <w:tcW w:w="6520" w:type="dxa"/>
            <w:vAlign w:val="bottom"/>
          </w:tcPr>
          <w:p>
            <w:pPr>
              <w:spacing w:after="0"/>
              <w:rPr>
                <w:sz w:val="7"/>
                <w:szCs w:val="7"/>
                <w:color w:val="auto"/>
              </w:rPr>
            </w:pPr>
          </w:p>
        </w:tc>
        <w:tc>
          <w:tcPr>
            <w:tcW w:w="9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USD denominated:</w:t>
            </w: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Financial institutions in Chinese Mainland</w:t>
            </w: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306,677</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1,816,218</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institution in Hong Kong</w:t>
            </w:r>
          </w:p>
        </w:tc>
        <w:tc>
          <w:tcPr>
            <w:tcW w:w="9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2,200,365</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11,671</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Financial institution in the U.S.</w:t>
            </w: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1,499,960</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462,786</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institution in the Singapore</w:t>
            </w:r>
          </w:p>
        </w:tc>
        <w:tc>
          <w:tcPr>
            <w:tcW w:w="9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502</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3,767,075</w:t>
            </w: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Financial institution in the Middle East</w:t>
            </w:r>
          </w:p>
        </w:tc>
        <w:tc>
          <w:tcPr>
            <w:tcW w:w="9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10,561</w:t>
            </w:r>
          </w:p>
        </w:tc>
      </w:tr>
      <w:tr>
        <w:trPr>
          <w:trHeight w:val="90"/>
        </w:trPr>
        <w:tc>
          <w:tcPr>
            <w:tcW w:w="6520" w:type="dxa"/>
            <w:vAlign w:val="bottom"/>
          </w:tcPr>
          <w:p>
            <w:pPr>
              <w:spacing w:after="0"/>
              <w:rPr>
                <w:sz w:val="7"/>
                <w:szCs w:val="7"/>
                <w:color w:val="auto"/>
              </w:rPr>
            </w:pPr>
          </w:p>
        </w:tc>
        <w:tc>
          <w:tcPr>
            <w:tcW w:w="9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Arab Emir. Dirham (“AED”) denominated:</w:t>
            </w: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Financial institution in the Middle East</w:t>
            </w: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3,758</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3,198</w:t>
            </w:r>
          </w:p>
        </w:tc>
      </w:tr>
      <w:tr>
        <w:trPr>
          <w:trHeight w:val="90"/>
        </w:trPr>
        <w:tc>
          <w:tcPr>
            <w:tcW w:w="6520" w:type="dxa"/>
            <w:vAlign w:val="bottom"/>
          </w:tcPr>
          <w:p>
            <w:pPr>
              <w:spacing w:after="0"/>
              <w:rPr>
                <w:sz w:val="7"/>
                <w:szCs w:val="7"/>
                <w:color w:val="auto"/>
              </w:rPr>
            </w:pPr>
          </w:p>
        </w:tc>
        <w:tc>
          <w:tcPr>
            <w:tcW w:w="9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European Dollar (“EUR”) denominated:</w:t>
            </w: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Financial institutions in Chinese Mainland</w:t>
            </w:r>
          </w:p>
        </w:tc>
        <w:tc>
          <w:tcPr>
            <w:tcW w:w="9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1,129</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institution in the Middle East</w:t>
            </w:r>
          </w:p>
        </w:tc>
        <w:tc>
          <w:tcPr>
            <w:tcW w:w="9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186</w:t>
            </w:r>
          </w:p>
        </w:tc>
      </w:tr>
      <w:tr>
        <w:trPr>
          <w:trHeight w:val="324"/>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Singapore Dollar (“SGD”) denominated:</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institution in the Singapore</w:t>
            </w:r>
          </w:p>
        </w:tc>
        <w:tc>
          <w:tcPr>
            <w:tcW w:w="9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11,453</w:t>
            </w:r>
          </w:p>
        </w:tc>
      </w:tr>
    </w:tbl>
    <w:p>
      <w:pPr>
        <w:spacing w:after="0" w:line="198" w:lineRule="exact"/>
        <w:rPr>
          <w:sz w:val="20"/>
          <w:szCs w:val="20"/>
          <w:color w:val="auto"/>
        </w:rPr>
      </w:pPr>
    </w:p>
    <w:p>
      <w:pPr>
        <w:jc w:val="both"/>
        <w:ind w:left="560"/>
        <w:spacing w:after="0" w:line="261" w:lineRule="auto"/>
        <w:rPr>
          <w:sz w:val="20"/>
          <w:szCs w:val="20"/>
          <w:color w:val="auto"/>
        </w:rPr>
      </w:pPr>
      <w:r>
        <w:rPr>
          <w:rFonts w:ascii="Times New Roman" w:cs="Times New Roman" w:eastAsia="Times New Roman" w:hAnsi="Times New Roman"/>
          <w:sz w:val="18"/>
          <w:szCs w:val="18"/>
          <w:color w:val="auto"/>
        </w:rPr>
        <w:t>The bank deposits in Chinese Mainland, Hong Kong, the U.S., Middle East, Germany and Singapore are insured by the government authority up to RMB500,000, HKD500,000, USD250,000, AED50,000, EUR20,000 and SGD100,000 with individual bank, respectively. Total bank deposits amounted to RMB37.0 million and RMB51.0 million are insured as of December 31, 2023 and December 31, 2024, respectively. The Company has not experienced any losses in uninsured bank deposits.</w:t>
      </w:r>
    </w:p>
    <w:p>
      <w:pPr>
        <w:spacing w:after="0" w:line="324" w:lineRule="exact"/>
        <w:rPr>
          <w:sz w:val="20"/>
          <w:szCs w:val="20"/>
          <w:color w:val="auto"/>
        </w:rPr>
      </w:pPr>
    </w:p>
    <w:p>
      <w:pPr>
        <w:ind w:left="540" w:hanging="424"/>
        <w:spacing w:after="0"/>
        <w:tabs>
          <w:tab w:leader="none" w:pos="540" w:val="left"/>
        </w:tabs>
        <w:numPr>
          <w:ilvl w:val="0"/>
          <w:numId w:val="2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Commitments</w:t>
      </w:r>
    </w:p>
    <w:p>
      <w:pPr>
        <w:spacing w:after="0" w:line="121" w:lineRule="exact"/>
        <w:rPr>
          <w:rFonts w:ascii="Times New Roman" w:cs="Times New Roman" w:eastAsia="Times New Roman" w:hAnsi="Times New Roman"/>
          <w:sz w:val="18"/>
          <w:szCs w:val="18"/>
          <w:b w:val="1"/>
          <w:bCs w:val="1"/>
          <w:i w:val="1"/>
          <w:iCs w:val="1"/>
          <w:color w:val="auto"/>
        </w:rPr>
      </w:pPr>
    </w:p>
    <w:p>
      <w:pPr>
        <w:ind w:left="5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Commitments outstanding as of December 31, 2024 consist of the following:</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5960" w:type="dxa"/>
            <w:vAlign w:val="bottom"/>
          </w:tcPr>
          <w:p>
            <w:pPr>
              <w:spacing w:after="0"/>
              <w:rPr>
                <w:sz w:val="15"/>
                <w:szCs w:val="15"/>
                <w:color w:val="auto"/>
              </w:rPr>
            </w:pPr>
          </w:p>
        </w:tc>
        <w:tc>
          <w:tcPr>
            <w:tcW w:w="15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i w:val="1"/>
                <w:iCs w:val="1"/>
                <w:color w:val="auto"/>
              </w:rPr>
              <w:t>As of December 31, 2024</w:t>
            </w:r>
          </w:p>
        </w:tc>
      </w:tr>
      <w:tr>
        <w:trPr>
          <w:trHeight w:val="142"/>
        </w:trPr>
        <w:tc>
          <w:tcPr>
            <w:tcW w:w="5960" w:type="dxa"/>
            <w:vAlign w:val="bottom"/>
          </w:tcPr>
          <w:p>
            <w:pPr>
              <w:spacing w:after="0"/>
              <w:rPr>
                <w:sz w:val="12"/>
                <w:szCs w:val="12"/>
                <w:color w:val="auto"/>
              </w:rPr>
            </w:pPr>
          </w:p>
        </w:tc>
        <w:tc>
          <w:tcPr>
            <w:tcW w:w="14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60" w:type="dxa"/>
            <w:vAlign w:val="bottom"/>
          </w:tcPr>
          <w:p>
            <w:pPr>
              <w:spacing w:after="0"/>
              <w:rPr>
                <w:sz w:val="12"/>
                <w:szCs w:val="12"/>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Contracted for purchase of inventories (Note (i))</w:t>
            </w: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62,296</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Contracted for purchase of services (Note (ii))</w:t>
            </w: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216,807</w:t>
            </w:r>
          </w:p>
        </w:tc>
      </w:tr>
      <w:tr>
        <w:trPr>
          <w:trHeight w:val="27"/>
        </w:trPr>
        <w:tc>
          <w:tcPr>
            <w:tcW w:w="596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9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279,103</w:t>
            </w:r>
          </w:p>
        </w:tc>
      </w:tr>
      <w:tr>
        <w:trPr>
          <w:trHeight w:val="20"/>
        </w:trPr>
        <w:tc>
          <w:tcPr>
            <w:tcW w:w="59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2024, the Group had entered into the following commitment agreements:</w:t>
      </w:r>
    </w:p>
    <w:p>
      <w:pPr>
        <w:spacing w:after="0" w:line="131" w:lineRule="exact"/>
        <w:rPr>
          <w:sz w:val="20"/>
          <w:szCs w:val="20"/>
          <w:color w:val="auto"/>
        </w:rPr>
      </w:pPr>
    </w:p>
    <w:p>
      <w:pPr>
        <w:ind w:left="1540" w:right="240" w:hanging="439"/>
        <w:spacing w:after="0" w:line="281" w:lineRule="auto"/>
        <w:tabs>
          <w:tab w:leader="none" w:pos="1540" w:val="left"/>
        </w:tabs>
        <w:numPr>
          <w:ilvl w:val="0"/>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vehicle purchase agreement with Zhengzhou Yutong Bus Co., Ltd. (“Yutong”), an affiliate of a shareholder of the Company, pursuant to which the Group committed to purchase vehicles manufactured by Yutong with an aggregated purchase amount of RMB100.3 million in 2024. As of December 31, 2024, the Group has paid RMB55.4 million under this vehicle purchase agreement. The Group is in the process of negotiating with Yutong to extend the term to purchase vehicles under the agreement.</w:t>
      </w:r>
    </w:p>
    <w:p>
      <w:pPr>
        <w:spacing w:after="0" w:line="56" w:lineRule="exact"/>
        <w:rPr>
          <w:rFonts w:ascii="Times New Roman" w:cs="Times New Roman" w:eastAsia="Times New Roman" w:hAnsi="Times New Roman"/>
          <w:sz w:val="17"/>
          <w:szCs w:val="17"/>
          <w:color w:val="auto"/>
        </w:rPr>
      </w:pPr>
    </w:p>
    <w:p>
      <w:pPr>
        <w:ind w:left="1540" w:right="2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Another vehicle purchase agreement with a Chinese manufacturer, specializing in the development, production and sale of buses, pursuant to which the Group committed to purchase vehicles manufactured by this manufacturer with an aggregated purchase amount of RMB32.7 million in 2024 and 2025. As of December 31, 2024, the Group has paid RMB15.4 million under this vehicle purchase agreement.</w:t>
      </w:r>
    </w:p>
    <w:p>
      <w:pPr>
        <w:spacing w:after="0" w:line="1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F-76</w:t>
      </w:r>
    </w:p>
    <w:p>
      <w:pPr>
        <w:sectPr>
          <w:pgSz w:w="11900" w:h="16838" w:orient="portrait"/>
          <w:cols w:equalWidth="0" w:num="1">
            <w:col w:w="10980"/>
          </w:cols>
          <w:pgMar w:left="320" w:top="482" w:right="59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540" w:right="40" w:hanging="439"/>
        <w:spacing w:after="0" w:line="261" w:lineRule="auto"/>
        <w:tabs>
          <w:tab w:leader="none" w:pos="154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research and development service agreement with another Chinese manufacturer, pursuant to which the Group committed to purchase research and development services from the manufacturer with an aggregated purchase consideration of RMB216.8 million in 2024 and 2025. As of December 31, 2024, the research and development services has not started and no consideration has been paid yet.</w:t>
      </w:r>
    </w:p>
    <w:p>
      <w:pPr>
        <w:spacing w:after="0" w:line="324" w:lineRule="exact"/>
        <w:rPr>
          <w:sz w:val="20"/>
          <w:szCs w:val="20"/>
          <w:color w:val="auto"/>
        </w:rPr>
      </w:pPr>
    </w:p>
    <w:p>
      <w:pPr>
        <w:ind w:left="540" w:hanging="424"/>
        <w:spacing w:after="0"/>
        <w:tabs>
          <w:tab w:leader="none" w:pos="540" w:val="left"/>
        </w:tabs>
        <w:numPr>
          <w:ilvl w:val="0"/>
          <w:numId w:val="2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subsidiaries</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2024, the Company’s principal subsidiaries were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i w:val="1"/>
                <w:iCs w:val="1"/>
                <w:color w:val="auto"/>
              </w:rPr>
              <w:t>Place of</w:t>
            </w: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i w:val="1"/>
                <w:iCs w:val="1"/>
                <w:color w:val="auto"/>
              </w:rPr>
              <w:t>Group’s effective</w:t>
            </w:r>
          </w:p>
        </w:tc>
        <w:tc>
          <w:tcPr>
            <w:tcW w:w="120" w:type="dxa"/>
            <w:vAlign w:val="bottom"/>
          </w:tcPr>
          <w:p>
            <w:pPr>
              <w:spacing w:after="0"/>
              <w:rPr>
                <w:sz w:val="13"/>
                <w:szCs w:val="13"/>
                <w:color w:val="auto"/>
              </w:rPr>
            </w:pPr>
          </w:p>
        </w:tc>
        <w:tc>
          <w:tcPr>
            <w:tcW w:w="5120" w:type="dxa"/>
            <w:vAlign w:val="bottom"/>
            <w:vMerge w:val="restart"/>
          </w:tcPr>
          <w:p>
            <w:pPr>
              <w:ind w:left="2280"/>
              <w:spacing w:after="0"/>
              <w:rPr>
                <w:sz w:val="20"/>
                <w:szCs w:val="20"/>
                <w:color w:val="auto"/>
              </w:rPr>
            </w:pPr>
            <w:r>
              <w:rPr>
                <w:rFonts w:ascii="Times New Roman" w:cs="Times New Roman" w:eastAsia="Times New Roman" w:hAnsi="Times New Roman"/>
                <w:sz w:val="14"/>
                <w:szCs w:val="14"/>
                <w:i w:val="1"/>
                <w:iCs w:val="1"/>
                <w:color w:val="auto"/>
              </w:rPr>
              <w:t>Principal</w:t>
            </w:r>
          </w:p>
        </w:tc>
        <w:tc>
          <w:tcPr>
            <w:tcW w:w="0" w:type="dxa"/>
            <w:vAlign w:val="bottom"/>
          </w:tcPr>
          <w:p>
            <w:pPr>
              <w:spacing w:after="0"/>
              <w:rPr>
                <w:sz w:val="1"/>
                <w:szCs w:val="1"/>
                <w:color w:val="auto"/>
              </w:rPr>
            </w:pPr>
          </w:p>
        </w:tc>
      </w:tr>
      <w:tr>
        <w:trPr>
          <w:trHeight w:val="148"/>
        </w:trPr>
        <w:tc>
          <w:tcPr>
            <w:tcW w:w="9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Company Name</w:t>
            </w:r>
          </w:p>
        </w:tc>
        <w:tc>
          <w:tcPr>
            <w:tcW w:w="1860" w:type="dxa"/>
            <w:vAlign w:val="bottom"/>
            <w:vMerge w:val="restart"/>
          </w:tcPr>
          <w:p>
            <w:pPr>
              <w:spacing w:after="0"/>
              <w:rPr>
                <w:sz w:val="12"/>
                <w:szCs w:val="12"/>
                <w:color w:val="auto"/>
              </w:rPr>
            </w:pPr>
          </w:p>
        </w:tc>
        <w:tc>
          <w:tcPr>
            <w:tcW w:w="17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i w:val="1"/>
                <w:iCs w:val="1"/>
                <w:color w:val="auto"/>
              </w:rPr>
              <w:t>incorporation</w:t>
            </w: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i w:val="1"/>
                <w:iCs w:val="1"/>
                <w:color w:val="auto"/>
              </w:rPr>
              <w:t>interest (direct or</w:t>
            </w:r>
          </w:p>
        </w:tc>
        <w:tc>
          <w:tcPr>
            <w:tcW w:w="120" w:type="dxa"/>
            <w:vAlign w:val="bottom"/>
          </w:tcPr>
          <w:p>
            <w:pPr>
              <w:spacing w:after="0"/>
              <w:rPr>
                <w:sz w:val="12"/>
                <w:szCs w:val="12"/>
                <w:color w:val="auto"/>
              </w:rPr>
            </w:pPr>
          </w:p>
        </w:tc>
        <w:tc>
          <w:tcPr>
            <w:tcW w:w="5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920" w:type="dxa"/>
            <w:vAlign w:val="bottom"/>
            <w:tcBorders>
              <w:bottom w:val="single" w:sz="8" w:color="auto"/>
            </w:tcBorders>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i w:val="1"/>
                <w:iCs w:val="1"/>
                <w:color w:val="auto"/>
              </w:rPr>
              <w:t>/establishment</w:t>
            </w: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i w:val="1"/>
                <w:iCs w:val="1"/>
                <w:color w:val="auto"/>
                <w:w w:val="99"/>
              </w:rPr>
              <w:t>indirect)</w:t>
            </w:r>
          </w:p>
        </w:tc>
        <w:tc>
          <w:tcPr>
            <w:tcW w:w="120" w:type="dxa"/>
            <w:vAlign w:val="bottom"/>
          </w:tcPr>
          <w:p>
            <w:pPr>
              <w:spacing w:after="0"/>
              <w:rPr>
                <w:sz w:val="14"/>
                <w:szCs w:val="14"/>
                <w:color w:val="auto"/>
              </w:rPr>
            </w:pPr>
          </w:p>
        </w:tc>
        <w:tc>
          <w:tcPr>
            <w:tcW w:w="5120" w:type="dxa"/>
            <w:vAlign w:val="bottom"/>
          </w:tcPr>
          <w:p>
            <w:pPr>
              <w:ind w:left="2300"/>
              <w:spacing w:after="0"/>
              <w:rPr>
                <w:sz w:val="20"/>
                <w:szCs w:val="20"/>
                <w:color w:val="auto"/>
              </w:rPr>
            </w:pPr>
            <w:r>
              <w:rPr>
                <w:rFonts w:ascii="Times New Roman" w:cs="Times New Roman" w:eastAsia="Times New Roman" w:hAnsi="Times New Roman"/>
                <w:sz w:val="14"/>
                <w:szCs w:val="14"/>
                <w:i w:val="1"/>
                <w:iCs w:val="1"/>
                <w:color w:val="auto"/>
              </w:rPr>
              <w:t>activities</w:t>
            </w:r>
          </w:p>
        </w:tc>
        <w:tc>
          <w:tcPr>
            <w:tcW w:w="0" w:type="dxa"/>
            <w:vAlign w:val="bottom"/>
          </w:tcPr>
          <w:p>
            <w:pPr>
              <w:spacing w:after="0"/>
              <w:rPr>
                <w:sz w:val="1"/>
                <w:szCs w:val="1"/>
                <w:color w:val="auto"/>
              </w:rPr>
            </w:pPr>
          </w:p>
        </w:tc>
      </w:tr>
      <w:tr>
        <w:trPr>
          <w:trHeight w:val="20"/>
        </w:trPr>
        <w:tc>
          <w:tcPr>
            <w:tcW w:w="27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WeRide Corp.</w:t>
            </w:r>
          </w:p>
        </w:tc>
        <w:tc>
          <w:tcPr>
            <w:tcW w:w="15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80" w:type="dxa"/>
            <w:vAlign w:val="bottom"/>
            <w:gridSpan w:val="2"/>
            <w:vMerge w:val="continue"/>
            <w:shd w:val="clear" w:color="auto" w:fill="CCEEFF"/>
          </w:tcPr>
          <w:p>
            <w:pPr>
              <w:spacing w:after="0"/>
              <w:rPr>
                <w:sz w:val="17"/>
                <w:szCs w:val="17"/>
                <w:color w:val="auto"/>
              </w:rPr>
            </w:pPr>
          </w:p>
        </w:tc>
        <w:tc>
          <w:tcPr>
            <w:tcW w:w="15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the U.S.</w:t>
            </w:r>
          </w:p>
        </w:tc>
        <w:tc>
          <w:tcPr>
            <w:tcW w:w="200" w:type="dxa"/>
            <w:vAlign w:val="bottom"/>
            <w:vMerge w:val="continue"/>
            <w:shd w:val="clear" w:color="auto" w:fill="CCEEFF"/>
          </w:tcPr>
          <w:p>
            <w:pPr>
              <w:spacing w:after="0"/>
              <w:rPr>
                <w:sz w:val="17"/>
                <w:szCs w:val="17"/>
                <w:color w:val="auto"/>
              </w:rPr>
            </w:pPr>
          </w:p>
        </w:tc>
        <w:tc>
          <w:tcPr>
            <w:tcW w:w="1260" w:type="dxa"/>
            <w:vAlign w:val="bottom"/>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120" w:type="dxa"/>
            <w:vAlign w:val="bottom"/>
            <w:vMerge w:val="continue"/>
            <w:shd w:val="clear" w:color="auto" w:fill="CCEEFF"/>
          </w:tcPr>
          <w:p>
            <w:pPr>
              <w:spacing w:after="0"/>
              <w:rPr>
                <w:sz w:val="17"/>
                <w:szCs w:val="17"/>
                <w:color w:val="auto"/>
              </w:rPr>
            </w:pPr>
          </w:p>
        </w:tc>
        <w:tc>
          <w:tcPr>
            <w:tcW w:w="51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Research and development of autonomous driving technology</w:t>
            </w: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WeRide HK</w:t>
            </w:r>
          </w:p>
        </w:tc>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PRC Hong Kong</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Holding company</w:t>
            </w:r>
          </w:p>
        </w:tc>
        <w:tc>
          <w:tcPr>
            <w:tcW w:w="0" w:type="dxa"/>
            <w:vAlign w:val="bottom"/>
          </w:tcPr>
          <w:p>
            <w:pPr>
              <w:spacing w:after="0"/>
              <w:rPr>
                <w:sz w:val="1"/>
                <w:szCs w:val="1"/>
                <w:color w:val="auto"/>
              </w:rPr>
            </w:pPr>
          </w:p>
        </w:tc>
      </w:tr>
      <w:tr>
        <w:trPr>
          <w:trHeight w:val="216"/>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WeRide (Singapore) Pte. Ltd.</w:t>
            </w: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5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Sales of autonomous driving products and provision of related services</w:t>
            </w:r>
          </w:p>
        </w:tc>
        <w:tc>
          <w:tcPr>
            <w:tcW w:w="0" w:type="dxa"/>
            <w:vAlign w:val="bottom"/>
          </w:tcPr>
          <w:p>
            <w:pPr>
              <w:spacing w:after="0"/>
              <w:rPr>
                <w:sz w:val="1"/>
                <w:szCs w:val="1"/>
                <w:color w:val="auto"/>
              </w:rPr>
            </w:pPr>
          </w:p>
        </w:tc>
      </w:tr>
      <w:tr>
        <w:trPr>
          <w:trHeight w:val="198"/>
        </w:trPr>
        <w:tc>
          <w:tcPr>
            <w:tcW w:w="27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WeRide Middle East General</w:t>
            </w: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Trading Ltd.</w:t>
            </w:r>
          </w:p>
        </w:tc>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Abu Dhabi</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Sales of autonomous driving products and provision of related services</w:t>
            </w:r>
          </w:p>
        </w:tc>
        <w:tc>
          <w:tcPr>
            <w:tcW w:w="0" w:type="dxa"/>
            <w:vAlign w:val="bottom"/>
          </w:tcPr>
          <w:p>
            <w:pPr>
              <w:spacing w:after="0"/>
              <w:rPr>
                <w:sz w:val="1"/>
                <w:szCs w:val="1"/>
                <w:color w:val="auto"/>
              </w:rPr>
            </w:pPr>
          </w:p>
        </w:tc>
      </w:tr>
      <w:tr>
        <w:trPr>
          <w:trHeight w:val="216"/>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Guangzhou Wenyuan</w:t>
            </w: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Chinese Mainland</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5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Sales of autonomous driving products and provision of related services</w:t>
            </w: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Guangzhou Jingqi</w:t>
            </w:r>
          </w:p>
        </w:tc>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Chinese Mainland</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Sales of autonomous driving products and provision of related services</w:t>
            </w:r>
          </w:p>
        </w:tc>
        <w:tc>
          <w:tcPr>
            <w:tcW w:w="0" w:type="dxa"/>
            <w:vAlign w:val="bottom"/>
          </w:tcPr>
          <w:p>
            <w:pPr>
              <w:spacing w:after="0"/>
              <w:rPr>
                <w:sz w:val="1"/>
                <w:szCs w:val="1"/>
                <w:color w:val="auto"/>
              </w:rPr>
            </w:pPr>
          </w:p>
        </w:tc>
      </w:tr>
      <w:tr>
        <w:trPr>
          <w:trHeight w:val="198"/>
        </w:trPr>
        <w:tc>
          <w:tcPr>
            <w:tcW w:w="27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Wenyuan Yuexing (Guangdong)</w:t>
            </w: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Technology Co., Ltd.</w:t>
            </w: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Chinese Mainland</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5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Sales of autonomous driving products and provision of related services</w:t>
            </w:r>
          </w:p>
        </w:tc>
        <w:tc>
          <w:tcPr>
            <w:tcW w:w="0" w:type="dxa"/>
            <w:vAlign w:val="bottom"/>
          </w:tcPr>
          <w:p>
            <w:pPr>
              <w:spacing w:after="0"/>
              <w:rPr>
                <w:sz w:val="1"/>
                <w:szCs w:val="1"/>
                <w:color w:val="auto"/>
              </w:rPr>
            </w:pPr>
          </w:p>
        </w:tc>
      </w:tr>
      <w:tr>
        <w:trPr>
          <w:trHeight w:val="198"/>
        </w:trPr>
        <w:tc>
          <w:tcPr>
            <w:tcW w:w="27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Wenyuan Suxing (Jiangsu)</w:t>
            </w: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 Co., Ltd.</w:t>
            </w:r>
          </w:p>
        </w:tc>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Chinese Mainland</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Sales of autonomous driving products and provision of related services</w:t>
            </w:r>
          </w:p>
        </w:tc>
        <w:tc>
          <w:tcPr>
            <w:tcW w:w="0" w:type="dxa"/>
            <w:vAlign w:val="bottom"/>
          </w:tcPr>
          <w:p>
            <w:pPr>
              <w:spacing w:after="0"/>
              <w:rPr>
                <w:sz w:val="1"/>
                <w:szCs w:val="1"/>
                <w:color w:val="auto"/>
              </w:rPr>
            </w:pPr>
          </w:p>
        </w:tc>
      </w:tr>
      <w:tr>
        <w:trPr>
          <w:trHeight w:val="198"/>
        </w:trPr>
        <w:tc>
          <w:tcPr>
            <w:tcW w:w="27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Wuxi WeRide Intelligent</w:t>
            </w: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Co., Ltd.</w:t>
            </w: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Chinese Mainland</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5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Sales of autonomous driving products and provision of related services</w:t>
            </w:r>
          </w:p>
        </w:tc>
        <w:tc>
          <w:tcPr>
            <w:tcW w:w="0" w:type="dxa"/>
            <w:vAlign w:val="bottom"/>
          </w:tcPr>
          <w:p>
            <w:pPr>
              <w:spacing w:after="0"/>
              <w:rPr>
                <w:sz w:val="1"/>
                <w:szCs w:val="1"/>
                <w:color w:val="auto"/>
              </w:rPr>
            </w:pPr>
          </w:p>
        </w:tc>
      </w:tr>
      <w:tr>
        <w:trPr>
          <w:trHeight w:val="198"/>
        </w:trPr>
        <w:tc>
          <w:tcPr>
            <w:tcW w:w="27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Shanghai Wenyuan Zhixing</w:t>
            </w: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 Co., Ltd.</w:t>
            </w:r>
          </w:p>
        </w:tc>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Chinese Mainland</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Sales of autonomous driving products and provision of related services</w:t>
            </w:r>
          </w:p>
        </w:tc>
        <w:tc>
          <w:tcPr>
            <w:tcW w:w="0" w:type="dxa"/>
            <w:vAlign w:val="bottom"/>
          </w:tcPr>
          <w:p>
            <w:pPr>
              <w:spacing w:after="0"/>
              <w:rPr>
                <w:sz w:val="1"/>
                <w:szCs w:val="1"/>
                <w:color w:val="auto"/>
              </w:rPr>
            </w:pPr>
          </w:p>
        </w:tc>
      </w:tr>
      <w:tr>
        <w:trPr>
          <w:trHeight w:val="198"/>
        </w:trPr>
        <w:tc>
          <w:tcPr>
            <w:tcW w:w="27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Shenzhen Wenyuan Zhixing</w:t>
            </w: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Intelligent Technology Co., Ltd.</w:t>
            </w: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Chinese Mainland</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5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Sales of autonomous driving products and provision of related services</w:t>
            </w:r>
          </w:p>
        </w:tc>
        <w:tc>
          <w:tcPr>
            <w:tcW w:w="0" w:type="dxa"/>
            <w:vAlign w:val="bottom"/>
          </w:tcPr>
          <w:p>
            <w:pPr>
              <w:spacing w:after="0"/>
              <w:rPr>
                <w:sz w:val="1"/>
                <w:szCs w:val="1"/>
                <w:color w:val="auto"/>
              </w:rPr>
            </w:pPr>
          </w:p>
        </w:tc>
      </w:tr>
      <w:tr>
        <w:trPr>
          <w:trHeight w:val="198"/>
        </w:trPr>
        <w:tc>
          <w:tcPr>
            <w:tcW w:w="27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Wenyuan Jingxing (Beijing)</w:t>
            </w: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 Co., Ltd.</w:t>
            </w:r>
          </w:p>
        </w:tc>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Chinese Mainland</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Sales of autonomous driving products and provision of related services</w:t>
            </w:r>
          </w:p>
        </w:tc>
        <w:tc>
          <w:tcPr>
            <w:tcW w:w="0" w:type="dxa"/>
            <w:vAlign w:val="bottom"/>
          </w:tcPr>
          <w:p>
            <w:pPr>
              <w:spacing w:after="0"/>
              <w:rPr>
                <w:sz w:val="1"/>
                <w:szCs w:val="1"/>
                <w:color w:val="auto"/>
              </w:rPr>
            </w:pPr>
          </w:p>
        </w:tc>
      </w:tr>
      <w:tr>
        <w:trPr>
          <w:trHeight w:val="198"/>
        </w:trPr>
        <w:tc>
          <w:tcPr>
            <w:tcW w:w="27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Taizhou Wenyuan Zhixing</w:t>
            </w: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Intelligent Technology Co., Ltd.</w:t>
            </w: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Chinese Mainland</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5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Sales of autonomous driving products and provision of related services</w:t>
            </w:r>
          </w:p>
        </w:tc>
        <w:tc>
          <w:tcPr>
            <w:tcW w:w="0" w:type="dxa"/>
            <w:vAlign w:val="bottom"/>
          </w:tcPr>
          <w:p>
            <w:pPr>
              <w:spacing w:after="0"/>
              <w:rPr>
                <w:sz w:val="1"/>
                <w:szCs w:val="1"/>
                <w:color w:val="auto"/>
              </w:rPr>
            </w:pPr>
          </w:p>
        </w:tc>
      </w:tr>
      <w:tr>
        <w:trPr>
          <w:trHeight w:val="198"/>
        </w:trPr>
        <w:tc>
          <w:tcPr>
            <w:tcW w:w="27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Shanghai Wenyuan Zhixing</w:t>
            </w: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Automotive Technology Co., Ltd.</w:t>
            </w:r>
          </w:p>
        </w:tc>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Chinese Mainland</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Sales of autonomous driving products and provision of related services</w:t>
            </w:r>
          </w:p>
        </w:tc>
        <w:tc>
          <w:tcPr>
            <w:tcW w:w="0" w:type="dxa"/>
            <w:vAlign w:val="bottom"/>
          </w:tcPr>
          <w:p>
            <w:pPr>
              <w:spacing w:after="0"/>
              <w:rPr>
                <w:sz w:val="1"/>
                <w:szCs w:val="1"/>
                <w:color w:val="auto"/>
              </w:rPr>
            </w:pPr>
          </w:p>
        </w:tc>
      </w:tr>
      <w:tr>
        <w:trPr>
          <w:trHeight w:val="365"/>
        </w:trPr>
        <w:tc>
          <w:tcPr>
            <w:tcW w:w="9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F-77</w:t>
            </w:r>
          </w:p>
        </w:tc>
        <w:tc>
          <w:tcPr>
            <w:tcW w:w="1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34</w:t>
        <w:tab/>
        <w:t>Material related party transactions</w:t>
      </w:r>
    </w:p>
    <w:p>
      <w:pPr>
        <w:spacing w:after="0" w:line="131"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(a)</w:t>
        <w:tab/>
        <w:t>Name and relationship with related parties</w:t>
      </w:r>
    </w:p>
    <w:p>
      <w:pPr>
        <w:spacing w:after="0" w:line="250" w:lineRule="exact"/>
        <w:rPr>
          <w:sz w:val="20"/>
          <w:szCs w:val="20"/>
          <w:color w:val="auto"/>
        </w:rPr>
      </w:pPr>
    </w:p>
    <w:tbl>
      <w:tblPr>
        <w:tblLayout w:type="fixed"/>
        <w:tblInd w:w="560" w:type="dxa"/>
        <w:tblCellMar>
          <w:top w:w="0" w:type="dxa"/>
          <w:left w:w="0" w:type="dxa"/>
          <w:bottom w:w="0" w:type="dxa"/>
          <w:right w:w="0" w:type="dxa"/>
        </w:tblCellMar>
      </w:tblPr>
      <w:tr>
        <w:trPr>
          <w:trHeight w:val="193"/>
        </w:trPr>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Name of related parties</w:t>
            </w:r>
          </w:p>
        </w:tc>
        <w:tc>
          <w:tcPr>
            <w:tcW w:w="60" w:type="dxa"/>
            <w:vAlign w:val="bottom"/>
          </w:tcPr>
          <w:p>
            <w:pPr>
              <w:spacing w:after="0"/>
              <w:rPr>
                <w:sz w:val="16"/>
                <w:szCs w:val="16"/>
                <w:color w:val="auto"/>
              </w:rPr>
            </w:pPr>
          </w:p>
        </w:tc>
        <w:tc>
          <w:tcPr>
            <w:tcW w:w="5080" w:type="dxa"/>
            <w:vAlign w:val="bottom"/>
          </w:tcPr>
          <w:p>
            <w:pPr>
              <w:ind w:left="1720"/>
              <w:spacing w:after="0"/>
              <w:rPr>
                <w:sz w:val="20"/>
                <w:szCs w:val="20"/>
                <w:color w:val="auto"/>
              </w:rPr>
            </w:pPr>
            <w:r>
              <w:rPr>
                <w:rFonts w:ascii="Times New Roman" w:cs="Times New Roman" w:eastAsia="Times New Roman" w:hAnsi="Times New Roman"/>
                <w:sz w:val="14"/>
                <w:szCs w:val="14"/>
                <w:i w:val="1"/>
                <w:iCs w:val="1"/>
                <w:color w:val="auto"/>
              </w:rPr>
              <w:t>Relationship with the Group</w:t>
            </w:r>
          </w:p>
        </w:tc>
      </w:tr>
      <w:tr>
        <w:trPr>
          <w:trHeight w:val="185"/>
        </w:trPr>
        <w:tc>
          <w:tcPr>
            <w:tcW w:w="13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Dr. Tony Xu Han</w:t>
            </w:r>
          </w:p>
        </w:tc>
        <w:tc>
          <w:tcPr>
            <w:tcW w:w="4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Founder, Chairman, Executive Director and CEO</w:t>
            </w: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Yan Li</w:t>
            </w:r>
          </w:p>
        </w:tc>
        <w:tc>
          <w:tcPr>
            <w:tcW w:w="5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Co-founder, Executive Director and Chief Technology Officer</w:t>
            </w: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Hua Zhong</w:t>
            </w:r>
          </w:p>
        </w:tc>
        <w:tc>
          <w:tcPr>
            <w:tcW w:w="5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29"/>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Ms. Jennifer Xuan Li</w:t>
            </w:r>
          </w:p>
        </w:tc>
        <w:tc>
          <w:tcPr>
            <w:tcW w:w="5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Chief Financial Officer and Head of International</w:t>
            </w: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Qingxiong Yang</w:t>
            </w:r>
          </w:p>
        </w:tc>
        <w:tc>
          <w:tcPr>
            <w:tcW w:w="5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Grégoire de Franqueville</w:t>
            </w:r>
          </w:p>
        </w:tc>
        <w:tc>
          <w:tcPr>
            <w:tcW w:w="5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Takao Asami</w:t>
            </w:r>
          </w:p>
        </w:tc>
        <w:tc>
          <w:tcPr>
            <w:tcW w:w="5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David Tong Zhang</w:t>
            </w:r>
          </w:p>
        </w:tc>
        <w:tc>
          <w:tcPr>
            <w:tcW w:w="5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Ms. Huiping Yan</w:t>
            </w:r>
          </w:p>
        </w:tc>
        <w:tc>
          <w:tcPr>
            <w:tcW w:w="5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Yibing Xu</w:t>
            </w:r>
          </w:p>
        </w:tc>
        <w:tc>
          <w:tcPr>
            <w:tcW w:w="5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Former Non-Executive Director</w:t>
            </w: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Jingzhao Wan</w:t>
            </w:r>
          </w:p>
        </w:tc>
        <w:tc>
          <w:tcPr>
            <w:tcW w:w="5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Former Non-Executive Director</w:t>
            </w: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Ziping Kuang</w:t>
            </w:r>
          </w:p>
        </w:tc>
        <w:tc>
          <w:tcPr>
            <w:tcW w:w="5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Former Non-Executive Director</w:t>
            </w: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Mohamed Albadrsharif Shaikh Abubaker Alshateri</w:t>
            </w:r>
          </w:p>
        </w:tc>
        <w:tc>
          <w:tcPr>
            <w:tcW w:w="5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Former Non-Executive Director</w:t>
            </w: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Alliance Automotive R&amp;D (Shanghai) Co., Ltd., Alliance Ventures, B.V.</w:t>
            </w:r>
          </w:p>
        </w:tc>
        <w:tc>
          <w:tcPr>
            <w:tcW w:w="60" w:type="dxa"/>
            <w:vAlign w:val="bottom"/>
          </w:tcPr>
          <w:p>
            <w:pPr>
              <w:spacing w:after="0"/>
              <w:rPr>
                <w:sz w:val="18"/>
                <w:szCs w:val="18"/>
                <w:color w:val="auto"/>
              </w:rPr>
            </w:pPr>
          </w:p>
        </w:tc>
        <w:tc>
          <w:tcPr>
            <w:tcW w:w="5080" w:type="dxa"/>
            <w:vAlign w:val="bottom"/>
          </w:tcPr>
          <w:p>
            <w:pPr>
              <w:spacing w:after="0"/>
              <w:rPr>
                <w:sz w:val="18"/>
                <w:szCs w:val="18"/>
                <w:color w:val="auto"/>
              </w:rPr>
            </w:pPr>
          </w:p>
        </w:tc>
      </w:tr>
      <w:tr>
        <w:trPr>
          <w:trHeight w:val="216"/>
        </w:trPr>
        <w:tc>
          <w:tcPr>
            <w:tcW w:w="5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Nissan Mobility Service Co., Ltd (collectively “Alliance affiliates”)</w:t>
            </w:r>
          </w:p>
        </w:tc>
        <w:tc>
          <w:tcPr>
            <w:tcW w:w="5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Affiliate of a shareholder</w:t>
            </w: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Zhengzhou Yutong Bus Co., Ltd.,</w:t>
            </w:r>
          </w:p>
        </w:tc>
        <w:tc>
          <w:tcPr>
            <w:tcW w:w="60" w:type="dxa"/>
            <w:vAlign w:val="bottom"/>
          </w:tcPr>
          <w:p>
            <w:pPr>
              <w:spacing w:after="0"/>
              <w:rPr>
                <w:sz w:val="18"/>
                <w:szCs w:val="18"/>
                <w:color w:val="auto"/>
              </w:rPr>
            </w:pPr>
          </w:p>
        </w:tc>
        <w:tc>
          <w:tcPr>
            <w:tcW w:w="5080" w:type="dxa"/>
            <w:vAlign w:val="bottom"/>
          </w:tcPr>
          <w:p>
            <w:pPr>
              <w:spacing w:after="0"/>
              <w:rPr>
                <w:sz w:val="18"/>
                <w:szCs w:val="18"/>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Zhengzhou Yutong Heavy Industry Co., Ltd.,</w:t>
            </w:r>
          </w:p>
        </w:tc>
        <w:tc>
          <w:tcPr>
            <w:tcW w:w="60" w:type="dxa"/>
            <w:vAlign w:val="bottom"/>
          </w:tcPr>
          <w:p>
            <w:pPr>
              <w:spacing w:after="0"/>
              <w:rPr>
                <w:sz w:val="18"/>
                <w:szCs w:val="18"/>
                <w:color w:val="auto"/>
              </w:rPr>
            </w:pPr>
          </w:p>
        </w:tc>
        <w:tc>
          <w:tcPr>
            <w:tcW w:w="5080" w:type="dxa"/>
            <w:vAlign w:val="bottom"/>
          </w:tcPr>
          <w:p>
            <w:pPr>
              <w:spacing w:after="0"/>
              <w:rPr>
                <w:sz w:val="18"/>
                <w:szCs w:val="18"/>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Yutong Heavy Equipment Co., Ltd.,</w:t>
            </w:r>
          </w:p>
        </w:tc>
        <w:tc>
          <w:tcPr>
            <w:tcW w:w="60" w:type="dxa"/>
            <w:vAlign w:val="bottom"/>
          </w:tcPr>
          <w:p>
            <w:pPr>
              <w:spacing w:after="0"/>
              <w:rPr>
                <w:sz w:val="18"/>
                <w:szCs w:val="18"/>
                <w:color w:val="auto"/>
              </w:rPr>
            </w:pPr>
          </w:p>
        </w:tc>
        <w:tc>
          <w:tcPr>
            <w:tcW w:w="5080" w:type="dxa"/>
            <w:vAlign w:val="bottom"/>
          </w:tcPr>
          <w:p>
            <w:pPr>
              <w:spacing w:after="0"/>
              <w:rPr>
                <w:sz w:val="18"/>
                <w:szCs w:val="18"/>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Zhengzhou Yutong Mining Equipment Co., Ltd, and Ourland</w:t>
            </w:r>
          </w:p>
        </w:tc>
        <w:tc>
          <w:tcPr>
            <w:tcW w:w="60" w:type="dxa"/>
            <w:vAlign w:val="bottom"/>
          </w:tcPr>
          <w:p>
            <w:pPr>
              <w:spacing w:after="0"/>
              <w:rPr>
                <w:sz w:val="18"/>
                <w:szCs w:val="18"/>
                <w:color w:val="auto"/>
              </w:rPr>
            </w:pPr>
          </w:p>
        </w:tc>
        <w:tc>
          <w:tcPr>
            <w:tcW w:w="5080" w:type="dxa"/>
            <w:vAlign w:val="bottom"/>
          </w:tcPr>
          <w:p>
            <w:pPr>
              <w:spacing w:after="0"/>
              <w:rPr>
                <w:sz w:val="18"/>
                <w:szCs w:val="18"/>
                <w:color w:val="auto"/>
              </w:rPr>
            </w:pPr>
          </w:p>
        </w:tc>
      </w:tr>
      <w:tr>
        <w:trPr>
          <w:trHeight w:val="229"/>
        </w:trPr>
        <w:tc>
          <w:tcPr>
            <w:tcW w:w="5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Environmental Technical Ltd (collectively “Yutong affiliates”)</w:t>
            </w:r>
          </w:p>
        </w:tc>
        <w:tc>
          <w:tcPr>
            <w:tcW w:w="5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Affiliate of a shareholder</w:t>
            </w: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Guangzhou Yuji Technology Co., Ltd. and its subsidiaries (collectively</w:t>
            </w:r>
          </w:p>
        </w:tc>
        <w:tc>
          <w:tcPr>
            <w:tcW w:w="60" w:type="dxa"/>
            <w:vAlign w:val="bottom"/>
          </w:tcPr>
          <w:p>
            <w:pPr>
              <w:spacing w:after="0"/>
              <w:rPr>
                <w:sz w:val="18"/>
                <w:szCs w:val="18"/>
                <w:color w:val="auto"/>
              </w:rPr>
            </w:pPr>
          </w:p>
        </w:tc>
        <w:tc>
          <w:tcPr>
            <w:tcW w:w="5080" w:type="dxa"/>
            <w:vAlign w:val="bottom"/>
          </w:tcPr>
          <w:p>
            <w:pPr>
              <w:spacing w:after="0"/>
              <w:rPr>
                <w:sz w:val="18"/>
                <w:szCs w:val="18"/>
                <w:color w:val="auto"/>
              </w:rPr>
            </w:pPr>
          </w:p>
        </w:tc>
      </w:tr>
      <w:tr>
        <w:trPr>
          <w:trHeight w:val="234"/>
        </w:trPr>
        <w:tc>
          <w:tcPr>
            <w:tcW w:w="5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“Yuji affiliates”)</w:t>
            </w:r>
          </w:p>
        </w:tc>
        <w:tc>
          <w:tcPr>
            <w:tcW w:w="5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Entity controlled by a close family member of Dr. Tony Xu Han</w:t>
            </w:r>
          </w:p>
        </w:tc>
      </w:tr>
      <w:tr>
        <w:trPr>
          <w:trHeight w:val="365"/>
        </w:trPr>
        <w:tc>
          <w:tcPr>
            <w:tcW w:w="1360" w:type="dxa"/>
            <w:vAlign w:val="bottom"/>
          </w:tcPr>
          <w:p>
            <w:pPr>
              <w:spacing w:after="0"/>
              <w:rPr>
                <w:sz w:val="24"/>
                <w:szCs w:val="24"/>
                <w:color w:val="auto"/>
              </w:rPr>
            </w:pPr>
          </w:p>
        </w:tc>
        <w:tc>
          <w:tcPr>
            <w:tcW w:w="408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F-78</w:t>
            </w:r>
          </w:p>
        </w:tc>
        <w:tc>
          <w:tcPr>
            <w:tcW w:w="60" w:type="dxa"/>
            <w:vAlign w:val="bottom"/>
          </w:tcPr>
          <w:p>
            <w:pPr>
              <w:spacing w:after="0"/>
              <w:rPr>
                <w:sz w:val="24"/>
                <w:szCs w:val="24"/>
                <w:color w:val="auto"/>
              </w:rPr>
            </w:pPr>
          </w:p>
        </w:tc>
        <w:tc>
          <w:tcPr>
            <w:tcW w:w="508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(b)</w:t>
        <w:tab/>
        <w:t>Key management personnel compensation</w:t>
      </w:r>
    </w:p>
    <w:p>
      <w:pPr>
        <w:spacing w:after="0" w:line="25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660" w:type="dxa"/>
            <w:vAlign w:val="bottom"/>
          </w:tcPr>
          <w:p>
            <w:pPr>
              <w:spacing w:after="0"/>
              <w:rPr>
                <w:sz w:val="15"/>
                <w:szCs w:val="15"/>
                <w:color w:val="auto"/>
              </w:rPr>
            </w:pPr>
          </w:p>
        </w:tc>
        <w:tc>
          <w:tcPr>
            <w:tcW w:w="2600" w:type="dxa"/>
            <w:vAlign w:val="bottom"/>
            <w:gridSpan w:val="6"/>
          </w:tcPr>
          <w:p>
            <w:pPr>
              <w:ind w:left="30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r>
      <w:tr>
        <w:trPr>
          <w:trHeight w:val="119"/>
        </w:trPr>
        <w:tc>
          <w:tcPr>
            <w:tcW w:w="6660" w:type="dxa"/>
            <w:vAlign w:val="bottom"/>
          </w:tcPr>
          <w:p>
            <w:pPr>
              <w:spacing w:after="0"/>
              <w:rPr>
                <w:sz w:val="10"/>
                <w:szCs w:val="10"/>
                <w:color w:val="auto"/>
              </w:rPr>
            </w:pPr>
          </w:p>
        </w:tc>
        <w:tc>
          <w:tcPr>
            <w:tcW w:w="660" w:type="dxa"/>
            <w:vAlign w:val="bottom"/>
            <w:tcBorders>
              <w:top w:val="single" w:sz="8" w:color="auto"/>
            </w:tcBorders>
          </w:tcPr>
          <w:p>
            <w:pPr>
              <w:jc w:val="right"/>
              <w:ind w:right="117"/>
              <w:spacing w:after="0" w:line="119" w:lineRule="exact"/>
              <w:rPr>
                <w:sz w:val="20"/>
                <w:szCs w:val="20"/>
                <w:color w:val="auto"/>
              </w:rPr>
            </w:pPr>
            <w:r>
              <w:rPr>
                <w:rFonts w:ascii="Times New Roman" w:cs="Times New Roman" w:eastAsia="Times New Roman" w:hAnsi="Times New Roman"/>
                <w:sz w:val="13"/>
                <w:szCs w:val="13"/>
                <w:i w:val="1"/>
                <w:iCs w:val="1"/>
                <w:color w:val="auto"/>
              </w:rPr>
              <w:t>2022</w:t>
            </w:r>
          </w:p>
        </w:tc>
        <w:tc>
          <w:tcPr>
            <w:tcW w:w="860" w:type="dxa"/>
            <w:vAlign w:val="bottom"/>
            <w:tcBorders>
              <w:top w:val="single" w:sz="8" w:color="auto"/>
            </w:tcBorders>
            <w:gridSpan w:val="2"/>
          </w:tcPr>
          <w:p>
            <w:pPr>
              <w:jc w:val="right"/>
              <w:ind w:right="99"/>
              <w:spacing w:after="0" w:line="119" w:lineRule="exact"/>
              <w:rPr>
                <w:sz w:val="20"/>
                <w:szCs w:val="20"/>
                <w:color w:val="auto"/>
              </w:rPr>
            </w:pPr>
            <w:r>
              <w:rPr>
                <w:rFonts w:ascii="Times New Roman" w:cs="Times New Roman" w:eastAsia="Times New Roman" w:hAnsi="Times New Roman"/>
                <w:sz w:val="13"/>
                <w:szCs w:val="13"/>
                <w:i w:val="1"/>
                <w:iCs w:val="1"/>
                <w:color w:val="auto"/>
              </w:rPr>
              <w:t>2023</w:t>
            </w:r>
          </w:p>
        </w:tc>
        <w:tc>
          <w:tcPr>
            <w:tcW w:w="1020" w:type="dxa"/>
            <w:vAlign w:val="bottom"/>
            <w:tcBorders>
              <w:top w:val="single" w:sz="8" w:color="auto"/>
            </w:tcBorders>
            <w:gridSpan w:val="2"/>
          </w:tcPr>
          <w:p>
            <w:pPr>
              <w:jc w:val="right"/>
              <w:ind w:right="179"/>
              <w:spacing w:after="0" w:line="119" w:lineRule="exact"/>
              <w:rPr>
                <w:sz w:val="20"/>
                <w:szCs w:val="20"/>
                <w:color w:val="auto"/>
              </w:rPr>
            </w:pPr>
            <w:r>
              <w:rPr>
                <w:rFonts w:ascii="Times New Roman" w:cs="Times New Roman" w:eastAsia="Times New Roman" w:hAnsi="Times New Roman"/>
                <w:sz w:val="13"/>
                <w:szCs w:val="13"/>
                <w:i w:val="1"/>
                <w:iCs w:val="1"/>
                <w:color w:val="auto"/>
              </w:rPr>
              <w:t>2024</w:t>
            </w:r>
          </w:p>
        </w:tc>
        <w:tc>
          <w:tcPr>
            <w:tcW w:w="60" w:type="dxa"/>
            <w:vAlign w:val="bottom"/>
          </w:tcPr>
          <w:p>
            <w:pPr>
              <w:spacing w:after="0"/>
              <w:rPr>
                <w:sz w:val="10"/>
                <w:szCs w:val="10"/>
                <w:color w:val="auto"/>
              </w:rPr>
            </w:pPr>
          </w:p>
        </w:tc>
      </w:tr>
      <w:tr>
        <w:trPr>
          <w:trHeight w:val="171"/>
        </w:trPr>
        <w:tc>
          <w:tcPr>
            <w:tcW w:w="66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RMB’000</w:t>
            </w:r>
          </w:p>
        </w:tc>
        <w:tc>
          <w:tcPr>
            <w:tcW w:w="2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RMB’000</w:t>
            </w:r>
          </w:p>
        </w:tc>
        <w:tc>
          <w:tcPr>
            <w:tcW w:w="24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RMB’000</w:t>
            </w: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employment benefits (excluding discretionary bonus)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15,575</w:t>
            </w:r>
          </w:p>
        </w:tc>
        <w:tc>
          <w:tcPr>
            <w:tcW w:w="6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Discretionary bonus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7,396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15,425</w:t>
            </w:r>
          </w:p>
        </w:tc>
        <w:tc>
          <w:tcPr>
            <w:tcW w:w="6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 to defined contribution retirement plans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60" w:type="dxa"/>
            <w:vAlign w:val="bottom"/>
            <w:shd w:val="clear" w:color="auto" w:fill="CCEEFF"/>
          </w:tcPr>
          <w:p>
            <w:pPr>
              <w:spacing w:after="0"/>
              <w:rPr>
                <w:sz w:val="18"/>
                <w:szCs w:val="18"/>
                <w:color w:val="auto"/>
              </w:rPr>
            </w:pPr>
          </w:p>
        </w:tc>
      </w:tr>
      <w:tr>
        <w:trPr>
          <w:trHeight w:val="223"/>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82,410</w:t>
            </w:r>
          </w:p>
        </w:tc>
        <w:tc>
          <w:tcPr>
            <w:tcW w:w="2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621,172</w:t>
            </w:r>
          </w:p>
        </w:tc>
        <w:tc>
          <w:tcPr>
            <w:tcW w:w="2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973,975</w:t>
            </w:r>
          </w:p>
        </w:tc>
        <w:tc>
          <w:tcPr>
            <w:tcW w:w="60" w:type="dxa"/>
            <w:vAlign w:val="bottom"/>
          </w:tcPr>
          <w:p>
            <w:pPr>
              <w:spacing w:after="0"/>
              <w:rPr>
                <w:sz w:val="19"/>
                <w:szCs w:val="19"/>
                <w:color w:val="auto"/>
              </w:rPr>
            </w:pPr>
          </w:p>
        </w:tc>
      </w:tr>
      <w:tr>
        <w:trPr>
          <w:trHeight w:val="216"/>
        </w:trPr>
        <w:tc>
          <w:tcPr>
            <w:tcW w:w="66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120,222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647,023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1,005,204</w:t>
            </w:r>
          </w:p>
        </w:tc>
        <w:tc>
          <w:tcPr>
            <w:tcW w:w="60" w:type="dxa"/>
            <w:vAlign w:val="bottom"/>
            <w:shd w:val="clear" w:color="auto" w:fill="CCEEFF"/>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2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Other transactions with related parties</w:t>
      </w:r>
    </w:p>
    <w:p>
      <w:pPr>
        <w:spacing w:after="0" w:line="121" w:lineRule="exact"/>
        <w:rPr>
          <w:rFonts w:ascii="Times New Roman" w:cs="Times New Roman" w:eastAsia="Times New Roman" w:hAnsi="Times New Roman"/>
          <w:sz w:val="18"/>
          <w:szCs w:val="18"/>
          <w:b w:val="1"/>
          <w:bCs w:val="1"/>
          <w:i w:val="1"/>
          <w:iCs w:val="1"/>
          <w:color w:val="auto"/>
        </w:rPr>
      </w:pPr>
    </w:p>
    <w:p>
      <w:pPr>
        <w:ind w:left="560" w:right="34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addition to the transactions disclosed elsewhere in these consolidated financial statements, the Group entered into the following continuing material related party transactions during the years presented:</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800" w:type="dxa"/>
            <w:vAlign w:val="bottom"/>
          </w:tcPr>
          <w:p>
            <w:pPr>
              <w:spacing w:after="0"/>
              <w:rPr>
                <w:sz w:val="15"/>
                <w:szCs w:val="15"/>
                <w:color w:val="auto"/>
              </w:rPr>
            </w:pPr>
          </w:p>
        </w:tc>
        <w:tc>
          <w:tcPr>
            <w:tcW w:w="2460" w:type="dxa"/>
            <w:vAlign w:val="bottom"/>
            <w:gridSpan w:val="6"/>
          </w:tcPr>
          <w:p>
            <w:pPr>
              <w:ind w:left="22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c>
          <w:tcPr>
            <w:tcW w:w="0" w:type="dxa"/>
            <w:vAlign w:val="bottom"/>
          </w:tcPr>
          <w:p>
            <w:pPr>
              <w:spacing w:after="0"/>
              <w:rPr>
                <w:sz w:val="1"/>
                <w:szCs w:val="1"/>
                <w:color w:val="auto"/>
              </w:rPr>
            </w:pPr>
          </w:p>
        </w:tc>
      </w:tr>
      <w:tr>
        <w:trPr>
          <w:trHeight w:val="119"/>
        </w:trPr>
        <w:tc>
          <w:tcPr>
            <w:tcW w:w="6800" w:type="dxa"/>
            <w:vAlign w:val="bottom"/>
          </w:tcPr>
          <w:p>
            <w:pPr>
              <w:spacing w:after="0"/>
              <w:rPr>
                <w:sz w:val="10"/>
                <w:szCs w:val="10"/>
                <w:color w:val="auto"/>
              </w:rPr>
            </w:pPr>
          </w:p>
        </w:tc>
        <w:tc>
          <w:tcPr>
            <w:tcW w:w="640" w:type="dxa"/>
            <w:vAlign w:val="bottom"/>
            <w:tcBorders>
              <w:top w:val="single" w:sz="8" w:color="auto"/>
            </w:tcBorders>
          </w:tcPr>
          <w:p>
            <w:pPr>
              <w:jc w:val="right"/>
              <w:ind w:right="94"/>
              <w:spacing w:after="0" w:line="119" w:lineRule="exact"/>
              <w:rPr>
                <w:sz w:val="20"/>
                <w:szCs w:val="20"/>
                <w:color w:val="auto"/>
              </w:rPr>
            </w:pPr>
            <w:r>
              <w:rPr>
                <w:rFonts w:ascii="Times New Roman" w:cs="Times New Roman" w:eastAsia="Times New Roman" w:hAnsi="Times New Roman"/>
                <w:sz w:val="13"/>
                <w:szCs w:val="13"/>
                <w:i w:val="1"/>
                <w:iCs w:val="1"/>
                <w:color w:val="auto"/>
              </w:rPr>
              <w:t>2022</w:t>
            </w:r>
          </w:p>
        </w:tc>
        <w:tc>
          <w:tcPr>
            <w:tcW w:w="880" w:type="dxa"/>
            <w:vAlign w:val="bottom"/>
            <w:tcBorders>
              <w:top w:val="single" w:sz="8" w:color="auto"/>
            </w:tcBorders>
            <w:gridSpan w:val="2"/>
          </w:tcPr>
          <w:p>
            <w:pPr>
              <w:jc w:val="right"/>
              <w:ind w:right="94"/>
              <w:spacing w:after="0" w:line="119" w:lineRule="exact"/>
              <w:rPr>
                <w:sz w:val="20"/>
                <w:szCs w:val="20"/>
                <w:color w:val="auto"/>
              </w:rPr>
            </w:pPr>
            <w:r>
              <w:rPr>
                <w:rFonts w:ascii="Times New Roman" w:cs="Times New Roman" w:eastAsia="Times New Roman" w:hAnsi="Times New Roman"/>
                <w:sz w:val="13"/>
                <w:szCs w:val="13"/>
                <w:i w:val="1"/>
                <w:iCs w:val="1"/>
                <w:color w:val="auto"/>
              </w:rPr>
              <w:t>2023</w:t>
            </w:r>
          </w:p>
        </w:tc>
        <w:tc>
          <w:tcPr>
            <w:tcW w:w="880" w:type="dxa"/>
            <w:vAlign w:val="bottom"/>
            <w:tcBorders>
              <w:top w:val="single" w:sz="8" w:color="auto"/>
            </w:tcBorders>
            <w:gridSpan w:val="2"/>
          </w:tcPr>
          <w:p>
            <w:pPr>
              <w:jc w:val="right"/>
              <w:ind w:right="93"/>
              <w:spacing w:after="0" w:line="119" w:lineRule="exact"/>
              <w:rPr>
                <w:sz w:val="20"/>
                <w:szCs w:val="20"/>
                <w:color w:val="auto"/>
              </w:rPr>
            </w:pPr>
            <w:r>
              <w:rPr>
                <w:rFonts w:ascii="Times New Roman" w:cs="Times New Roman" w:eastAsia="Times New Roman" w:hAnsi="Times New Roman"/>
                <w:sz w:val="13"/>
                <w:szCs w:val="13"/>
                <w:i w:val="1"/>
                <w:iCs w:val="1"/>
                <w:color w:val="auto"/>
              </w:rPr>
              <w:t>2024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8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RMB’000</w:t>
            </w:r>
          </w:p>
        </w:tc>
        <w:tc>
          <w:tcPr>
            <w:tcW w:w="2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RMB’000</w:t>
            </w:r>
          </w:p>
        </w:tc>
        <w:tc>
          <w:tcPr>
            <w:tcW w:w="240" w:type="dxa"/>
            <w:vAlign w:val="bottom"/>
          </w:tcPr>
          <w:p>
            <w:pPr>
              <w:spacing w:after="0"/>
              <w:rPr>
                <w:sz w:val="14"/>
                <w:szCs w:val="14"/>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Sales of goods to:</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Yutong affiliates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5,708</w:t>
            </w:r>
          </w:p>
        </w:tc>
        <w:tc>
          <w:tcPr>
            <w:tcW w:w="240" w:type="dxa"/>
            <w:vAlign w:val="bottom"/>
          </w:tcPr>
          <w:p>
            <w:pPr>
              <w:spacing w:after="0"/>
              <w:rPr>
                <w:sz w:val="18"/>
                <w:szCs w:val="18"/>
                <w:color w:val="auto"/>
              </w:rPr>
            </w:pP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Alliance affiliates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44,973</w:t>
            </w:r>
          </w:p>
        </w:tc>
        <w:tc>
          <w:tcPr>
            <w:tcW w:w="2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10,218</w:t>
            </w:r>
          </w:p>
        </w:tc>
        <w:tc>
          <w:tcPr>
            <w:tcW w:w="2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Service rendered to:</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Alliance affiliates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14,898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Yutong affiliates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Yuji affiliates</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4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9,083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38,288</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Purchases of goods or services from:</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Yutong affiliates*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168,862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18,377</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Yuji affiliates</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30,274</w:t>
            </w:r>
          </w:p>
        </w:tc>
        <w:tc>
          <w:tcPr>
            <w:tcW w:w="2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111,532</w:t>
            </w:r>
          </w:p>
        </w:tc>
        <w:tc>
          <w:tcPr>
            <w:tcW w:w="2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199,136</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129,909</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161,097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Payments made on behalf of customers to:</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Yuji affiliates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34,848</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34,848</w:t>
            </w:r>
          </w:p>
        </w:tc>
        <w:tc>
          <w:tcPr>
            <w:tcW w:w="2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65,238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880" w:right="660" w:hanging="332"/>
        <w:spacing w:after="0" w:line="312" w:lineRule="auto"/>
        <w:tabs>
          <w:tab w:leader="none" w:pos="880"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sold and recognized goods purchased from Yutong affiliates for business operation in cost of goods sold in the amount of RMB111.7 million, RMB10.8 million and RMB 9.1 million for the years ended December 31, 2022, 2023 and 2024, respectively.</w:t>
      </w:r>
    </w:p>
    <w:p>
      <w:pPr>
        <w:spacing w:after="0" w:line="140" w:lineRule="exact"/>
        <w:rPr>
          <w:sz w:val="20"/>
          <w:szCs w:val="20"/>
          <w:color w:val="auto"/>
        </w:rPr>
      </w:pPr>
    </w:p>
    <w:p>
      <w:pPr>
        <w:jc w:val="both"/>
        <w:ind w:left="560"/>
        <w:spacing w:after="0" w:line="261" w:lineRule="auto"/>
        <w:rPr>
          <w:sz w:val="20"/>
          <w:szCs w:val="20"/>
          <w:color w:val="auto"/>
        </w:rPr>
      </w:pPr>
      <w:r>
        <w:rPr>
          <w:rFonts w:ascii="Times New Roman" w:cs="Times New Roman" w:eastAsia="Times New Roman" w:hAnsi="Times New Roman"/>
          <w:sz w:val="18"/>
          <w:szCs w:val="18"/>
          <w:color w:val="auto"/>
        </w:rPr>
        <w:t>In addition, the Group entered into a share subscription agreement with one of Alliance affiliates in July 2024, who committed to subscribe shares of the Company as a cornerstone investor with an aggregate purchase price of USD97.0 million (equivalent to RMB689.6 million). The Company issued 18,774,194 Class A ordinary shares for cash consideration of USD5.17 each to the shareholder and collected the subscription consideration upon completion of the IPO.</w:t>
      </w:r>
    </w:p>
    <w:p>
      <w:pPr>
        <w:spacing w:after="0" w:line="180" w:lineRule="exact"/>
        <w:rPr>
          <w:sz w:val="20"/>
          <w:szCs w:val="20"/>
          <w:color w:val="auto"/>
        </w:rPr>
      </w:pPr>
    </w:p>
    <w:p>
      <w:pPr>
        <w:ind w:left="560" w:right="160"/>
        <w:spacing w:after="0" w:line="266" w:lineRule="auto"/>
        <w:rPr>
          <w:sz w:val="20"/>
          <w:szCs w:val="20"/>
          <w:color w:val="auto"/>
        </w:rPr>
      </w:pPr>
      <w:r>
        <w:rPr>
          <w:rFonts w:ascii="Times New Roman" w:cs="Times New Roman" w:eastAsia="Times New Roman" w:hAnsi="Times New Roman"/>
          <w:sz w:val="18"/>
          <w:szCs w:val="18"/>
          <w:color w:val="auto"/>
        </w:rPr>
        <w:t>In July 2024, the Company issued 80,544,159 ordinary shares to settle vested restricted shares held by certain management personnel and withheld 45,449,991 vested restricted share units to fund the withholding tax payable arising from the settlement of these vested restricted share units amounting to RMB394.2 million.</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F-79</w:t>
      </w:r>
    </w:p>
    <w:p>
      <w:pPr>
        <w:sectPr>
          <w:pgSz w:w="11900" w:h="16838" w:orient="portrait"/>
          <w:cols w:equalWidth="0" w:num="1">
            <w:col w:w="11080"/>
          </w:cols>
          <w:pgMar w:left="320" w:top="482" w:right="49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(d)</w:t>
        <w:tab/>
        <w:t>Balances with related parties</w:t>
      </w:r>
    </w:p>
    <w:p>
      <w:pPr>
        <w:spacing w:after="0" w:line="25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720" w:type="dxa"/>
            <w:vAlign w:val="bottom"/>
          </w:tcPr>
          <w:p>
            <w:pPr>
              <w:spacing w:after="0"/>
              <w:rPr>
                <w:sz w:val="15"/>
                <w:szCs w:val="15"/>
                <w:color w:val="auto"/>
              </w:rPr>
            </w:pPr>
          </w:p>
        </w:tc>
        <w:tc>
          <w:tcPr>
            <w:tcW w:w="164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i w:val="1"/>
                <w:iCs w:val="1"/>
                <w:color w:val="auto"/>
              </w:rPr>
              <w:t>As of December 31,</w:t>
            </w:r>
          </w:p>
        </w:tc>
        <w:tc>
          <w:tcPr>
            <w:tcW w:w="0" w:type="dxa"/>
            <w:vAlign w:val="bottom"/>
          </w:tcPr>
          <w:p>
            <w:pPr>
              <w:spacing w:after="0"/>
              <w:rPr>
                <w:sz w:val="1"/>
                <w:szCs w:val="1"/>
                <w:color w:val="auto"/>
              </w:rPr>
            </w:pPr>
          </w:p>
        </w:tc>
      </w:tr>
      <w:tr>
        <w:trPr>
          <w:trHeight w:val="119"/>
        </w:trPr>
        <w:tc>
          <w:tcPr>
            <w:tcW w:w="6720" w:type="dxa"/>
            <w:vAlign w:val="bottom"/>
          </w:tcPr>
          <w:p>
            <w:pPr>
              <w:spacing w:after="0"/>
              <w:rPr>
                <w:sz w:val="10"/>
                <w:szCs w:val="10"/>
                <w:color w:val="auto"/>
              </w:rPr>
            </w:pPr>
          </w:p>
        </w:tc>
        <w:tc>
          <w:tcPr>
            <w:tcW w:w="600" w:type="dxa"/>
            <w:vAlign w:val="bottom"/>
            <w:tcBorders>
              <w:top w:val="single" w:sz="8" w:color="auto"/>
            </w:tcBorders>
          </w:tcPr>
          <w:p>
            <w:pPr>
              <w:jc w:val="right"/>
              <w:ind w:right="75"/>
              <w:spacing w:after="0" w:line="119" w:lineRule="exact"/>
              <w:rPr>
                <w:sz w:val="20"/>
                <w:szCs w:val="20"/>
                <w:color w:val="auto"/>
              </w:rPr>
            </w:pPr>
            <w:r>
              <w:rPr>
                <w:rFonts w:ascii="Times New Roman" w:cs="Times New Roman" w:eastAsia="Times New Roman" w:hAnsi="Times New Roman"/>
                <w:sz w:val="13"/>
                <w:szCs w:val="13"/>
                <w:i w:val="1"/>
                <w:iCs w:val="1"/>
                <w:color w:val="auto"/>
              </w:rPr>
              <w:t>2023</w:t>
            </w:r>
          </w:p>
        </w:tc>
        <w:tc>
          <w:tcPr>
            <w:tcW w:w="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73"/>
              <w:spacing w:after="0" w:line="119" w:lineRule="exact"/>
              <w:rPr>
                <w:sz w:val="20"/>
                <w:szCs w:val="20"/>
                <w:color w:val="auto"/>
              </w:rPr>
            </w:pPr>
            <w:r>
              <w:rPr>
                <w:rFonts w:ascii="Times New Roman" w:cs="Times New Roman" w:eastAsia="Times New Roman" w:hAnsi="Times New Roman"/>
                <w:sz w:val="13"/>
                <w:szCs w:val="13"/>
                <w:i w:val="1"/>
                <w:iCs w:val="1"/>
                <w:color w:val="auto"/>
              </w:rPr>
              <w:t>2024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720" w:type="dxa"/>
            <w:vAlign w:val="bottom"/>
          </w:tcPr>
          <w:p>
            <w:pPr>
              <w:spacing w:after="0"/>
              <w:rPr>
                <w:sz w:val="14"/>
                <w:szCs w:val="14"/>
                <w:color w:val="auto"/>
              </w:rPr>
            </w:pPr>
          </w:p>
        </w:tc>
        <w:tc>
          <w:tcPr>
            <w:tcW w:w="94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RMB’000</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Trade related</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Trade receivables from:</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Alliance affiliates</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3,252</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3,944</w:t>
            </w:r>
          </w:p>
        </w:tc>
        <w:tc>
          <w:tcPr>
            <w:tcW w:w="0" w:type="dxa"/>
            <w:vAlign w:val="bottom"/>
          </w:tcPr>
          <w:p>
            <w:pPr>
              <w:spacing w:after="0"/>
              <w:rPr>
                <w:sz w:val="1"/>
                <w:szCs w:val="1"/>
                <w:color w:val="auto"/>
              </w:rPr>
            </w:pPr>
          </w:p>
        </w:tc>
      </w:tr>
      <w:tr>
        <w:trPr>
          <w:trHeight w:val="216"/>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Yutong affiliates</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26,218</w:t>
            </w:r>
          </w:p>
        </w:tc>
        <w:tc>
          <w:tcPr>
            <w:tcW w:w="3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11,880</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loss allowance</w:t>
            </w:r>
          </w:p>
        </w:tc>
        <w:tc>
          <w:tcPr>
            <w:tcW w:w="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(2,547)</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(2,707)</w:t>
            </w:r>
          </w:p>
        </w:tc>
        <w:tc>
          <w:tcPr>
            <w:tcW w:w="0" w:type="dxa"/>
            <w:vAlign w:val="bottom"/>
          </w:tcPr>
          <w:p>
            <w:pPr>
              <w:spacing w:after="0"/>
              <w:rPr>
                <w:sz w:val="1"/>
                <w:szCs w:val="1"/>
                <w:color w:val="auto"/>
              </w:rPr>
            </w:pPr>
          </w:p>
        </w:tc>
      </w:tr>
      <w:tr>
        <w:trPr>
          <w:trHeight w:val="223"/>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Trade receivables, net of loss allowance</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26,923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Prepayments to:</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Yutong affiliates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13,501</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Prepayments to and amounts due from related parties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26,923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26,618</w:t>
            </w: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Trade related</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Amounts due to related parties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payables to:</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Yutong affiliates</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35,009</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2,185</w:t>
            </w:r>
          </w:p>
        </w:tc>
        <w:tc>
          <w:tcPr>
            <w:tcW w:w="0" w:type="dxa"/>
            <w:vAlign w:val="bottom"/>
          </w:tcPr>
          <w:p>
            <w:pPr>
              <w:spacing w:after="0"/>
              <w:rPr>
                <w:sz w:val="1"/>
                <w:szCs w:val="1"/>
                <w:color w:val="auto"/>
              </w:rPr>
            </w:pPr>
          </w:p>
        </w:tc>
      </w:tr>
      <w:tr>
        <w:trPr>
          <w:trHeight w:val="216"/>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Yuji affiliates</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42,393</w:t>
            </w:r>
          </w:p>
        </w:tc>
        <w:tc>
          <w:tcPr>
            <w:tcW w:w="3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7,265</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Alliance affiliates</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425</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67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77,827</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2023 and 2024, amounts due from related parties are unsecured, interest-free and repayable on demand.</w:t>
      </w:r>
    </w:p>
    <w:p>
      <w:pPr>
        <w:spacing w:after="0" w:line="370" w:lineRule="exact"/>
        <w:rPr>
          <w:sz w:val="20"/>
          <w:szCs w:val="20"/>
          <w:color w:val="auto"/>
        </w:rPr>
      </w:pPr>
    </w:p>
    <w:p>
      <w:pPr>
        <w:ind w:left="540" w:hanging="424"/>
        <w:spacing w:after="0"/>
        <w:tabs>
          <w:tab w:leader="none" w:pos="540" w:val="left"/>
        </w:tabs>
        <w:numPr>
          <w:ilvl w:val="0"/>
          <w:numId w:val="2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level financial position</w:t>
      </w:r>
    </w:p>
    <w:p>
      <w:pPr>
        <w:spacing w:after="0" w:line="121" w:lineRule="exact"/>
        <w:rPr>
          <w:rFonts w:ascii="Times New Roman" w:cs="Times New Roman" w:eastAsia="Times New Roman" w:hAnsi="Times New Roman"/>
          <w:sz w:val="18"/>
          <w:szCs w:val="18"/>
          <w:b w:val="1"/>
          <w:bCs w:val="1"/>
          <w:color w:val="auto"/>
        </w:rPr>
      </w:pPr>
    </w:p>
    <w:p>
      <w:pPr>
        <w:ind w:left="5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parent company financial information of the Company has been prepared using the same accounting policies as set out in the accompanying consolidated financial statements. As of December 31, 2024, there were no material contingencies, significant provisions of long-term obligations, mandatory dividend or redemption requirements of preferred shares and other financial instruments subject to redemption and other preferential rights of the Company, except for those, which have been separately disclosed in the consolidated financial statements:</w:t>
      </w:r>
    </w:p>
    <w:p>
      <w:pPr>
        <w:spacing w:after="0" w:line="81" w:lineRule="exact"/>
        <w:rPr>
          <w:sz w:val="20"/>
          <w:szCs w:val="20"/>
          <w:color w:val="auto"/>
        </w:rPr>
      </w:pPr>
    </w:p>
    <w:p>
      <w:pPr>
        <w:ind w:left="540" w:hanging="424"/>
        <w:spacing w:after="0"/>
        <w:tabs>
          <w:tab w:leader="none" w:pos="540" w:val="left"/>
        </w:tabs>
        <w:numPr>
          <w:ilvl w:val="0"/>
          <w:numId w:val="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Condensed Statements of Profit or Loss</w:t>
      </w:r>
    </w:p>
    <w:p>
      <w:pPr>
        <w:spacing w:after="0" w:line="25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302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220" w:type="dxa"/>
            <w:vAlign w:val="bottom"/>
          </w:tcPr>
          <w:p>
            <w:pPr>
              <w:spacing w:after="0"/>
              <w:rPr>
                <w:sz w:val="10"/>
                <w:szCs w:val="10"/>
                <w:color w:val="auto"/>
              </w:rPr>
            </w:pPr>
          </w:p>
        </w:tc>
        <w:tc>
          <w:tcPr>
            <w:tcW w:w="820" w:type="dxa"/>
            <w:vAlign w:val="bottom"/>
            <w:tcBorders>
              <w:top w:val="single" w:sz="8" w:color="auto"/>
            </w:tcBorders>
          </w:tcPr>
          <w:p>
            <w:pPr>
              <w:jc w:val="right"/>
              <w:ind w:right="194"/>
              <w:spacing w:after="0" w:line="119" w:lineRule="exact"/>
              <w:rPr>
                <w:sz w:val="20"/>
                <w:szCs w:val="20"/>
                <w:color w:val="auto"/>
              </w:rPr>
            </w:pPr>
            <w:r>
              <w:rPr>
                <w:rFonts w:ascii="Times New Roman" w:cs="Times New Roman" w:eastAsia="Times New Roman" w:hAnsi="Times New Roman"/>
                <w:sz w:val="13"/>
                <w:szCs w:val="13"/>
                <w:i w:val="1"/>
                <w:iCs w:val="1"/>
                <w:color w:val="auto"/>
              </w:rPr>
              <w:t>2022</w:t>
            </w:r>
          </w:p>
        </w:tc>
        <w:tc>
          <w:tcPr>
            <w:tcW w:w="2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193"/>
              <w:spacing w:after="0" w:line="119" w:lineRule="exact"/>
              <w:rPr>
                <w:sz w:val="20"/>
                <w:szCs w:val="20"/>
                <w:color w:val="auto"/>
              </w:rPr>
            </w:pPr>
            <w:r>
              <w:rPr>
                <w:rFonts w:ascii="Times New Roman" w:cs="Times New Roman" w:eastAsia="Times New Roman" w:hAnsi="Times New Roman"/>
                <w:sz w:val="13"/>
                <w:szCs w:val="13"/>
                <w:i w:val="1"/>
                <w:iCs w:val="1"/>
                <w:color w:val="auto"/>
              </w:rPr>
              <w:t>2023</w:t>
            </w:r>
          </w:p>
        </w:tc>
        <w:tc>
          <w:tcPr>
            <w:tcW w:w="2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193"/>
              <w:spacing w:after="0" w:line="119" w:lineRule="exact"/>
              <w:rPr>
                <w:sz w:val="20"/>
                <w:szCs w:val="20"/>
                <w:color w:val="auto"/>
              </w:rPr>
            </w:pPr>
            <w:r>
              <w:rPr>
                <w:rFonts w:ascii="Times New Roman" w:cs="Times New Roman" w:eastAsia="Times New Roman" w:hAnsi="Times New Roman"/>
                <w:sz w:val="13"/>
                <w:szCs w:val="13"/>
                <w:i w:val="1"/>
                <w:iCs w:val="1"/>
                <w:color w:val="auto"/>
              </w:rPr>
              <w:t>2024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RMB’000</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RMB’000</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 income</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6,353</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(16,440)</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(11,095)</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(16,440)</w:t>
            </w:r>
          </w:p>
        </w:tc>
        <w:tc>
          <w:tcPr>
            <w:tcW w:w="2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(4,742)</w:t>
            </w:r>
          </w:p>
        </w:tc>
        <w:tc>
          <w:tcPr>
            <w:tcW w:w="2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(24,277)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Inducement charges of warrants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(125,213)</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changes of financial liabilities measured at FVTPL</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25,308</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(4,549)</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changes of financial assets measured at FVTPL</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(84,579)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Changes in the carrying amounts of preferred shares and other financial instruments</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subject to redemption and other preferential rights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(479,210)</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(554,048)</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(465,254)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Share of loss from subsidiaries and former VIE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(702,941)</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(1,385,762)</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(1,959,421)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taxation</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(1,298,496)</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(1,949,101)</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(2,515,204)</w:t>
            </w:r>
          </w:p>
        </w:tc>
        <w:tc>
          <w:tcPr>
            <w:tcW w:w="0" w:type="dxa"/>
            <w:vAlign w:val="bottom"/>
          </w:tcPr>
          <w:p>
            <w:pPr>
              <w:spacing w:after="0"/>
              <w:rPr>
                <w:sz w:val="1"/>
                <w:szCs w:val="1"/>
                <w:color w:val="auto"/>
              </w:rPr>
            </w:pPr>
          </w:p>
        </w:tc>
      </w:tr>
      <w:tr>
        <w:trPr>
          <w:trHeight w:val="230"/>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year</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(1,298,496)</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(1,949,101)</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(2,516,808)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vMerge w:val="restart"/>
          </w:tcPr>
          <w:p>
            <w:pPr>
              <w:ind w:left="4440"/>
              <w:spacing w:after="0"/>
              <w:rPr>
                <w:sz w:val="20"/>
                <w:szCs w:val="20"/>
                <w:color w:val="auto"/>
              </w:rPr>
            </w:pPr>
            <w:r>
              <w:rPr>
                <w:rFonts w:ascii="Times New Roman" w:cs="Times New Roman" w:eastAsia="Times New Roman" w:hAnsi="Times New Roman"/>
                <w:sz w:val="18"/>
                <w:szCs w:val="18"/>
                <w:color w:val="auto"/>
              </w:rPr>
              <w:t>F-80</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2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20" w:top="482" w:right="59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(b)</w:t>
        <w:tab/>
        <w:t>Condensed Statements of Financial Position</w:t>
      </w:r>
    </w:p>
    <w:p>
      <w:pPr>
        <w:spacing w:after="0" w:line="250"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520" w:type="dxa"/>
            <w:vAlign w:val="bottom"/>
          </w:tcPr>
          <w:p>
            <w:pPr>
              <w:spacing w:after="0"/>
              <w:rPr>
                <w:sz w:val="15"/>
                <w:szCs w:val="15"/>
                <w:color w:val="auto"/>
              </w:rPr>
            </w:pPr>
          </w:p>
        </w:tc>
        <w:tc>
          <w:tcPr>
            <w:tcW w:w="204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i w:val="1"/>
                <w:iCs w:val="1"/>
                <w:color w:val="auto"/>
              </w:rPr>
              <w:t>As of December 31,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520" w:type="dxa"/>
            <w:vAlign w:val="bottom"/>
          </w:tcPr>
          <w:p>
            <w:pPr>
              <w:spacing w:after="0"/>
              <w:rPr>
                <w:sz w:val="10"/>
                <w:szCs w:val="10"/>
                <w:color w:val="auto"/>
              </w:rPr>
            </w:pPr>
          </w:p>
        </w:tc>
        <w:tc>
          <w:tcPr>
            <w:tcW w:w="840" w:type="dxa"/>
            <w:vAlign w:val="bottom"/>
            <w:tcBorders>
              <w:top w:val="single" w:sz="8" w:color="auto"/>
            </w:tcBorders>
          </w:tcPr>
          <w:p>
            <w:pPr>
              <w:jc w:val="right"/>
              <w:ind w:right="192"/>
              <w:spacing w:after="0" w:line="119" w:lineRule="exact"/>
              <w:rPr>
                <w:sz w:val="20"/>
                <w:szCs w:val="20"/>
                <w:color w:val="auto"/>
              </w:rPr>
            </w:pPr>
            <w:r>
              <w:rPr>
                <w:rFonts w:ascii="Times New Roman" w:cs="Times New Roman" w:eastAsia="Times New Roman" w:hAnsi="Times New Roman"/>
                <w:sz w:val="13"/>
                <w:szCs w:val="13"/>
                <w:i w:val="1"/>
                <w:iCs w:val="1"/>
                <w:color w:val="auto"/>
              </w:rPr>
              <w:t>2023</w:t>
            </w: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212"/>
              <w:spacing w:after="0" w:line="119" w:lineRule="exact"/>
              <w:rPr>
                <w:sz w:val="20"/>
                <w:szCs w:val="20"/>
                <w:color w:val="auto"/>
              </w:rPr>
            </w:pPr>
            <w:r>
              <w:rPr>
                <w:rFonts w:ascii="Times New Roman" w:cs="Times New Roman" w:eastAsia="Times New Roman" w:hAnsi="Times New Roman"/>
                <w:sz w:val="13"/>
                <w:szCs w:val="13"/>
                <w:i w:val="1"/>
                <w:iCs w:val="1"/>
                <w:color w:val="auto"/>
              </w:rPr>
              <w:t>2024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RMB’000</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Amounts due from subsidiaries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4,332,839</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6,946,299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 at FVTPL – non-current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56,919</w:t>
            </w:r>
          </w:p>
        </w:tc>
        <w:tc>
          <w:tcPr>
            <w:tcW w:w="0" w:type="dxa"/>
            <w:vAlign w:val="bottom"/>
          </w:tcPr>
          <w:p>
            <w:pPr>
              <w:spacing w:after="0"/>
              <w:rPr>
                <w:sz w:val="1"/>
                <w:szCs w:val="1"/>
                <w:color w:val="auto"/>
              </w:rPr>
            </w:pPr>
          </w:p>
        </w:tc>
      </w:tr>
      <w:tr>
        <w:trPr>
          <w:trHeight w:val="23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4,332,839</w:t>
            </w:r>
          </w:p>
        </w:tc>
        <w:tc>
          <w:tcPr>
            <w:tcW w:w="2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7,003,218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receivables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689</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receivables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43,924</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770,140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602,407</w:t>
            </w:r>
          </w:p>
        </w:tc>
        <w:tc>
          <w:tcPr>
            <w:tcW w:w="0" w:type="dxa"/>
            <w:vAlign w:val="bottom"/>
          </w:tcPr>
          <w:p>
            <w:pPr>
              <w:spacing w:after="0"/>
              <w:rPr>
                <w:sz w:val="1"/>
                <w:szCs w:val="1"/>
                <w:color w:val="auto"/>
              </w:rPr>
            </w:pPr>
          </w:p>
        </w:tc>
      </w:tr>
      <w:tr>
        <w:trPr>
          <w:trHeight w:val="223"/>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814,753</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678,520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5,147,592</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7,681,738</w:t>
            </w: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4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Class A ordinary shares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ordinary shares</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Series Seed-1 Convertible Preferred Shares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Seed-2 Convertible Preferred Shares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Series A Convertible Preferred Shares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1,104,120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12,750,598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Reserves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2,110,151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2,946,715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losses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(6,114,544)</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(8,631,352)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(151,668)</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(deficit)/equity</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(3,051,918)</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7,066,019</w:t>
            </w:r>
          </w:p>
        </w:tc>
        <w:tc>
          <w:tcPr>
            <w:tcW w:w="0" w:type="dxa"/>
            <w:vAlign w:val="bottom"/>
          </w:tcPr>
          <w:p>
            <w:pPr>
              <w:spacing w:after="0"/>
              <w:rPr>
                <w:sz w:val="1"/>
                <w:szCs w:val="1"/>
                <w:color w:val="auto"/>
              </w:rPr>
            </w:pPr>
          </w:p>
        </w:tc>
      </w:tr>
      <w:tr>
        <w:trPr>
          <w:trHeight w:val="223"/>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 deposits received and accrued expenses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17,788</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615,719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shares and other financial instruments subject to redemption and other preferential rights*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8,181,722</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8,199,510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615,719</w:t>
            </w:r>
          </w:p>
        </w:tc>
        <w:tc>
          <w:tcPr>
            <w:tcW w:w="0" w:type="dxa"/>
            <w:vAlign w:val="bottom"/>
          </w:tcPr>
          <w:p>
            <w:pPr>
              <w:spacing w:after="0"/>
              <w:rPr>
                <w:sz w:val="1"/>
                <w:szCs w:val="1"/>
                <w:color w:val="auto"/>
              </w:rPr>
            </w:pPr>
          </w:p>
        </w:tc>
      </w:tr>
      <w:tr>
        <w:trPr>
          <w:trHeight w:val="223"/>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8,199,510</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615,719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5,147,592</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7,681,738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vMerge w:val="restart"/>
          </w:tcPr>
          <w:p>
            <w:pPr>
              <w:ind w:left="4880"/>
              <w:spacing w:after="0"/>
              <w:rPr>
                <w:sz w:val="20"/>
                <w:szCs w:val="20"/>
                <w:color w:val="auto"/>
              </w:rPr>
            </w:pPr>
            <w:r>
              <w:rPr>
                <w:rFonts w:ascii="Times New Roman" w:cs="Times New Roman" w:eastAsia="Times New Roman" w:hAnsi="Times New Roman"/>
                <w:sz w:val="18"/>
                <w:szCs w:val="18"/>
                <w:color w:val="auto"/>
              </w:rPr>
              <w:t>F-81</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5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(c)</w:t>
        <w:tab/>
        <w:t>Condensed Statements of Cash Flow</w:t>
      </w:r>
    </w:p>
    <w:p>
      <w:pPr>
        <w:spacing w:after="0" w:line="250"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480" w:type="dxa"/>
            <w:vAlign w:val="bottom"/>
          </w:tcPr>
          <w:p>
            <w:pPr>
              <w:spacing w:after="0"/>
              <w:rPr>
                <w:sz w:val="15"/>
                <w:szCs w:val="15"/>
                <w:color w:val="auto"/>
              </w:rPr>
            </w:pPr>
          </w:p>
        </w:tc>
        <w:tc>
          <w:tcPr>
            <w:tcW w:w="308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840" w:type="dxa"/>
            <w:vAlign w:val="bottom"/>
            <w:tcBorders>
              <w:top w:val="single" w:sz="8" w:color="auto"/>
            </w:tcBorders>
          </w:tcPr>
          <w:p>
            <w:pPr>
              <w:jc w:val="right"/>
              <w:ind w:right="196"/>
              <w:spacing w:after="0" w:line="119" w:lineRule="exact"/>
              <w:rPr>
                <w:sz w:val="20"/>
                <w:szCs w:val="20"/>
                <w:color w:val="auto"/>
              </w:rPr>
            </w:pPr>
            <w:r>
              <w:rPr>
                <w:rFonts w:ascii="Times New Roman" w:cs="Times New Roman" w:eastAsia="Times New Roman" w:hAnsi="Times New Roman"/>
                <w:sz w:val="13"/>
                <w:szCs w:val="13"/>
                <w:i w:val="1"/>
                <w:iCs w:val="1"/>
                <w:color w:val="auto"/>
              </w:rPr>
              <w:t>2022</w:t>
            </w:r>
          </w:p>
        </w:tc>
        <w:tc>
          <w:tcPr>
            <w:tcW w:w="2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195"/>
              <w:spacing w:after="0" w:line="119" w:lineRule="exact"/>
              <w:rPr>
                <w:sz w:val="20"/>
                <w:szCs w:val="20"/>
                <w:color w:val="auto"/>
              </w:rPr>
            </w:pPr>
            <w:r>
              <w:rPr>
                <w:rFonts w:ascii="Times New Roman" w:cs="Times New Roman" w:eastAsia="Times New Roman" w:hAnsi="Times New Roman"/>
                <w:sz w:val="13"/>
                <w:szCs w:val="13"/>
                <w:i w:val="1"/>
                <w:iCs w:val="1"/>
                <w:color w:val="auto"/>
              </w:rPr>
              <w:t>2023</w:t>
            </w:r>
          </w:p>
        </w:tc>
        <w:tc>
          <w:tcPr>
            <w:tcW w:w="2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215"/>
              <w:spacing w:after="0" w:line="119" w:lineRule="exact"/>
              <w:rPr>
                <w:sz w:val="20"/>
                <w:szCs w:val="20"/>
                <w:color w:val="auto"/>
              </w:rPr>
            </w:pPr>
            <w:r>
              <w:rPr>
                <w:rFonts w:ascii="Times New Roman" w:cs="Times New Roman" w:eastAsia="Times New Roman" w:hAnsi="Times New Roman"/>
                <w:sz w:val="13"/>
                <w:szCs w:val="13"/>
                <w:i w:val="1"/>
                <w:iCs w:val="1"/>
                <w:color w:val="auto"/>
              </w:rPr>
              <w:t>2024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RMB’000</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RMB’000</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(10,848)</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(7,659)</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(2,634,633)</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(1,663,084)</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(3,459,830)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 financing activities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2,782,671</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1,095,129</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3,314,536</w:t>
            </w: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increase/(decrease) in cash</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137,190</w:t>
            </w:r>
          </w:p>
        </w:tc>
        <w:tc>
          <w:tcPr>
            <w:tcW w:w="2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(575,614)</w:t>
            </w:r>
          </w:p>
        </w:tc>
        <w:tc>
          <w:tcPr>
            <w:tcW w:w="2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(177,505)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as of January 1</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1,084,196</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1,326,502</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770,140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105,116</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19,252</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as of December 31</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1,326,502</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770,140</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602,407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2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Possible impact of amendments, new standards and interpretations issued but not yet effective for the year ended December 31, 2024</w:t>
      </w:r>
    </w:p>
    <w:p>
      <w:pPr>
        <w:spacing w:after="0" w:line="121" w:lineRule="exact"/>
        <w:rPr>
          <w:rFonts w:ascii="Times New Roman" w:cs="Times New Roman" w:eastAsia="Times New Roman" w:hAnsi="Times New Roman"/>
          <w:sz w:val="18"/>
          <w:szCs w:val="18"/>
          <w:b w:val="1"/>
          <w:bCs w:val="1"/>
          <w:color w:val="auto"/>
        </w:rPr>
      </w:pPr>
    </w:p>
    <w:p>
      <w:pPr>
        <w:ind w:left="560" w:right="2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 to the date of issue of these consolidated financial statements, the IASB has issued a number of amendments, which are not yet effective for the year ended December 31, 2024 and have not been adopted in these consolidated financial statements. These developments include the following which may be relevant to the Group.</w:t>
      </w:r>
    </w:p>
    <w:p>
      <w:pPr>
        <w:spacing w:after="0" w:line="198" w:lineRule="exact"/>
        <w:rPr>
          <w:sz w:val="20"/>
          <w:szCs w:val="20"/>
          <w:color w:val="auto"/>
        </w:rPr>
      </w:pPr>
    </w:p>
    <w:tbl>
      <w:tblPr>
        <w:tblLayout w:type="fixed"/>
        <w:tblInd w:w="560" w:type="dxa"/>
        <w:tblCellMar>
          <w:top w:w="0" w:type="dxa"/>
          <w:left w:w="0" w:type="dxa"/>
          <w:bottom w:w="0" w:type="dxa"/>
          <w:right w:w="0" w:type="dxa"/>
        </w:tblCellMar>
      </w:tblPr>
      <w:tr>
        <w:trPr>
          <w:trHeight w:val="185"/>
        </w:trPr>
        <w:tc>
          <w:tcPr>
            <w:tcW w:w="5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Amendments to IAS 21, Lack of exchangeability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Effective for accounting period beginning on or after</w:t>
            </w:r>
          </w:p>
        </w:tc>
        <w:tc>
          <w:tcPr>
            <w:tcW w:w="0" w:type="dxa"/>
            <w:vAlign w:val="bottom"/>
          </w:tcPr>
          <w:p>
            <w:pPr>
              <w:spacing w:after="0"/>
              <w:rPr>
                <w:sz w:val="1"/>
                <w:szCs w:val="1"/>
                <w:color w:val="auto"/>
              </w:rPr>
            </w:pPr>
          </w:p>
        </w:tc>
      </w:tr>
      <w:tr>
        <w:trPr>
          <w:trHeight w:val="191"/>
        </w:trPr>
        <w:tc>
          <w:tcPr>
            <w:tcW w:w="5500" w:type="dxa"/>
            <w:vAlign w:val="bottom"/>
            <w:vMerge w:val="continue"/>
          </w:tcPr>
          <w:p>
            <w:pPr>
              <w:spacing w:after="0"/>
              <w:rPr>
                <w:sz w:val="16"/>
                <w:szCs w:val="16"/>
                <w:color w:val="auto"/>
              </w:rPr>
            </w:pPr>
          </w:p>
        </w:tc>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January 1, 2025</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IFRS 9 and IFRS 7, Contracts Referencing Nature-</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dependent Electricity</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January 1, 2026</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IFRS 9 and IFRS 7: Amendments to the Classification</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Measurement of Financial Instruments</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January 1, 2026</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Annual improvements to IFRS Accounting Standards — Volume 11</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January 1, 2026</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IFRS 18, Presentation and Disclosure in Financial Statements</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January 1, 2027</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IFRS 19, Subsidiaries without Public Accountability: Disclosures</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January 1, 2027</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IFRS 10 and IAS 28, Sale or contribution of assets</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between an investor and its associate or joint venture</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 be determined at a future date</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60" w:right="400"/>
        <w:spacing w:after="0" w:line="312" w:lineRule="auto"/>
        <w:rPr>
          <w:sz w:val="20"/>
          <w:szCs w:val="20"/>
          <w:color w:val="auto"/>
        </w:rPr>
      </w:pPr>
      <w:r>
        <w:rPr>
          <w:rFonts w:ascii="Times New Roman" w:cs="Times New Roman" w:eastAsia="Times New Roman" w:hAnsi="Times New Roman"/>
          <w:sz w:val="17"/>
          <w:szCs w:val="17"/>
          <w:color w:val="auto"/>
        </w:rPr>
        <w:t>The Group is in the process of making an assessment of what the impact of these developments is expected to be in the period of initial application. So far it has concluded that the adoption of them is unlikely to have a significant impact on the consolidated financial statements.</w:t>
      </w:r>
    </w:p>
    <w:p>
      <w:pPr>
        <w:spacing w:after="0" w:line="284" w:lineRule="exact"/>
        <w:rPr>
          <w:sz w:val="20"/>
          <w:szCs w:val="20"/>
          <w:color w:val="auto"/>
        </w:rPr>
      </w:pPr>
    </w:p>
    <w:p>
      <w:pPr>
        <w:ind w:left="540" w:hanging="424"/>
        <w:spacing w:after="0"/>
        <w:tabs>
          <w:tab w:leader="none" w:pos="540" w:val="left"/>
        </w:tabs>
        <w:numPr>
          <w:ilvl w:val="0"/>
          <w:numId w:val="2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rFonts w:ascii="Times New Roman" w:cs="Times New Roman" w:eastAsia="Times New Roman" w:hAnsi="Times New Roman"/>
          <w:sz w:val="18"/>
          <w:szCs w:val="18"/>
          <w:b w:val="1"/>
          <w:bCs w:val="1"/>
          <w:color w:val="auto"/>
        </w:rPr>
      </w:pPr>
    </w:p>
    <w:p>
      <w:pPr>
        <w:ind w:left="560" w:right="3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Management has considered subsequent events through March 25, 2025, and there are no significant events subsequent to December 31, 2024 which would materially affect the Group’s operation results and financial position.</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F-82</w:t>
      </w:r>
    </w:p>
    <w:p>
      <w:pPr>
        <w:sectPr>
          <w:pgSz w:w="11900" w:h="16838" w:orient="portrait"/>
          <w:cols w:equalWidth="0" w:num="1">
            <w:col w:w="11140"/>
          </w:cols>
          <w:pgMar w:left="320" w:top="482" w:right="439" w:bottom="1440" w:gutter="0" w:footer="0" w:header="0"/>
        </w:sectPr>
      </w:pPr>
    </w:p>
    <w:bookmarkStart w:id="248" w:name="page249"/>
    <w:bookmarkEnd w:id="248"/>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242570</wp:posOffset>
            </wp:positionV>
            <wp:extent cx="147447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251460</wp:posOffset>
            </wp:positionV>
            <wp:extent cx="147447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by and among</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WERIDE INC.</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Issuer,</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DEUTSCHE BANK TRUST COMPANY AMERICAS</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Depositary,</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left="1980" w:right="3000"/>
        <w:spacing w:after="0" w:line="291" w:lineRule="auto"/>
        <w:rPr>
          <w:sz w:val="20"/>
          <w:szCs w:val="20"/>
          <w:color w:val="auto"/>
        </w:rPr>
      </w:pPr>
      <w:r>
        <w:rPr>
          <w:rFonts w:ascii="Times New Roman" w:cs="Times New Roman" w:eastAsia="Times New Roman" w:hAnsi="Times New Roman"/>
          <w:sz w:val="17"/>
          <w:szCs w:val="17"/>
          <w:b w:val="1"/>
          <w:bCs w:val="1"/>
          <w:color w:val="auto"/>
        </w:rPr>
        <w:t>THE HOLDERS AND BENEFICIAL OWNERS OF AMERICAN DEPOSITARY SHARES EVIDENCED BY AMERICAN DEPOSITARY RECEIPTS ISSUED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196850</wp:posOffset>
            </wp:positionV>
            <wp:extent cx="147447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Dated as of October 24,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242570</wp:posOffset>
            </wp:positionV>
            <wp:extent cx="147447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249" w:name="page250"/>
    <w:bookmarkEnd w:id="249"/>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DEPOSIT AGREEMENT</w:t>
      </w:r>
    </w:p>
    <w:p>
      <w:pPr>
        <w:spacing w:after="0" w:line="225" w:lineRule="exact"/>
        <w:rPr>
          <w:sz w:val="20"/>
          <w:szCs w:val="20"/>
          <w:color w:val="auto"/>
        </w:rPr>
      </w:pPr>
    </w:p>
    <w:p>
      <w:pPr>
        <w:ind w:left="4" w:right="200"/>
        <w:spacing w:after="0" w:line="272" w:lineRule="auto"/>
        <w:rPr>
          <w:sz w:val="20"/>
          <w:szCs w:val="20"/>
          <w:color w:val="auto"/>
        </w:rPr>
      </w:pPr>
      <w:r>
        <w:rPr>
          <w:rFonts w:ascii="Times New Roman" w:cs="Times New Roman" w:eastAsia="Times New Roman" w:hAnsi="Times New Roman"/>
          <w:sz w:val="17"/>
          <w:szCs w:val="17"/>
          <w:b w:val="1"/>
          <w:bCs w:val="1"/>
          <w:color w:val="auto"/>
        </w:rPr>
        <w:t>DEPOSIT AGREEMENT</w:t>
      </w:r>
      <w:r>
        <w:rPr>
          <w:rFonts w:ascii="Times New Roman" w:cs="Times New Roman" w:eastAsia="Times New Roman" w:hAnsi="Times New Roman"/>
          <w:sz w:val="17"/>
          <w:szCs w:val="17"/>
          <w:color w:val="auto"/>
        </w:rPr>
        <w:t>, dated as of October 24, 2024, by and among (i) WeRide Inc., a company incorporated in the Cayman Islands, with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principal executive office at 1st Floor, Tower A, Guanzhou Life Science Innovation Center, No. 51, Luoxuan Road, Guangzhou International Biotech Island, Guangzhou, People’s Republic of China and its registered office at Offices of International Corporation Services Ltd., P.O. Box 472, Harbour Place, 2nd Floor, 103 South Church Street, George Town, Grand Cayman KY1-1106, Cayman Islands (together with its successors,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w:t>
      </w:r>
    </w:p>
    <w:p>
      <w:pPr>
        <w:ind w:left="4" w:right="120" w:hanging="4"/>
        <w:spacing w:after="0" w:line="253" w:lineRule="auto"/>
        <w:tabs>
          <w:tab w:leader="none" w:pos="269"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Deutsche Bank Trust Company Americas, an indirect wholly owned subsidiary of Deutsche Bank A.G., acting in its capacity as depositary, with its principal office at 1 Columbus Circle, New York, NY 10019, United States of America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which term shall include any successor depositary hereunder) and (iii) all Holders and Beneficial Owners of American Depositary Shares evidenced by American Depositary Receipts issued hereunder (all such capitalized terms as hereinafter defined).</w:t>
      </w:r>
    </w:p>
    <w:p>
      <w:pPr>
        <w:spacing w:after="0" w:line="200" w:lineRule="exact"/>
        <w:rPr>
          <w:sz w:val="20"/>
          <w:szCs w:val="20"/>
          <w:color w:val="auto"/>
        </w:rPr>
      </w:pPr>
    </w:p>
    <w:p>
      <w:pPr>
        <w:spacing w:after="0" w:line="20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W I T N E S S E T H T H A T:</w:t>
      </w:r>
    </w:p>
    <w:p>
      <w:pPr>
        <w:spacing w:after="0" w:line="225" w:lineRule="exact"/>
        <w:rPr>
          <w:sz w:val="20"/>
          <w:szCs w:val="20"/>
          <w:color w:val="auto"/>
        </w:rPr>
      </w:pPr>
    </w:p>
    <w:p>
      <w:pPr>
        <w:ind w:left="4" w:right="72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establish an ADR facility with the Depositary to provide for the deposit of the Shares and the creation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American Depositary Shares representing the Shares so deposited;</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Depositary is willing to act as the depositary for such ADR facility upon the terms set forth in this Deposit Agreement;</w:t>
      </w:r>
    </w:p>
    <w:p>
      <w:pPr>
        <w:spacing w:after="0" w:line="225" w:lineRule="exact"/>
        <w:rPr>
          <w:sz w:val="20"/>
          <w:szCs w:val="20"/>
          <w:color w:val="auto"/>
        </w:rPr>
      </w:pPr>
    </w:p>
    <w:p>
      <w:pPr>
        <w:ind w:left="4" w:right="2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American Depositary Receipts evidencing the American Depositary Shares issued pursuant to the terms of this Deposit Agreement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annexed hereto, with appropriate insertions, modifications and omissions, as hereinafter provided in this Deposit Agreement;</w:t>
      </w:r>
    </w:p>
    <w:p>
      <w:pPr>
        <w:spacing w:after="0" w:line="171" w:lineRule="exact"/>
        <w:rPr>
          <w:sz w:val="20"/>
          <w:szCs w:val="20"/>
          <w:color w:val="auto"/>
        </w:rPr>
      </w:pPr>
    </w:p>
    <w:p>
      <w:pPr>
        <w:ind w:left="4" w:right="16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American Depositary Shares to be issued pursuant to the terms of this Deposit Agreement are accepted for trading on the NASDAQ;</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p>
    <w:p>
      <w:pPr>
        <w:spacing w:after="0" w:line="155" w:lineRule="exact"/>
        <w:rPr>
          <w:sz w:val="20"/>
          <w:szCs w:val="20"/>
          <w:color w:val="auto"/>
        </w:rPr>
      </w:pPr>
    </w:p>
    <w:p>
      <w:pPr>
        <w:ind w:left="4"/>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(or an authorized committee thereof) has duly approved the establishment of an ADR facility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terms set forth in this Deposit Agreement, the execution and delivery of this Deposit Agreement on behalf of the Company, and the actions of the Company and the transactions contemplated herein.</w:t>
      </w:r>
    </w:p>
    <w:p>
      <w:pPr>
        <w:spacing w:after="0" w:line="171" w:lineRule="exact"/>
        <w:rPr>
          <w:sz w:val="20"/>
          <w:szCs w:val="20"/>
          <w:color w:val="auto"/>
        </w:rPr>
      </w:pPr>
    </w:p>
    <w:p>
      <w:pPr>
        <w:ind w:left="4" w:right="1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good and valuable consideration, the receipt and sufficiency of which are hereby acknowledged, the parties hereto agree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follows:</w:t>
      </w:r>
    </w:p>
    <w:p>
      <w:pPr>
        <w:spacing w:after="0" w:line="37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1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All capitalized terms used, but not otherwise defined, herein shall have the meanings set forth below, unless otherwise clearly indicated:</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SECTION 1.1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have the meaning assigned to such term by the Commission under Regulation C promulgated under the Securities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Act.</w:t>
      </w:r>
    </w:p>
    <w:p>
      <w:pPr>
        <w:spacing w:after="0" w:line="207"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SECTION 1.2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shall mean such entity or entities as the Depositary may appoint under Section 7.8 hereof, including the Custodian or any successor or addition thereto.</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84"/>
          </w:cols>
          <w:pgMar w:left="436" w:top="266" w:right="479" w:bottom="1440" w:gutter="0" w:footer="0" w:header="0"/>
        </w:sectPr>
      </w:pPr>
    </w:p>
    <w:bookmarkStart w:id="250" w:name="page251"/>
    <w:bookmarkEnd w:id="250"/>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1.3 “</w:t>
      </w:r>
      <w:r>
        <w:rPr>
          <w:rFonts w:ascii="Times New Roman" w:cs="Times New Roman" w:eastAsia="Times New Roman" w:hAnsi="Times New Roman"/>
          <w:sz w:val="18"/>
          <w:szCs w:val="18"/>
          <w:u w:val="single" w:color="auto"/>
          <w:color w:val="auto"/>
        </w:rPr>
        <w:t>American Depositary Share(s)</w:t>
      </w:r>
      <w:r>
        <w:rPr>
          <w:rFonts w:ascii="Times New Roman" w:cs="Times New Roman" w:eastAsia="Times New Roman" w:hAnsi="Times New Roman"/>
          <w:sz w:val="18"/>
          <w:szCs w:val="18"/>
          <w:color w:val="auto"/>
        </w:rPr>
        <w:t>” and “ADS(s)” shall mean the securities represented by the rights and interests in the Deposited Securities granted to the Holders and Beneficial Owners pursuant to this Deposit Agreement and evidenced by the American Depositary Receipts issued hereunder. Each American Depositary Share shall represent the right to receive 3 Shares, until there shall occur a distribution upon Deposited Securities referred to in Section 4.2 hereof or a change in Deposited Securities referred to in Section 4.9 hereof with respect to which additional American Depositary Receipts are not executed and delivered and thereafter each American Depositary Share shall represent the Shares or Deposited Securities specified in such Sections.</w:t>
      </w:r>
    </w:p>
    <w:p>
      <w:pPr>
        <w:spacing w:after="0" w:line="187"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SECTION 1.4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shall refer to an article of the American Depositary Receipts as set forth in the Form of Face of Receipt and Form of Reverse of Receipt in Exhibit A and Exhibit B annexed hereto.</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1.5 “</w:t>
      </w:r>
      <w:r>
        <w:rPr>
          <w:rFonts w:ascii="Times New Roman" w:cs="Times New Roman" w:eastAsia="Times New Roman" w:hAnsi="Times New Roman"/>
          <w:sz w:val="18"/>
          <w:szCs w:val="18"/>
          <w:u w:val="single" w:color="auto"/>
          <w:color w:val="auto"/>
        </w:rPr>
        <w:t>Articles of Association</w:t>
      </w:r>
      <w:r>
        <w:rPr>
          <w:rFonts w:ascii="Times New Roman" w:cs="Times New Roman" w:eastAsia="Times New Roman" w:hAnsi="Times New Roman"/>
          <w:sz w:val="18"/>
          <w:szCs w:val="18"/>
          <w:color w:val="auto"/>
        </w:rPr>
        <w:t>” shall mean the articles of association of the Company, as amended from time to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1.6 “</w:t>
      </w:r>
      <w:r>
        <w:rPr>
          <w:rFonts w:ascii="Times New Roman" w:cs="Times New Roman" w:eastAsia="Times New Roman" w:hAnsi="Times New Roman"/>
          <w:sz w:val="18"/>
          <w:szCs w:val="18"/>
          <w:u w:val="single" w:color="auto"/>
          <w:color w:val="auto"/>
        </w:rPr>
        <w:t>ADS Record Date</w:t>
      </w:r>
      <w:r>
        <w:rPr>
          <w:rFonts w:ascii="Times New Roman" w:cs="Times New Roman" w:eastAsia="Times New Roman" w:hAnsi="Times New Roman"/>
          <w:sz w:val="18"/>
          <w:szCs w:val="18"/>
          <w:color w:val="auto"/>
        </w:rPr>
        <w:t>” shall have the meaning given to such term in Section 4.7 hereof.</w:t>
      </w:r>
    </w:p>
    <w:p>
      <w:pPr>
        <w:spacing w:after="0" w:line="225"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SECTION 1.7 “</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shall mean as to any ADS, any person or entity having a beneficial interest in such ADS. A Beneficial Owner need not be the Holder of the ADR evidencing such ADSs. A Beneficial Owner may exercise any rights or receive any benefits hereunder solely through the Holder of the ADR(s) evidencing the ADSs in which such Beneficial Owner has an interest.</w:t>
      </w:r>
    </w:p>
    <w:p>
      <w:pPr>
        <w:spacing w:after="0" w:line="176"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SECTION 1.8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each Monday, Tuesday, Wednesday, Thursday and Friday which is not (a) a day on which banking institutions in the Borough of Manhattan, The City of New York are authorized or obligated by law or executive order to close and (b) a day on which the market(s) in which ADSs are traded are closed.</w:t>
      </w:r>
    </w:p>
    <w:p>
      <w:pPr>
        <w:spacing w:after="0" w:line="17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SECTION 1.9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shall mean the Securities and Exchange Commission of the United States or any successor governmental agency in the United States.</w:t>
      </w:r>
    </w:p>
    <w:p>
      <w:pPr>
        <w:spacing w:after="0" w:line="162"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t>SECTION 1.10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mean WeRide Inc., a company incorporated and existing under the laws of the Cayman Islands, and its successors.</w:t>
      </w:r>
    </w:p>
    <w:p>
      <w:pPr>
        <w:spacing w:after="0" w:line="162" w:lineRule="exact"/>
        <w:rPr>
          <w:sz w:val="20"/>
          <w:szCs w:val="20"/>
          <w:color w:val="auto"/>
        </w:rPr>
      </w:pPr>
    </w:p>
    <w:p>
      <w:pPr>
        <w:ind w:right="420" w:firstLine="440"/>
        <w:spacing w:after="0" w:line="266" w:lineRule="auto"/>
        <w:rPr>
          <w:sz w:val="20"/>
          <w:szCs w:val="20"/>
          <w:color w:val="auto"/>
        </w:rPr>
      </w:pPr>
      <w:r>
        <w:rPr>
          <w:rFonts w:ascii="Times New Roman" w:cs="Times New Roman" w:eastAsia="Times New Roman" w:hAnsi="Times New Roman"/>
          <w:sz w:val="18"/>
          <w:szCs w:val="18"/>
          <w:color w:val="auto"/>
        </w:rPr>
        <w:t>SECTION 1.11 “</w:t>
      </w:r>
      <w:r>
        <w:rPr>
          <w:rFonts w:ascii="Times New Roman" w:cs="Times New Roman" w:eastAsia="Times New Roman" w:hAnsi="Times New Roman"/>
          <w:sz w:val="18"/>
          <w:szCs w:val="18"/>
          <w:u w:val="single" w:color="auto"/>
          <w:color w:val="auto"/>
        </w:rPr>
        <w:t>Corporate Trust Office</w:t>
      </w:r>
      <w:r>
        <w:rPr>
          <w:rFonts w:ascii="Times New Roman" w:cs="Times New Roman" w:eastAsia="Times New Roman" w:hAnsi="Times New Roman"/>
          <w:sz w:val="18"/>
          <w:szCs w:val="18"/>
          <w:color w:val="auto"/>
        </w:rPr>
        <w:t>” when used with respect to the Depositary, shall mean the corporate trust office of the Depositary at which at any particular time its depositary receipts business shall be administered, which, at the date of this Deposit Agreement, is located at 1 Columbus Circle, New York, NY 10019, U.S.A.</w:t>
      </w:r>
    </w:p>
    <w:p>
      <w:pPr>
        <w:spacing w:after="0" w:line="176"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SECTION 1.12 “</w:t>
      </w:r>
      <w:r>
        <w:rPr>
          <w:rFonts w:ascii="Times New Roman" w:cs="Times New Roman" w:eastAsia="Times New Roman" w:hAnsi="Times New Roman"/>
          <w:sz w:val="18"/>
          <w:szCs w:val="18"/>
          <w:u w:val="single" w:color="auto"/>
          <w:color w:val="auto"/>
        </w:rPr>
        <w:t>Custodian</w:t>
      </w:r>
      <w:r>
        <w:rPr>
          <w:rFonts w:ascii="Times New Roman" w:cs="Times New Roman" w:eastAsia="Times New Roman" w:hAnsi="Times New Roman"/>
          <w:sz w:val="18"/>
          <w:szCs w:val="18"/>
          <w:color w:val="auto"/>
        </w:rPr>
        <w:t>” shall mean, as of the date hereof, Deutsche Bank AG, Hong Kong Branch, having its principal office at 58/F International Commerce Centre, 1 Austin Road West, Kowloon, Hong Kong S.A.R., People’s Republic of China, as the custodian for the purposes of this Deposit Agreement, and any other firm or corporation which may hereinafter be appointed by the Depositary pursuant to the terms of Section 5.5 hereof as a successor or an additional custodian or custodians hereunder, as the context shall require. The term “Custodian” shall mean all custodians, collectively.</w:t>
      </w:r>
    </w:p>
    <w:p>
      <w:pPr>
        <w:spacing w:after="0" w:line="183"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SECTION 1.13 “</w:t>
      </w:r>
      <w:r>
        <w:rPr>
          <w:rFonts w:ascii="Times New Roman" w:cs="Times New Roman" w:eastAsia="Times New Roman" w:hAnsi="Times New Roman"/>
          <w:sz w:val="18"/>
          <w:szCs w:val="18"/>
          <w:u w:val="single" w:color="auto"/>
          <w:color w:val="auto"/>
        </w:rPr>
        <w:t>Deliver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Deliverable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Delivery</w:t>
      </w:r>
      <w:r>
        <w:rPr>
          <w:rFonts w:ascii="Times New Roman" w:cs="Times New Roman" w:eastAsia="Times New Roman" w:hAnsi="Times New Roman"/>
          <w:sz w:val="18"/>
          <w:szCs w:val="18"/>
          <w:color w:val="auto"/>
        </w:rPr>
        <w:t>” shall mean, when used in respect of American Depositary Shares, Receipts, Deposited Securities and Shares, the physical delivery of the certificate representing such security, or the electronic delivery of such security by means of book-entry transfer, as appropriate, including, without limitation, through DRS/Profile. With respect to DRS/Profile ADRs, the terms “</w:t>
      </w:r>
      <w:r>
        <w:rPr>
          <w:rFonts w:ascii="Times New Roman" w:cs="Times New Roman" w:eastAsia="Times New Roman" w:hAnsi="Times New Roman"/>
          <w:sz w:val="18"/>
          <w:szCs w:val="18"/>
          <w:u w:val="single" w:color="auto"/>
          <w:color w:val="auto"/>
        </w:rPr>
        <w:t>execute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issue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surrender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cancel</w:t>
      </w:r>
      <w:r>
        <w:rPr>
          <w:rFonts w:ascii="Times New Roman" w:cs="Times New Roman" w:eastAsia="Times New Roman" w:hAnsi="Times New Roman"/>
          <w:sz w:val="18"/>
          <w:szCs w:val="18"/>
          <w:color w:val="auto"/>
        </w:rPr>
        <w:t>” refer to applicable entries or movements to or within DRS/Profile.</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70" w:right="499" w:bottom="1440" w:gutter="0" w:footer="0" w:header="0"/>
        </w:sectPr>
      </w:pPr>
    </w:p>
    <w:bookmarkStart w:id="251" w:name="page252"/>
    <w:bookmarkEnd w:id="251"/>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1.14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shall mean this Deposit Agreement and all exhibits annexed hereto, as the same may from time to time be amended and supplemented in accordance with the terms hereof.</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SECTION 1.15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shall mean Deutsche Bank Trust Company Americas, an indirect wholly owned subsidiary of Deutsche Bank AG, in its capacity as depositary under the terms of this Deposit Agreement, and any successor depositary hereunder.</w:t>
      </w:r>
    </w:p>
    <w:p>
      <w:pPr>
        <w:spacing w:after="0" w:line="162"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SECTION 1.16 “</w:t>
      </w:r>
      <w:r>
        <w:rPr>
          <w:rFonts w:ascii="Times New Roman" w:cs="Times New Roman" w:eastAsia="Times New Roman" w:hAnsi="Times New Roman"/>
          <w:sz w:val="18"/>
          <w:szCs w:val="18"/>
          <w:u w:val="single" w:color="auto"/>
          <w:color w:val="auto"/>
        </w:rPr>
        <w:t>Deposited Securities</w:t>
      </w:r>
      <w:r>
        <w:rPr>
          <w:rFonts w:ascii="Times New Roman" w:cs="Times New Roman" w:eastAsia="Times New Roman" w:hAnsi="Times New Roman"/>
          <w:sz w:val="18"/>
          <w:szCs w:val="18"/>
          <w:color w:val="auto"/>
        </w:rPr>
        <w:t>” as of any time shall mean Shares at such time deposited or deemed to be deposited under this Deposit Agreement and any and all other securities, property and cash received or deemed to be received by the Depositary or the Custodian in respect thereof and held hereunder, subject, in the case of cash, to the provisions of Section 4.6.</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1.17 “</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shall mean the lawful currency of the United States.</w:t>
      </w:r>
    </w:p>
    <w:p>
      <w:pPr>
        <w:spacing w:after="0" w:line="22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SECTION 1.18 “</w:t>
      </w:r>
      <w:r>
        <w:rPr>
          <w:rFonts w:ascii="Times New Roman" w:cs="Times New Roman" w:eastAsia="Times New Roman" w:hAnsi="Times New Roman"/>
          <w:sz w:val="18"/>
          <w:szCs w:val="18"/>
          <w:u w:val="single" w:color="auto"/>
          <w:color w:val="auto"/>
        </w:rPr>
        <w:t>DRS/Profile</w:t>
      </w:r>
      <w:r>
        <w:rPr>
          <w:rFonts w:ascii="Times New Roman" w:cs="Times New Roman" w:eastAsia="Times New Roman" w:hAnsi="Times New Roman"/>
          <w:sz w:val="18"/>
          <w:szCs w:val="18"/>
          <w:color w:val="auto"/>
        </w:rPr>
        <w:t>” shall mean the system for the uncertificated registration of ownership of securities pursuant to which ownership of ADSs is maintained on the books of the Depositary without the issuance of a physical certificate and transfer instructions may be given to allow for the automated transfer of ownership between the books of DTC and the Depositary. Ownership of ADSs held in DRS/Profile is evidenced by periodic statements issued by the Depositary to the Holders entitled thereto.</w:t>
      </w:r>
    </w:p>
    <w:p>
      <w:pPr>
        <w:spacing w:after="0" w:line="180"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SECTION 1.19 “DTC” shall mean The Depository Trust Company, the central book-entry clearinghouse and settlement system for securities traded in the United States, and any successor thereto.</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1.20 “</w:t>
      </w:r>
      <w:r>
        <w:rPr>
          <w:rFonts w:ascii="Times New Roman" w:cs="Times New Roman" w:eastAsia="Times New Roman" w:hAnsi="Times New Roman"/>
          <w:sz w:val="18"/>
          <w:szCs w:val="18"/>
          <w:u w:val="single" w:color="auto"/>
          <w:color w:val="auto"/>
        </w:rPr>
        <w:t>DTC Participants</w:t>
      </w:r>
      <w:r>
        <w:rPr>
          <w:rFonts w:ascii="Times New Roman" w:cs="Times New Roman" w:eastAsia="Times New Roman" w:hAnsi="Times New Roman"/>
          <w:sz w:val="18"/>
          <w:szCs w:val="18"/>
          <w:color w:val="auto"/>
        </w:rPr>
        <w:t>” shall mean participants within DTC.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1.21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U.S. Securities Exchange Act of 1934, as from time to time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1.22 “</w:t>
      </w:r>
      <w:r>
        <w:rPr>
          <w:rFonts w:ascii="Times New Roman" w:cs="Times New Roman" w:eastAsia="Times New Roman" w:hAnsi="Times New Roman"/>
          <w:sz w:val="18"/>
          <w:szCs w:val="18"/>
          <w:u w:val="single" w:color="auto"/>
          <w:color w:val="auto"/>
        </w:rPr>
        <w:t>Foreign Currency</w:t>
      </w:r>
      <w:r>
        <w:rPr>
          <w:rFonts w:ascii="Times New Roman" w:cs="Times New Roman" w:eastAsia="Times New Roman" w:hAnsi="Times New Roman"/>
          <w:sz w:val="18"/>
          <w:szCs w:val="18"/>
          <w:color w:val="auto"/>
        </w:rPr>
        <w:t>” shall mean any currency other than Dollars.</w:t>
      </w:r>
    </w:p>
    <w:p>
      <w:pPr>
        <w:spacing w:after="0" w:line="22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SECTION 1.23 “</w:t>
      </w:r>
      <w:r>
        <w:rPr>
          <w:rFonts w:ascii="Times New Roman" w:cs="Times New Roman" w:eastAsia="Times New Roman" w:hAnsi="Times New Roman"/>
          <w:sz w:val="18"/>
          <w:szCs w:val="18"/>
          <w:u w:val="single" w:color="auto"/>
          <w:color w:val="auto"/>
        </w:rPr>
        <w:t>Foreign Registrar</w:t>
      </w:r>
      <w:r>
        <w:rPr>
          <w:rFonts w:ascii="Times New Roman" w:cs="Times New Roman" w:eastAsia="Times New Roman" w:hAnsi="Times New Roman"/>
          <w:sz w:val="18"/>
          <w:szCs w:val="18"/>
          <w:color w:val="auto"/>
        </w:rPr>
        <w:t>” shall mean the entity, if any, that carries out the duties of registrar for the Shares or any successor as registrar for the Shares and any other appointed agent of the Company for the transfer and registration of Shares or, if no such agent is so appointed and acting, the Company.</w:t>
      </w:r>
    </w:p>
    <w:p>
      <w:pPr>
        <w:spacing w:after="0" w:line="176"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SECTION 1.24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shall mean the person in whose name a Receipt is registered on the books of the Depositary (or the Registrar, if any) maintained for such purpose. A Holder may or may not be a Beneficial Owner. A Holder shall be deemed to have all requisite authority to act on behalf of those Beneficial Owners of the ADRs registered in such Holder’s name.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1.25 “</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and “Indemnifying Person” shall have the respective meanings set forth in Section 5.8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1.26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shall have the meaning set forth in Section 5.8 hereof.</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252" w:name="page253"/>
    <w:bookmarkEnd w:id="25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1.27 “</w:t>
      </w:r>
      <w:r>
        <w:rPr>
          <w:rFonts w:ascii="Times New Roman" w:cs="Times New Roman" w:eastAsia="Times New Roman" w:hAnsi="Times New Roman"/>
          <w:sz w:val="18"/>
          <w:szCs w:val="18"/>
          <w:u w:val="single" w:color="auto"/>
          <w:color w:val="auto"/>
        </w:rPr>
        <w:t>Memorandum</w:t>
      </w:r>
      <w:r>
        <w:rPr>
          <w:rFonts w:ascii="Times New Roman" w:cs="Times New Roman" w:eastAsia="Times New Roman" w:hAnsi="Times New Roman"/>
          <w:sz w:val="18"/>
          <w:szCs w:val="18"/>
          <w:color w:val="auto"/>
        </w:rPr>
        <w:t>” shall mean the memorandum of association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1.28 “</w:t>
      </w: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shall mean a written opinion from legal counsel to the Company who is acceptable to the Depositary.</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SECTION 1.29 “</w:t>
      </w:r>
      <w:r>
        <w:rPr>
          <w:rFonts w:ascii="Times New Roman" w:cs="Times New Roman" w:eastAsia="Times New Roman" w:hAnsi="Times New Roman"/>
          <w:sz w:val="18"/>
          <w:szCs w:val="18"/>
          <w:u w:val="single" w:color="auto"/>
          <w:color w:val="auto"/>
        </w:rPr>
        <w:t>Receipt(s)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American Depositary Receipt(s)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ADR(s)</w:t>
      </w:r>
      <w:r>
        <w:rPr>
          <w:rFonts w:ascii="Times New Roman" w:cs="Times New Roman" w:eastAsia="Times New Roman" w:hAnsi="Times New Roman"/>
          <w:sz w:val="18"/>
          <w:szCs w:val="18"/>
          <w:color w:val="auto"/>
        </w:rPr>
        <w:t>” shall mean the certificate(s) or statement(s) issued by the Depositary evidencing the American Depositary Shares issued under the terms of this Deposit Agreement, as such Receipts may be amended from time to time in accordance with the provisions of this Deposit Agreement. References to Receipts shall include physical certificated Receipts as well as ADSs issued through any book-entry system, including, without limitation, DRS/Profile, unless the context otherwise requires.</w:t>
      </w:r>
    </w:p>
    <w:p>
      <w:pPr>
        <w:spacing w:after="0" w:line="180"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SECTION 1.30 “</w:t>
      </w:r>
      <w:r>
        <w:rPr>
          <w:rFonts w:ascii="Times New Roman" w:cs="Times New Roman" w:eastAsia="Times New Roman" w:hAnsi="Times New Roman"/>
          <w:sz w:val="18"/>
          <w:szCs w:val="18"/>
          <w:u w:val="single" w:color="auto"/>
          <w:color w:val="auto"/>
        </w:rPr>
        <w:t>Registrar</w:t>
      </w:r>
      <w:r>
        <w:rPr>
          <w:rFonts w:ascii="Times New Roman" w:cs="Times New Roman" w:eastAsia="Times New Roman" w:hAnsi="Times New Roman"/>
          <w:sz w:val="18"/>
          <w:szCs w:val="18"/>
          <w:color w:val="auto"/>
        </w:rPr>
        <w:t>” shall mean the Depositary or any bank or trust company having an office in the Borough of Manhattan, The City of New York, which shall be appointed by the Depositary to register ownership of Receipts and transfer of Receipts as herein provided, and shall include any co-registrar appointed by the Depositary for such purposes. Registrars (other than the Depositary) may be removed and substitutes appointed by the Depositary.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1.31 “</w:t>
      </w:r>
      <w:r>
        <w:rPr>
          <w:rFonts w:ascii="Times New Roman" w:cs="Times New Roman" w:eastAsia="Times New Roman" w:hAnsi="Times New Roman"/>
          <w:sz w:val="18"/>
          <w:szCs w:val="18"/>
          <w:u w:val="single" w:color="auto"/>
          <w:color w:val="auto"/>
        </w:rPr>
        <w:t>Restricted ADRs</w:t>
      </w:r>
      <w:r>
        <w:rPr>
          <w:rFonts w:ascii="Times New Roman" w:cs="Times New Roman" w:eastAsia="Times New Roman" w:hAnsi="Times New Roman"/>
          <w:sz w:val="18"/>
          <w:szCs w:val="18"/>
          <w:color w:val="auto"/>
        </w:rPr>
        <w:t>” shall have the meaning set forth in Section 2.11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1.32 “</w:t>
      </w:r>
      <w:r>
        <w:rPr>
          <w:rFonts w:ascii="Times New Roman" w:cs="Times New Roman" w:eastAsia="Times New Roman" w:hAnsi="Times New Roman"/>
          <w:sz w:val="18"/>
          <w:szCs w:val="18"/>
          <w:u w:val="single" w:color="auto"/>
          <w:color w:val="auto"/>
        </w:rPr>
        <w:t>Restricted ADSs</w:t>
      </w:r>
      <w:r>
        <w:rPr>
          <w:rFonts w:ascii="Times New Roman" w:cs="Times New Roman" w:eastAsia="Times New Roman" w:hAnsi="Times New Roman"/>
          <w:sz w:val="18"/>
          <w:szCs w:val="18"/>
          <w:color w:val="auto"/>
        </w:rPr>
        <w:t>” shall have the meaning set forth in Section 2.11 hereof.</w:t>
      </w:r>
    </w:p>
    <w:p>
      <w:pPr>
        <w:spacing w:after="0" w:line="225" w:lineRule="exact"/>
        <w:rPr>
          <w:sz w:val="20"/>
          <w:szCs w:val="20"/>
          <w:color w:val="auto"/>
        </w:rPr>
      </w:pPr>
    </w:p>
    <w:p>
      <w:pPr>
        <w:ind w:right="40" w:firstLine="440"/>
        <w:spacing w:after="0" w:line="273" w:lineRule="auto"/>
        <w:rPr>
          <w:sz w:val="20"/>
          <w:szCs w:val="20"/>
          <w:color w:val="auto"/>
        </w:rPr>
      </w:pPr>
      <w:r>
        <w:rPr>
          <w:rFonts w:ascii="Times New Roman" w:cs="Times New Roman" w:eastAsia="Times New Roman" w:hAnsi="Times New Roman"/>
          <w:sz w:val="17"/>
          <w:szCs w:val="17"/>
          <w:color w:val="auto"/>
        </w:rPr>
        <w:t>SECTION 1.33 “</w:t>
      </w:r>
      <w:r>
        <w:rPr>
          <w:rFonts w:ascii="Times New Roman" w:cs="Times New Roman" w:eastAsia="Times New Roman" w:hAnsi="Times New Roman"/>
          <w:sz w:val="17"/>
          <w:szCs w:val="17"/>
          <w:u w:val="single" w:color="auto"/>
          <w:color w:val="auto"/>
        </w:rPr>
        <w:t>Restricted Securities</w:t>
      </w:r>
      <w:r>
        <w:rPr>
          <w:rFonts w:ascii="Times New Roman" w:cs="Times New Roman" w:eastAsia="Times New Roman" w:hAnsi="Times New Roman"/>
          <w:sz w:val="17"/>
          <w:szCs w:val="17"/>
          <w:color w:val="auto"/>
        </w:rPr>
        <w:t>” shall mean Shares which (i) have been acquired directly or indirectly from the Company or any of its Affiliates in a transaction or chain of transactions not involving any public offering and subject to resale limitations under the Securities Act or the rules issued thereunder, or (ii) are held by an officer or director (or persons performing similar functions) or other Affiliate of the Company or (iii) are subject to other restrictions on sale or deposit under the laws of the United States or the Cayman Islands, under a shareholders’ agreement, shareholders’ lock-up agreement or the Articles of Association or under the regulations of an applicable securities exchange unless, in each case, such Shares are being sold to persons other than an Affiliate of the Company in a transaction (x) covered by an effective resale registration statement or (y) exempt from the registration requirements of the Securities Act (as hereafter defined) and the Shares are not, when held by such person, Restricted Securities.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1.34 “</w:t>
      </w:r>
      <w:r>
        <w:rPr>
          <w:rFonts w:ascii="Times New Roman" w:cs="Times New Roman" w:eastAsia="Times New Roman" w:hAnsi="Times New Roman"/>
          <w:sz w:val="18"/>
          <w:szCs w:val="18"/>
          <w:u w:val="single" w:color="auto"/>
          <w:color w:val="auto"/>
        </w:rPr>
        <w:t>Restricted Shares</w:t>
      </w:r>
      <w:r>
        <w:rPr>
          <w:rFonts w:ascii="Times New Roman" w:cs="Times New Roman" w:eastAsia="Times New Roman" w:hAnsi="Times New Roman"/>
          <w:sz w:val="18"/>
          <w:szCs w:val="18"/>
          <w:color w:val="auto"/>
        </w:rPr>
        <w:t>” shall have the meaning set forth in Section 2.11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1.35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United States Securities Act of 1933, as from time to time amended.</w:t>
      </w:r>
    </w:p>
    <w:p>
      <w:pPr>
        <w:spacing w:after="0" w:line="225"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SECTION 1.36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shall mean Class A ordinary shares in registered form of the Company, par value $0.00001 each, heretofore or hereafter validly issued and outstanding and fully paid. References to Shares shall include evidence of rights to receive Shares, whether or not stated in the particular instance; provided, however, that in no event shall Shares include evidence of rights to receive Shares with respect to which the full purchase price has not been paid or Shares as to which pre-emptive rights have theretofore not been validly waived or exercised; provided further, however, that, if there shall occur any change in par value, split-up, consolidation, reclassification, exchange, conversion or any other event described in Section 4.9 hereof in respect of the Shares, the term “Shares” shall thereafter, to the extent permitted by law, represent the successor securities resulting from such change in par value, split-up, consolidation, reclassification, exchange, conversion or event.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253" w:name="page254"/>
    <w:bookmarkEnd w:id="25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1.37 “</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shall mean the United States of America.</w:t>
      </w:r>
    </w:p>
    <w:p>
      <w:pPr>
        <w:spacing w:after="0" w:line="200" w:lineRule="exact"/>
        <w:rPr>
          <w:sz w:val="20"/>
          <w:szCs w:val="20"/>
          <w:color w:val="auto"/>
        </w:rPr>
      </w:pP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1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APPOINTMENT OF DEPOSITARY; FORM OF RECEIPT; DEPOSIT OF SHARES;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EXECUTION AND DELIVERY, TRANSFER AND SURRENDER OF RECEIPTS</w:t>
      </w:r>
    </w:p>
    <w:p>
      <w:pPr>
        <w:spacing w:after="0" w:line="20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Appointment of Depositary</w:t>
      </w:r>
      <w:r>
        <w:rPr>
          <w:rFonts w:ascii="Times New Roman" w:cs="Times New Roman" w:eastAsia="Times New Roman" w:hAnsi="Times New Roman"/>
          <w:sz w:val="18"/>
          <w:szCs w:val="18"/>
          <w:color w:val="auto"/>
        </w:rPr>
        <w:t>. The Company hereby appoints the Depositary as exclusive depositary for the Deposited Securities and hereby authorizes and directs the Depositary to act in accordance with the terms set forth in this Deposit Agreement. Each Holder and each Beneficial Owner, upon acceptance of any ADSs (or any interest therein) issued in accordance with the terms of this Deposit Agreement, shall be deemed for all purposes to (a) be a party to and bound by the terms of this Deposit Agreement and the applicable ADR(s) and (b) appoint the Depositary its attorney-in-fact, with full power to delegate, to act on its behalf and to take any and all actions contemplated in this Deposit Agreement and the applicable ADR(s), to adopt any and all procedures necessary to comply with applicable law and to take such action as the Depositary in its sole discretion may deem necessary or appropriate to carry out the purposes of this Deposit Agreement and the applicable ADR(s) (the taking of such actions to be the conclusive determinant of the necessity and appropriateness thereof).</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Form and Transferability of Receipts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71" w:lineRule="auto"/>
        <w:tabs>
          <w:tab w:leader="none" w:pos="1236"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Form</w:t>
      </w:r>
      <w:r>
        <w:rPr>
          <w:rFonts w:ascii="Times New Roman" w:cs="Times New Roman" w:eastAsia="Times New Roman" w:hAnsi="Times New Roman"/>
          <w:sz w:val="17"/>
          <w:szCs w:val="17"/>
          <w:color w:val="auto"/>
        </w:rPr>
        <w:t xml:space="preserve">. Receipts in certificated form shall be substantially in the form set forth in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annexed to this Deposit Agreement, with appropriate insertions, modifications and omissions, as hereinafter provided. Receipts may be issued in denominations of any number of American Depositary Shares. No Receipt in certificated form shall be entitled to any benefits under this Deposit Agreement or be valid or obligatory for any purpose, unless such Receipt shall have been dated and signed by the manual or facsimile signature of a duly authorized signatory of the Depositary. The Depositary shall maintain books on which each Receipt so executed and Delivered, in the case of Receipts in certificated form, and each Receipt issued through any book-entry system, including, without limitation, DRS/Profile, in either case as hereinafter provided, and the transfer of each such Receipt shall be registered. Receipts in certificated form bearing the manual or facsimile signature of a duly authorized signatory of the Depositary who was at any time a proper signatory of the Depositary shall bind the Depositary, notwithstanding the fact that such signatory has ceased to hold such office prior to the execution and Delivery of such Receipts by the Registrar or did not hold such office on the date of issuance of such Receipts.</w:t>
      </w:r>
    </w:p>
    <w:p>
      <w:pPr>
        <w:spacing w:after="0" w:line="17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Notwithstanding anything in this Deposit Agreement or in the form of Receipt to the contrary, to the extent available by the Depositary, ADSs shall be evidenced by Receipts issued through any book-entry system, including, without limitation, DRS/Profile, unless certificated Receipts are specifically requested by the Holder. Holders and Beneficial Owners shall be bound by the terms and conditions of this Deposit Agreement and of the form of Receipt, regardless of whether their Receipts are in certificated form or are issued through any book-entry system, including, without limitation, DRS/Profile.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254" w:name="page255"/>
    <w:bookmarkEnd w:id="254"/>
    <w:p>
      <w:pPr>
        <w:ind w:left="4" w:right="80" w:firstLine="987"/>
        <w:spacing w:after="0" w:line="276" w:lineRule="auto"/>
        <w:tabs>
          <w:tab w:leader="none" w:pos="1250" w:val="left"/>
        </w:tabs>
        <w:numPr>
          <w:ilvl w:val="1"/>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Legends</w:t>
      </w:r>
      <w:r>
        <w:rPr>
          <w:rFonts w:ascii="Times New Roman" w:cs="Times New Roman" w:eastAsia="Times New Roman" w:hAnsi="Times New Roman"/>
          <w:sz w:val="17"/>
          <w:szCs w:val="17"/>
          <w:color w:val="auto"/>
        </w:rPr>
        <w:t>. In addition to the foregoing, the Receipts may, and upon the written request of the Company shall, be endorsed with, or have incorporated in the text thereof, such legends or recitals or modifications not inconsistent with the provisions of this Deposit Agreement as may be</w:t>
      </w:r>
    </w:p>
    <w:p>
      <w:pPr>
        <w:ind w:left="4" w:hanging="4"/>
        <w:spacing w:after="0" w:line="252" w:lineRule="auto"/>
        <w:tabs>
          <w:tab w:leader="none" w:pos="219"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necessary to enable the Depositary and the Company to perform their respective obligations hereunder, (ii) required to comply with any applicable laws or regulations, or with the rules and regulations of any securities exchange or market upon which ADSs may be traded, listed or quoted, or to conform with any usage with respect thereto, (iii) necessary to indicate any special limitations or restrictions to which any particular ADRs or ADSs are subject by reason of the date of issuance of the Deposited Securities or otherwise or (iv) required by any book-entry system in which the ADSs are held. Holders and Beneficial Owners shall be deemed, for all purposes, to have notice of, and to be bound by, the terms and conditions of the legends set forth, in the case of Holders, on the ADR registered in the name of the applicable Holders or, in the case of Beneficial Owners, on the ADR representing the ADSs owned by such Beneficial Owners.</w:t>
      </w:r>
    </w:p>
    <w:p>
      <w:pPr>
        <w:spacing w:after="0" w:line="188" w:lineRule="exact"/>
        <w:rPr>
          <w:rFonts w:ascii="Times New Roman" w:cs="Times New Roman" w:eastAsia="Times New Roman" w:hAnsi="Times New Roman"/>
          <w:sz w:val="18"/>
          <w:szCs w:val="18"/>
          <w:color w:val="auto"/>
        </w:rPr>
      </w:pPr>
    </w:p>
    <w:p>
      <w:pPr>
        <w:ind w:left="4" w:right="80" w:firstLine="987"/>
        <w:spacing w:after="0" w:line="255" w:lineRule="auto"/>
        <w:tabs>
          <w:tab w:leader="none" w:pos="124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 Subject to the limitations contained herein and in the form of Receipt, title to a Receipt (and to the ADSs evidenced thereby), when properly endorsed (in the case of certificated Receipts) or upon delivery to the Depositary of proper instruments of transfer, shall be transferable by delivery with the same effect as in the case of a negotiable instrument under the laws of the State of New York; provided, however, that the Depositary, notwithstanding any notice to the contrary, may treat the Holder thereof as the absolute owner thereof for the purpose of determining the person entitled to distribution of dividends or other distributions or to any notice provided for in this Deposit Agreement and for all other purposes and neither the Depositary nor the Company will have any obligation or be subject to any liability under this Deposit Agreement to any holder of a Receipt, unless such holder is the Holder thereof.</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4"/>
          </w:cols>
          <w:pgMar w:left="436" w:top="270" w:right="479" w:bottom="1440" w:gutter="0" w:footer="0" w:header="0"/>
        </w:sectPr>
      </w:pPr>
    </w:p>
    <w:bookmarkStart w:id="255" w:name="page256"/>
    <w:bookmarkEnd w:id="25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2.3 </w:t>
      </w:r>
      <w:r>
        <w:rPr>
          <w:rFonts w:ascii="Times New Roman" w:cs="Times New Roman" w:eastAsia="Times New Roman" w:hAnsi="Times New Roman"/>
          <w:sz w:val="18"/>
          <w:szCs w:val="18"/>
          <w:u w:val="single" w:color="auto"/>
          <w:color w:val="auto"/>
        </w:rPr>
        <w:t>Deposits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59" w:lineRule="auto"/>
        <w:tabs>
          <w:tab w:leader="none" w:pos="1240" w:val="left"/>
        </w:tabs>
        <w:numPr>
          <w:ilvl w:val="1"/>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terms and conditions of this Deposit Agreement and applicable law, Shares or evidence of rights to receive Shares may be deposited by any person (including the Depositary in its individual capacity but subject, however, in the case of the Company or any Affiliate of the Company, to Section 5.7 hereof) at any time beginning on the 181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xml:space="preserve"> day after the date of the prospectus contained in the registration statement on Form F-1 under which the ADSs are first sold or on such earlier date as the Company (with the approval of the underwriters referred to in the said prospectus) may specify in writing to the Depositary, whether or not the transfer books of the Company or the Foreign Registrar, if any, are closed, by Delivery of the Shares to the Custodian. Except for Shares deposited by the Company in connection with the initial sale of ADSs under the registration statement on Form F-1, no deposit of Shares shall be accepted under this Deposit Agreement prior to such date. Every deposit of Shares shall be accompanied by the following: (A)(i) in the case of Shares represented by certificates issued in registered form, appropriate instruments of transfer or endorsement, in a form satisfactory to the Custodian, (ii) in the case of Shares represented by certificates issued in bearer form, such Shares or the certificates representing such Shares and (iii) in the case of Shares Delivered by book-entry transfer, confirmation of such book-entry transfer to the Custodian or that irrevocable instructions have been given to cause such Shares to be so transferred, (B) such certifications and payments (including, without limitation, the Depositary’s fees and related charges) and evidence of such payments (including, without limitation, stamping or otherwise marking such Shares by way of receipt) as may be required by the Depositary or the Custodian in accordance with the provisions of this Deposit Agreement or as may be deemed by them to be appropriate in the circumstances, (C) if the Depositary so requires, a written order directing the Depositary to execute and Deliver to, or upon the written order of, the person or persons stated in such order a Receipt or Receipts for the number of American Depositary Shares representing the Shares so deposited, (D) evidence satisfactory to the Depositary (which may include an opinion of counsel reasonably satisfactory to the Depositary provided at the cost of the person seeking to deposit Shares) that all conditions to such deposit have been met and all necessary approvals have been granted by, and there has been compliance with the rules and regulations of, any applicable governmental agency and (E) if the Depositary so requires,</w:t>
      </w:r>
    </w:p>
    <w:p>
      <w:pPr>
        <w:spacing w:after="0" w:line="9" w:lineRule="exact"/>
        <w:rPr>
          <w:rFonts w:ascii="Times New Roman" w:cs="Times New Roman" w:eastAsia="Times New Roman" w:hAnsi="Times New Roman"/>
          <w:sz w:val="17"/>
          <w:szCs w:val="17"/>
          <w:color w:val="auto"/>
        </w:rPr>
      </w:pPr>
    </w:p>
    <w:p>
      <w:pPr>
        <w:ind w:left="4" w:hanging="4"/>
        <w:spacing w:after="0" w:line="251" w:lineRule="auto"/>
        <w:tabs>
          <w:tab w:leader="none" w:pos="219"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agreement, assignment or instrument satisfactory to the Depositary or the Custodian which provides for the prompt transfer by any person in whose name the Shares are or have been recorded to the Custodian of any distribution, or right to subscribe for additional Shares or to receive other property in respect of any such deposited Shares or, in lieu thereof, such indemnity or other agreement as shall be satisfactory to the Depositary or the Custodian and (ii) if the Shares are registered in the name of the person on whose behalf they are presented for deposit, a proxy or proxies entitling the Custodian to exercise voting rights in respect of the Shares for any and all purposes until the Shares so deposited are registered in the name of the Depositary, the Custodian or any nominee. No Share shall be accepted for deposit unless accompanied by confirmation or such additional evidence, if any is required by the Depositary, that is reasonably satisfactory to the Depositary or the Custodian that all conditions to such deposit have been satisfied by the person depositing such Shares under the laws and regulations of the Cayman Islands and any necessary approval has been granted by any governmental body in the Cayman Islands, if any, which is then performing the function of the regulator of currency exchange. The Depositary may issue Receipts against evidence of rights to receive Shares from the Company, any agent of the Company or any custodian, registrar, transfer agent, clearing agency or other entity involved in ownership or transaction records in respect of the Shares. Without limitation of the foregoing, the Depositary shall not knowingly accept for deposit under this Deposit Agreement any Shares or other Deposited Securities required to be registered under the provisions of the Securities Act, unless a registration statement is in effect as to such Shares or other Deposited Securities, or any Shares or other Deposited Securities the deposit of which would violate any provisions of the Memorandum and Articles of Association. The Depositary shall use commercially reasonable efforts to comply with reasonable written instructions of the Company that the Depositary shall not accept for deposit hereunder any Shares specifically identified in such instructions at such times and under such circumstances as may reasonably be specified in such instructions in order to facilitate the Company’s compliance with the securities laws in the United States and other jurisdictions, provided that the Company shall indemnify the Depositary and the Custodian for any claims and losses arising from not accepting the deposit of any Shares identified in the Company’s instructions.</w:t>
      </w:r>
    </w:p>
    <w:p>
      <w:pPr>
        <w:spacing w:after="0" w:line="188" w:lineRule="exact"/>
        <w:rPr>
          <w:rFonts w:ascii="Times New Roman" w:cs="Times New Roman" w:eastAsia="Times New Roman" w:hAnsi="Times New Roman"/>
          <w:sz w:val="18"/>
          <w:szCs w:val="18"/>
          <w:color w:val="auto"/>
        </w:rPr>
      </w:pPr>
    </w:p>
    <w:p>
      <w:pPr>
        <w:ind w:left="4" w:right="40" w:firstLine="987"/>
        <w:spacing w:after="0" w:line="256" w:lineRule="auto"/>
        <w:tabs>
          <w:tab w:leader="none" w:pos="1250"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receipt of any permitted deposit hereunder and compliance with the provisions of this Deposit Agreement, the Custodian shall present the Shares so deposited, together with the appropriate instrument or instruments of transfer or endorsement, duly stamped, to the Foreign Registrar for transfer and registration of the Shares (as soon as transfer and registration can be accomplished and at the expense of the person for whom the deposit is made) in the name of the Depositary, the Custodian or a nominee of either. Deposited Securities shall be held by the Depositary or by a Custodian for the account and to the order of the Depositary or a nominee, in each case for the account of the Holders and Beneficial Owners, at such place or places as the Depositary or the Custodian shall determine.</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256" w:name="page257"/>
    <w:bookmarkEnd w:id="256"/>
    <w:p>
      <w:pPr>
        <w:ind w:left="4" w:right="160" w:firstLine="987"/>
        <w:spacing w:after="0" w:line="255" w:lineRule="auto"/>
        <w:tabs>
          <w:tab w:leader="none" w:pos="124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any Shares are deposited which entitle the holders thereof to receive a per-share distribution or other entitlement in an amount different from the Shares then on deposit, the Depositary is authorized to take any and all actions as may be necessary (including, without limitation, making the necessary notations on Receipts) to give effect to the issuance of such ADSs and to ensure that such ADSs are not fungible with other ADSs issued hereunder until such time as the entitlement of the Shares represented by such non-fungible ADSs equals that of the Shares represented by ADSs prior to such deposit. The Company agrees to give timely written notice to the Depositary if any Shares issued or to be issued contain rights different from those of any other Shares theretofore issued and shall assist the Depositary with the establishment of procedures enabling the identification of such non-fungible Shares upon Delivery to the Custodian.</w:t>
      </w:r>
    </w:p>
    <w:p>
      <w:pPr>
        <w:spacing w:after="0" w:line="189" w:lineRule="exact"/>
        <w:rPr>
          <w:sz w:val="20"/>
          <w:szCs w:val="20"/>
          <w:color w:val="auto"/>
        </w:rPr>
      </w:pPr>
    </w:p>
    <w:p>
      <w:pPr>
        <w:ind w:left="4"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Execution and Delivery of Receipts</w:t>
      </w:r>
      <w:r>
        <w:rPr>
          <w:rFonts w:ascii="Times New Roman" w:cs="Times New Roman" w:eastAsia="Times New Roman" w:hAnsi="Times New Roman"/>
          <w:sz w:val="18"/>
          <w:szCs w:val="18"/>
          <w:color w:val="auto"/>
        </w:rPr>
        <w:t>. After the deposit of any Shares pursuant to Section 2.3 hereof, the Custodian shall notify the Depositary of such deposit and the person or persons to whom or upon whose written order a Receipt or Receipts are Deliverable in respect thereof and the number of American Depositary Shares to be evidenced thereby. Such notification shall be made by letter, first class airmail postage prepaid, or, at the request, risk and expense of the person making the deposit, by cable, telex, SWIFT, facsimile or electronic transmission. After receiving such notice from the Custodian, the Depositary, subject to this Deposit Agreement (including, without limitation, the payment of the fees, expenses, taxes and/or other charges owing hereunder), shall issue the ADSs representing the Shares so deposited to or upon the order of the person or persons named in the notice delivered to the Depositary and shall execute and Deliver a Receipt registered in the name or names requested by such person or persons evidencing in the aggregate the number of American Depositary Shares to which such person or persons are entitled.</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Transfer of Receipts; Combination and Split-up of Receipts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68" w:lineRule="auto"/>
        <w:tabs>
          <w:tab w:leader="none" w:pos="1240" w:val="left"/>
        </w:tabs>
        <w:numPr>
          <w:ilvl w:val="1"/>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w:t>
      </w:r>
      <w:r>
        <w:rPr>
          <w:rFonts w:ascii="Times New Roman" w:cs="Times New Roman" w:eastAsia="Times New Roman" w:hAnsi="Times New Roman"/>
          <w:sz w:val="17"/>
          <w:szCs w:val="17"/>
          <w:color w:val="auto"/>
        </w:rPr>
        <w:t>. The Depositary, or, if a Registrar (other than the Depositary) for the Receipts shall have been appointed, the Registrar, subject to the terms and conditions of this Deposit Agreement, shall register transfers of Receipts on its books, upon surrender at the Corporate Trust Office of the Depositary of a Receipt by the Holder thereof in person or by duly authorized attorney, properly endorsed in the case of a certificated Receipt or accompanied by, or in the case of Receipts issued through any book-entry system, including, without limitation, DRS/Profile, receipt by the Depositary of, proper instruments of transfer (including signature guarantees in accordance with standard industry practice) and duly stamped as may be required by the laws of the State of New York, of the United States , of the Cayman Islands and of any other applicable jurisdiction. Subject to the terms and conditions of this Deposit Agreement, including payment of the applicable fees and charges of the Depositary set forth in Section 5.9 hereof and Article</w:t>
      </w:r>
    </w:p>
    <w:p>
      <w:pPr>
        <w:spacing w:after="0" w:line="2" w:lineRule="exact"/>
        <w:rPr>
          <w:rFonts w:ascii="Times New Roman" w:cs="Times New Roman" w:eastAsia="Times New Roman" w:hAnsi="Times New Roman"/>
          <w:sz w:val="17"/>
          <w:szCs w:val="17"/>
          <w:color w:val="auto"/>
        </w:rPr>
      </w:pPr>
    </w:p>
    <w:p>
      <w:pPr>
        <w:ind w:left="4" w:right="540" w:hanging="4"/>
        <w:spacing w:after="0" w:line="260" w:lineRule="auto"/>
        <w:tabs>
          <w:tab w:leader="none" w:pos="259"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Receipt, the Depositary shall execute a new Receipt or Receipts and Deliver the same to or upon the order of the person entitled thereto evidencing the same aggregate number of American Depositary Shares as those evidenced by the Receipts surrendered.</w:t>
      </w:r>
    </w:p>
    <w:p>
      <w:pPr>
        <w:spacing w:after="0" w:line="181" w:lineRule="exact"/>
        <w:rPr>
          <w:rFonts w:ascii="Times New Roman" w:cs="Times New Roman" w:eastAsia="Times New Roman" w:hAnsi="Times New Roman"/>
          <w:sz w:val="18"/>
          <w:szCs w:val="18"/>
          <w:color w:val="auto"/>
        </w:rPr>
      </w:pPr>
    </w:p>
    <w:p>
      <w:pPr>
        <w:ind w:left="4" w:right="160" w:firstLine="987"/>
        <w:spacing w:after="0" w:line="258" w:lineRule="auto"/>
        <w:tabs>
          <w:tab w:leader="none" w:pos="125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Combination and Split Up</w:t>
      </w:r>
      <w:r>
        <w:rPr>
          <w:rFonts w:ascii="Times New Roman" w:cs="Times New Roman" w:eastAsia="Times New Roman" w:hAnsi="Times New Roman"/>
          <w:sz w:val="18"/>
          <w:szCs w:val="18"/>
          <w:color w:val="auto"/>
        </w:rPr>
        <w:t>. The Depositary, subject to the terms and conditions of this Deposit Agreement shall, upon surrender of a Receipt or Receipts for the purpose of effecting a split-up or combination of such Receipt or Receipts and upon payment to the Depositary of the applicable fees and charges set forth in Section 5.9 hereof and Article (9) of the Receipt, execute and Deliver a new Receipt or Receipts for any authorized number of American Depositary Shares requested, evidencing the same aggregate number of American Depositary Shares as the Receipt or Receipts surrendered.</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257" w:name="page258"/>
    <w:bookmarkEnd w:id="257"/>
    <w:p>
      <w:pPr>
        <w:ind w:firstLine="987"/>
        <w:spacing w:after="0" w:line="256" w:lineRule="auto"/>
        <w:tabs>
          <w:tab w:leader="none" w:pos="1236"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Co-Transfer Agents</w:t>
      </w:r>
      <w:r>
        <w:rPr>
          <w:rFonts w:ascii="Times New Roman" w:cs="Times New Roman" w:eastAsia="Times New Roman" w:hAnsi="Times New Roman"/>
          <w:sz w:val="18"/>
          <w:szCs w:val="18"/>
          <w:color w:val="auto"/>
        </w:rPr>
        <w:t>. The Depositary may appoint one or more co-transfer agents for the purpose of effecting transfers, combinations and split-ups of Receipts at designated transfer offices on behalf of the Depositary. In carrying out its functions, a co-transfer agent may require evidence of authority and compliance with applicable laws and other requirements by Holders or persons entitled to such Receipts and will be entitled to protection and indemnity, in each case to the same extent as the Depositary. Such co-transfer agents may be removed and substitutes appointed by the Depositary. Each co-transfer agent appointed under this Section 2.5 (other than the Depositary) shall give notice in writing to the Depositary accepting such appointment and agreeing to be bound by the applicable terms of this Deposit Agreement.</w:t>
      </w:r>
    </w:p>
    <w:p>
      <w:pPr>
        <w:spacing w:after="0" w:line="187" w:lineRule="exact"/>
        <w:rPr>
          <w:rFonts w:ascii="Times New Roman" w:cs="Times New Roman" w:eastAsia="Times New Roman" w:hAnsi="Times New Roman"/>
          <w:sz w:val="18"/>
          <w:szCs w:val="18"/>
          <w:color w:val="auto"/>
        </w:rPr>
      </w:pPr>
    </w:p>
    <w:p>
      <w:pPr>
        <w:jc w:val="both"/>
        <w:ind w:right="220" w:firstLine="987"/>
        <w:spacing w:after="0" w:line="261" w:lineRule="auto"/>
        <w:tabs>
          <w:tab w:leader="none" w:pos="1246"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Substitution of Receipts</w:t>
      </w:r>
      <w:r>
        <w:rPr>
          <w:rFonts w:ascii="Times New Roman" w:cs="Times New Roman" w:eastAsia="Times New Roman" w:hAnsi="Times New Roman"/>
          <w:sz w:val="18"/>
          <w:szCs w:val="18"/>
          <w:color w:val="auto"/>
        </w:rPr>
        <w:t>. At the request of a Holder, the Depositary shall, for the purpose of substituting a certificated Receipt with a Receipt issued through any book-entry system, including, without limitation, DRS/Profile, or vice versa, execute and Deliver a certificated Receipt or deliver a statement, as the case may be, for any authorized number of ADSs requested, evidencing the same aggregate number of ADSs as those evidenced by the relevant Receipt.</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Surrender of Receipts and Withdrawal of Deposited Securities</w:t>
      </w:r>
      <w:r>
        <w:rPr>
          <w:rFonts w:ascii="Times New Roman" w:cs="Times New Roman" w:eastAsia="Times New Roman" w:hAnsi="Times New Roman"/>
          <w:sz w:val="18"/>
          <w:szCs w:val="18"/>
          <w:color w:val="auto"/>
        </w:rPr>
        <w:t>. Upon surrender, at the Corporate Trust Office of the Depositary, of American Depositary Shares for the purpose of withdrawal of the Deposited Securities represented thereby, and upon payment of (i) the fees and charges of the Depositary for the making of withdrawals of Deposited Securities and cancellation of Receipts (as set forth in Section 5.9 hereof and Article (9) of the Receipt) and (ii) all fees, taxes and/or governmental charges payable in connection with such surrender and withdrawal, and subject to the terms and conditions of this Deposit Agreement, the Memorandum and Articles of Association, Section 7.11 hereof and any other provisions of or governing the Deposited Securities and other applicable laws, the Holder of such American Depositary Shares shall be entitled to Delivery, to him or upon his order, of the Deposited Securities at the time represented by the American Depositary Shares so surrendered. American Depositary Shares may be surrendered for the purpose of withdrawing Deposited Securities by Delivery of a Receipt evidencing such American Depositary Shares (if held in certificated form) or by book-entry Delivery of such American Depositary Shares to the Depositary.</w:t>
      </w:r>
    </w:p>
    <w:p>
      <w:pPr>
        <w:spacing w:after="0" w:line="18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Receipt surrendered for such purposes shall, if so required by the Depositary, be properly endorsed in blank or accompanied by proper instruments of transfer in blank, and if the Depositary so requires, the Holder thereof shall execute and deliver to the Depositary a written order directing the Depositary to cause the Deposited Securities being withdrawn to be Delivered to or upon the written order of a person or persons designated in such order. Thereupon, the Depositary shall direct the Custodian to Deliver (without unreasonable delay) at the designated office of the Custodian or through a book-entry delivery of the Shares (in either case, subject to Sections 2.7, 3.1, 3.2, 5.9, hereof and to the other terms and conditions of this Deposit Agreement, to the Memorandum and Articles of Association, and to the provisions of or governing the Deposited Securities and applicable laws, now or hereafter in effect) to or upon the written order of the person or persons designated in the order delivered to the Depositary as provided above, the Deposited Securities represented by such American Depositary Shares, together with any certificate or other proper documents of or relating to title of the Deposited Securities as may be legally required, as the case may be, to or for the account of such person.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258" w:name="page259"/>
    <w:bookmarkEnd w:id="258"/>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Depositary may refuse to accept for surrender American Depositary Shares only in the circumstances described in Article (4) of the Receipt. Subject thereto, in the case of surrender of a Receipt evidencing a number of American Depositary Shares representing other than a whole number of Shares, the Depositary shall cause ownership of the appropriate whole number of Shares to be Delivered in accordance with the terms hereof, and shall, at the discretion of the Depositary, either (i) issue and Deliver to the person surrendering such Receipt a new Receipt evidencing American Depositary Shares representing any remaining fractional Share, or (ii) sell or cause to be sold the fractional Shares represented by the Receipt surrendered and remit the proceeds of such sale (net of (a) applicable fees and charges of, and expenses incurred by, the Depositary and/or a division or Affiliate(s) of the Depositary and (b) taxes and/or governmental charges) to the person surrendering the Receipt.</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the request, risk and expense of any Holder so surrendering a Receipt, and for the account of such Holder, the Depositary shall direct the Custodian to forward (to the extent permitted by law) any cash or other property (other than securities) held in respect of, and any certificate or certificates and other proper documents of or relating to title to, the Deposited Securities represented by such Receipt to the Depositary for delivery at the Corporate Trust Office of the Depositary, and for further Delivery to such Holder. Such direction shall be given by letter or, at the request, risk and expense of such Holder, by cable, telex or facsimile transmission. Upon receipt by the Depositary of such direction, the Depositary may make delivery to such person or persons entitled thereto at the Corporate Trust Office of the Depositary of any dividends or cash distributions with respect to the Deposited Securities represented by such American Depositary Shares, or of any proceeds of sale of any dividends, distributions or rights, which may at the time be held by the Depositary.</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Limitations on Execution and Delivery, Transfer, etc. of Receipts; Suspension of Delivery, Transfer,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4" w:lineRule="auto"/>
        <w:tabs>
          <w:tab w:leader="none" w:pos="1236"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Requirements</w:t>
      </w:r>
      <w:r>
        <w:rPr>
          <w:rFonts w:ascii="Times New Roman" w:cs="Times New Roman" w:eastAsia="Times New Roman" w:hAnsi="Times New Roman"/>
          <w:sz w:val="18"/>
          <w:szCs w:val="18"/>
          <w:color w:val="auto"/>
        </w:rPr>
        <w:t>. As a condition precedent to the execution and Delivery, registration, registration of transfer, split-up, subdivision, combination or surrender of any Receipt, the Delivery of any distribution thereon (whether in cash or shares) or withdrawal of any Deposited Securities, the Depositary or the Custodian may require (i) payment from the depositor of Shares or presenter of the Receipt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hereof and Article (9) of the Receipt hereto, (ii) the production of proof satisfactory to it as to the identity and genuineness of any signature or any other matter contemplated by Section 3.1 hereof and (iii) compliance with (A) any laws or governmental regulations relating to the execution and Delivery of Receipts or American Depositary Shares or to the withdrawal or Delivery of Deposited Securities and (B) such reasonable regulations and procedures as the Depositary may establish consistent with the provisions of this Deposit Agreement and applicable law.</w:t>
      </w:r>
    </w:p>
    <w:p>
      <w:pPr>
        <w:spacing w:after="0" w:line="188" w:lineRule="exact"/>
        <w:rPr>
          <w:rFonts w:ascii="Times New Roman" w:cs="Times New Roman" w:eastAsia="Times New Roman" w:hAnsi="Times New Roman"/>
          <w:sz w:val="18"/>
          <w:szCs w:val="18"/>
          <w:color w:val="auto"/>
        </w:rPr>
      </w:pPr>
    </w:p>
    <w:p>
      <w:pPr>
        <w:ind w:right="120" w:firstLine="987"/>
        <w:spacing w:after="0" w:line="255" w:lineRule="auto"/>
        <w:tabs>
          <w:tab w:leader="none" w:pos="1246"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Limitations</w:t>
      </w:r>
      <w:r>
        <w:rPr>
          <w:rFonts w:ascii="Times New Roman" w:cs="Times New Roman" w:eastAsia="Times New Roman" w:hAnsi="Times New Roman"/>
          <w:sz w:val="18"/>
          <w:szCs w:val="18"/>
          <w:color w:val="auto"/>
        </w:rPr>
        <w:t>. The issuance of ADSs against deposits of Shares generally or against deposits of particular Shares may be suspended, or the issuance of ADSs against the deposit of particular Shares may be withheld, or the registration of transfer of Receipts in particular instances may be refused, or the registration of transfers of Receipts generally may be suspended, during any period when the transfer books of the Depositary are closed or if any such action is deemed necessary or advisable by the Depositary or the Company, in good faith, at any time or from time to time because of any requirement of law, any government or governmental body or commission or any securities exchange on which the Receipts or Shares are listed, or under any provision of this Deposit Agreement or provisions of, or governing, the Deposited Securities, or any meeting of shareholders of the Company or for any other reason, subject, in all cases, to Section 7.11 hereof.</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259" w:name="page260"/>
    <w:bookmarkEnd w:id="25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 The Depositary shall not issue ADSs prior to the receipt of Shares or deliver Shares prior to the receipt and cancellation of ADSs.</w:t>
      </w:r>
    </w:p>
    <w:p>
      <w:pPr>
        <w:spacing w:after="0" w:line="225"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Lost Receipts, etc</w:t>
      </w:r>
      <w:r>
        <w:rPr>
          <w:rFonts w:ascii="Times New Roman" w:cs="Times New Roman" w:eastAsia="Times New Roman" w:hAnsi="Times New Roman"/>
          <w:sz w:val="18"/>
          <w:szCs w:val="18"/>
          <w:color w:val="auto"/>
        </w:rPr>
        <w:t>. To the extent the Depositary has issued Receipts in physical certificated form, in case any Receipt shall be mutilated, destroyed, lost or stolen, unless the Depositary has notice that such ADR has been acquired by a bona fide purchaser, subject to Section 5.9 hereof, the Depositary shall execute and Deliver a new Receipt (which, in the discretion of the Depositary may be issued through any book-entry system, including, without limitation, DRS/Profile, unless specifically requested otherwise) in exchange and substitution for such mutilated Receipt upon cancellation thereof, or in lieu of and in substitution for such destroyed, lost or stolen Receipt. Before the Depositary shall execute and Deliver a new Receipt in substitution for a destroyed, lost or stolen Receipt, the Holder thereof shall have (a) filed with the Depositary (i) a request for such execution and Delivery before the Depositary has notice that the Receipt has been acquired by a bona fide purchaser and (ii) a sufficient indemnity bond in form and amount acceptable to the Depositary and (b) satisfied any other reasonable requirements imposed by the Depositary.</w:t>
      </w:r>
    </w:p>
    <w:p>
      <w:pPr>
        <w:spacing w:after="0" w:line="192"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Cancellation and Destruction of Surrendered Receipts</w:t>
      </w:r>
      <w:r>
        <w:rPr>
          <w:rFonts w:ascii="Times New Roman" w:cs="Times New Roman" w:eastAsia="Times New Roman" w:hAnsi="Times New Roman"/>
          <w:sz w:val="18"/>
          <w:szCs w:val="18"/>
          <w:color w:val="auto"/>
        </w:rPr>
        <w:t>. All Receipts surrendered to the Depositary shall be cancelled by the Depositary. The Depositary is authorized to destroy Receipts so cancelled in accordance with its customary practices. Cancelled Receipts shall not be entitled to any benefits under this Deposit Agreement or be valid or obligatory for any purpose.</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Maintenance of Records</w:t>
      </w:r>
      <w:r>
        <w:rPr>
          <w:rFonts w:ascii="Times New Roman" w:cs="Times New Roman" w:eastAsia="Times New Roman" w:hAnsi="Times New Roman"/>
          <w:sz w:val="18"/>
          <w:szCs w:val="18"/>
          <w:color w:val="auto"/>
        </w:rPr>
        <w:t>. The Depositary agrees to maintain records of all Receipts surrendered and Deposited Securities withdrawn under Section 2.6, substitute Receipts Delivered under Section 2.8 and cancelled or destroyed Receipts under Section 2.9, in keeping with the procedures ordinarily followed by stock transfer agents located in the United States.</w:t>
      </w:r>
    </w:p>
    <w:p>
      <w:pPr>
        <w:spacing w:after="0" w:line="176"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Restricted ADSs</w:t>
      </w:r>
      <w:r>
        <w:rPr>
          <w:rFonts w:ascii="Times New Roman" w:cs="Times New Roman" w:eastAsia="Times New Roman" w:hAnsi="Times New Roman"/>
          <w:sz w:val="18"/>
          <w:szCs w:val="18"/>
          <w:color w:val="auto"/>
        </w:rPr>
        <w:t>. At the request and expense of the Company, or at the request and expense of a holder of Shares and with the written consent of the Company, and notwithstanding anything to the contrary in this Deposit Agreement, the Depositary may establish procedures permitting a deposit of Shares that are or may be Restricted Securities (“</w:t>
      </w:r>
      <w:r>
        <w:rPr>
          <w:rFonts w:ascii="Times New Roman" w:cs="Times New Roman" w:eastAsia="Times New Roman" w:hAnsi="Times New Roman"/>
          <w:sz w:val="18"/>
          <w:szCs w:val="18"/>
          <w:b w:val="1"/>
          <w:bCs w:val="1"/>
          <w:color w:val="auto"/>
        </w:rPr>
        <w:t>Restricted Shares</w:t>
      </w:r>
      <w:r>
        <w:rPr>
          <w:rFonts w:ascii="Times New Roman" w:cs="Times New Roman" w:eastAsia="Times New Roman" w:hAnsi="Times New Roman"/>
          <w:sz w:val="18"/>
          <w:szCs w:val="18"/>
          <w:color w:val="auto"/>
        </w:rPr>
        <w:t>”) and the Delivery of restricted American Depositary Shares (“</w:t>
      </w:r>
      <w:r>
        <w:rPr>
          <w:rFonts w:ascii="Times New Roman" w:cs="Times New Roman" w:eastAsia="Times New Roman" w:hAnsi="Times New Roman"/>
          <w:sz w:val="18"/>
          <w:szCs w:val="18"/>
          <w:b w:val="1"/>
          <w:bCs w:val="1"/>
          <w:color w:val="auto"/>
        </w:rPr>
        <w:t>Restricted ADSs</w:t>
      </w:r>
      <w:r>
        <w:rPr>
          <w:rFonts w:ascii="Times New Roman" w:cs="Times New Roman" w:eastAsia="Times New Roman" w:hAnsi="Times New Roman"/>
          <w:sz w:val="18"/>
          <w:szCs w:val="18"/>
          <w:color w:val="auto"/>
        </w:rPr>
        <w:t>”, the ADRs evidencing such Restricted ADSs being the “</w:t>
      </w:r>
      <w:r>
        <w:rPr>
          <w:rFonts w:ascii="Times New Roman" w:cs="Times New Roman" w:eastAsia="Times New Roman" w:hAnsi="Times New Roman"/>
          <w:sz w:val="18"/>
          <w:szCs w:val="18"/>
          <w:b w:val="1"/>
          <w:bCs w:val="1"/>
          <w:color w:val="auto"/>
        </w:rPr>
        <w:t>Restricted ADRs</w:t>
      </w:r>
      <w:r>
        <w:rPr>
          <w:rFonts w:ascii="Times New Roman" w:cs="Times New Roman" w:eastAsia="Times New Roman" w:hAnsi="Times New Roman"/>
          <w:sz w:val="18"/>
          <w:szCs w:val="18"/>
          <w:color w:val="auto"/>
        </w:rPr>
        <w:t>”) representing those Restricted Shares as provided in this Section 2.11. Such procedures shall also govern the removal of the Restrictive Legend (as defined below) from Restricted ADRs, the transfer of Restricted ADRs and the Restricted ADSs evidenced thereby, and the cancellation of Restricted ADRs and withdrawal of Deposited Securities (including Restricted Shares).</w:t>
      </w:r>
    </w:p>
    <w:p>
      <w:pPr>
        <w:spacing w:after="0" w:line="189" w:lineRule="exact"/>
        <w:rPr>
          <w:sz w:val="20"/>
          <w:szCs w:val="20"/>
          <w:color w:val="auto"/>
        </w:rPr>
      </w:pPr>
    </w:p>
    <w:p>
      <w:pPr>
        <w:ind w:right="100" w:firstLine="987"/>
        <w:spacing w:after="0" w:line="274" w:lineRule="auto"/>
        <w:tabs>
          <w:tab w:leader="none" w:pos="1236"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assist the Depositary in the establishment of such procedures and agrees that it shall take all steps necessary and reasonably satisfactory to the Depositary to ensure that deposits of Restricted Shares, issuances and transfers of Restricted ADRs and the Restricted ADSs evidenced thereby, and cancellations of Restricted ADRs and withdrawals of Deposited Securities (including Restricted Shares) pursuant to such procedures do not violate the provisions of the Securities Act or any other applicable laws. Depositors of Restricted Shares, holders and transferees of Restricted ADRs and the Restricted ADSs evidenced thereby, and the Company may be required to provide such written certifications and instructions as the Depositary or the Company deem necessary, as well as an appropriate Opinion of Counsel in the Cayman Islands and the United States.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260" w:name="page261"/>
    <w:bookmarkEnd w:id="260"/>
    <w:p>
      <w:pPr>
        <w:ind w:right="160" w:firstLine="987"/>
        <w:spacing w:after="0" w:line="266" w:lineRule="auto"/>
        <w:tabs>
          <w:tab w:leader="none" w:pos="1246"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Restricted ADSs shall not be eligible for inclusion in any book- entry settlement system, including, without limitation, DTC, and shall be segregated on the Depositary’s register as a class of securities separate from, and not fungible with, outstanding American Depositary Shares that are not Restricted ADSs so that Restricted ADSs shall represent interests only in the corresponding Restricted Shares.</w:t>
      </w:r>
    </w:p>
    <w:p>
      <w:pPr>
        <w:spacing w:after="0" w:line="175" w:lineRule="exact"/>
        <w:rPr>
          <w:rFonts w:ascii="Times New Roman" w:cs="Times New Roman" w:eastAsia="Times New Roman" w:hAnsi="Times New Roman"/>
          <w:sz w:val="18"/>
          <w:szCs w:val="18"/>
          <w:color w:val="auto"/>
        </w:rPr>
      </w:pPr>
    </w:p>
    <w:p>
      <w:pPr>
        <w:ind w:firstLine="987"/>
        <w:spacing w:after="0" w:line="281" w:lineRule="auto"/>
        <w:tabs>
          <w:tab w:leader="none" w:pos="1236" w:val="left"/>
        </w:tabs>
        <w:numPr>
          <w:ilvl w:val="0"/>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the deposit of Restricted Shares, the depositor shall deliver to the Depositary a delivery order that (i) discloses or acknowledges all restrictions on transferability of the Restricted Shares (and to that extent need not represent and warrant that the deposited Shares are not Restricted Securities), and (ii) provides that the depositor agrees that the Restricted ADSs will be subject to a specified legend in a form provided by the Company and satisfactory to the Depositary (the “</w:t>
      </w:r>
      <w:r>
        <w:rPr>
          <w:rFonts w:ascii="Times New Roman" w:cs="Times New Roman" w:eastAsia="Times New Roman" w:hAnsi="Times New Roman"/>
          <w:sz w:val="17"/>
          <w:szCs w:val="17"/>
          <w:b w:val="1"/>
          <w:bCs w:val="1"/>
          <w:color w:val="auto"/>
        </w:rPr>
        <w:t>Restrictive Legend</w:t>
      </w:r>
      <w:r>
        <w:rPr>
          <w:rFonts w:ascii="Times New Roman" w:cs="Times New Roman" w:eastAsia="Times New Roman" w:hAnsi="Times New Roman"/>
          <w:sz w:val="17"/>
          <w:szCs w:val="17"/>
          <w:color w:val="auto"/>
        </w:rPr>
        <w:t>”) that describes those restrictions and agrees to comply with those restrictions.</w:t>
      </w:r>
    </w:p>
    <w:p>
      <w:pPr>
        <w:spacing w:after="0" w:line="164" w:lineRule="exact"/>
        <w:rPr>
          <w:rFonts w:ascii="Times New Roman" w:cs="Times New Roman" w:eastAsia="Times New Roman" w:hAnsi="Times New Roman"/>
          <w:sz w:val="17"/>
          <w:szCs w:val="17"/>
          <w:color w:val="auto"/>
        </w:rPr>
      </w:pPr>
    </w:p>
    <w:p>
      <w:pPr>
        <w:ind w:right="40" w:firstLine="987"/>
        <w:spacing w:after="0" w:line="255" w:lineRule="auto"/>
        <w:tabs>
          <w:tab w:leader="none" w:pos="1246"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Section 2.11 and except as required by applicable law, the Restricted ADRs and the Restricted ADSs evidenced thereby shall be treated as ADRs and ADSs issued outstanding under the terms of this Deposit Agreement, all provisions of this Deposit Agreement shall apply to Restricted ADSs. In the event that, in determining the rights and obligations of parties hereto with respect to any Restricted ADSs, any conflict arises between (i) the terms of this Deposit Agreement (other than this Section 2.11) and (ii) the terms of this Section 2.11 or of the applicable Restricted ADR, the terms and conditions set forth in this Section 2.11 and of the Restricted ADR shall be controlling and shall govern the rights and obligations of the parties to this Deposit Agreement pertaining to the deposited Restricted Shares, the Restricted ADSs and Restricted ADRs.</w:t>
      </w:r>
    </w:p>
    <w:p>
      <w:pPr>
        <w:spacing w:after="0" w:line="200" w:lineRule="exact"/>
        <w:rPr>
          <w:sz w:val="20"/>
          <w:szCs w:val="20"/>
          <w:color w:val="auto"/>
        </w:rPr>
      </w:pPr>
    </w:p>
    <w:p>
      <w:pPr>
        <w:spacing w:after="0" w:line="20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1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CERTAIN OBLIGATIONS OF 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BENEFICIAL OWNERS OF RECEIPTS</w:t>
      </w:r>
    </w:p>
    <w:p>
      <w:pPr>
        <w:spacing w:after="0" w:line="207"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Proofs, Certificates and Other Information</w:t>
      </w:r>
      <w:r>
        <w:rPr>
          <w:rFonts w:ascii="Times New Roman" w:cs="Times New Roman" w:eastAsia="Times New Roman" w:hAnsi="Times New Roman"/>
          <w:sz w:val="18"/>
          <w:szCs w:val="18"/>
          <w:color w:val="auto"/>
        </w:rPr>
        <w:t>. Any person presenting Shares for deposit shall provide, any Holder and any Beneficial Owner may be required to provide, and every Holder and Beneficial Owner agrees, from time to time to provide to the Depositary or the Custodian such proof of citizenship or residence, taxpayer status, payment of all applicable taxes or other governmental charges, exchange control approval, legal or beneficial ownership of ADSs and Deposited Securities, compliance with applicable laws and the terms of this Deposit Agreement and the provisions of, or governing, the Deposited Securities or other information, to execute such certifications and to make such representations and warranties and to provide such other information and documentation as the Depositary may deem necessary or proper or as the Company may reasonably require by written request to the Depositary consistent with its obligations hereunder. The Depositary and the Registrar, as applicable, may, and at the reasonable written request of the Company shall, withhold the execution or Delivery or registration of transfer of any Receipt or the distribution or sale of any dividend or other distribution of rights or of the proceeds thereof, or to the extent not limited by the terms of Section 7.11 hereof, the Delivery of any Deposited Securities, until such proof or other information is filed or such certifications are executed, or such representations and warranties are made, or such other documentation or information provided, in each case to the Depositary’s and the Company’s satisfaction. The Depositary shall from time to time on the written request of the Company advise the Company of the availability of any such proofs, certificates or other information and shall, at the Company’s sole expense, provide or otherwise make available copies thereof to the Company upon written request therefor by the Company, unless such disclosure is prohibited by law. Each Holder and Beneficial Owner agrees to provide, any information requested by the Company or the Depositary pursuant to this Section 3.1.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261" w:name="page262"/>
    <w:bookmarkEnd w:id="261"/>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Every Holder and Beneficial Owner agrees to indemnify the Depositary, the Company, the Custodian, the Agents and each of their respective directors, officers, employees, agents and Affiliates against, and to hold each of them harmless from, any Losses which any of them may incur or which may be made against any of them as a result of or in connection with any inaccuracy in or omission from any such proof, certificate, representation, warranty, information or document furnished by or on behalf of such Holder and/or Beneficial Owner or as a result of any such failure to furnish any of the foregoing.</w:t>
      </w:r>
    </w:p>
    <w:p>
      <w:pPr>
        <w:spacing w:after="0" w:line="183" w:lineRule="exact"/>
        <w:rPr>
          <w:sz w:val="20"/>
          <w:szCs w:val="20"/>
          <w:color w:val="auto"/>
        </w:rPr>
      </w:pPr>
    </w:p>
    <w:p>
      <w:pPr>
        <w:ind w:right="780" w:firstLine="440"/>
        <w:spacing w:after="0" w:line="282" w:lineRule="auto"/>
        <w:rPr>
          <w:sz w:val="20"/>
          <w:szCs w:val="20"/>
          <w:color w:val="auto"/>
        </w:rPr>
      </w:pPr>
      <w:r>
        <w:rPr>
          <w:rFonts w:ascii="Times New Roman" w:cs="Times New Roman" w:eastAsia="Times New Roman" w:hAnsi="Times New Roman"/>
          <w:sz w:val="18"/>
          <w:szCs w:val="18"/>
          <w:color w:val="auto"/>
        </w:rPr>
        <w:t>The obligations of Holders and Beneficial Owners under Section 3.1 shall survive any transfer of Receipts, any surrender of Receipts or withdrawal of Deposited Securities or the termination of this Deposit Agreement.</w:t>
      </w:r>
    </w:p>
    <w:p>
      <w:pPr>
        <w:spacing w:after="0" w:line="162"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Liability for Taxes and Other Charges</w:t>
      </w:r>
      <w:r>
        <w:rPr>
          <w:rFonts w:ascii="Times New Roman" w:cs="Times New Roman" w:eastAsia="Times New Roman" w:hAnsi="Times New Roman"/>
          <w:sz w:val="18"/>
          <w:szCs w:val="18"/>
          <w:color w:val="auto"/>
        </w:rPr>
        <w:t>. If any present or future tax or other governmental charge shall become payable by the Depositary or the Custodian with respect to any ADR or any Deposited Securities or American Depositary Shares, such tax or other governmental charge shall be payable by the Holders and Beneficial Owners to the Depositary and such Holders and Beneficial Owners shall be deemed liable therefor. The Company, the Custodian and/or the Depositary may withhold or deduct from any distributions made in respect of Deposited Securities and may sell for the account of a Holder and/or Beneficial Owner any or all of the Deposited Securities and apply such distributions and sale proceeds in payment of such taxes (including applicable interest and penalties) and charges, with the Holder and the Beneficial Owner remaining fully liable for any deficiency. In addition to any other remedies available to it, the Depositary and the Custodian may refuse the deposit of Shares, and the Depositary may refuse to issue ADSs, to Deliver ADRs, to register the transfer, split-up or combination of ADRs and (subject to Section 7.11 hereof) the withdrawal of Deposited Securities, until payment in full of such tax, charge, penalty or interest is received. The liability of Holders and Beneficial Owners under this Section 3.2 shall survive any transfer of Receipts, any surrender of Receipts and withdrawal of Deposited Securities or the termination of this Deposit Agreement.</w:t>
      </w:r>
    </w:p>
    <w:p>
      <w:pPr>
        <w:spacing w:after="0" w:line="19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Representations and Warranties on Deposit of Shares</w:t>
      </w:r>
      <w:r>
        <w:rPr>
          <w:rFonts w:ascii="Times New Roman" w:cs="Times New Roman" w:eastAsia="Times New Roman" w:hAnsi="Times New Roman"/>
          <w:sz w:val="18"/>
          <w:szCs w:val="18"/>
          <w:color w:val="auto"/>
        </w:rPr>
        <w:t>. Each person depositing Shares under this Deposit Agreement shall be deemed thereby to represent and warrant that (i) such Shares and the certificates therefor are duly authorized, validly issued, fully paid, non-assessable and were legally obtained by such person, (ii) all preemptive (and similar) rights, if any, with respect to such Shares have been validly waived or exercised, (iii) the person making such deposit is duly authorized to do so, (iv) the Shares presented for deposit are free and clear of any lien, encumbrance, security interest, charge, mortgage or adverse claim and are not, and the American Depositary Shares issuable upon such deposit will not be, Restricted Securities (except as contemplated by Section 2.11), (v) the Shares presented for deposit have not been stripped of any rights or entitlements and (vi) the Shares are not subject to any lock-up agreement with the Company or other party, or the Shares are subject to a lock-up agreement but such lock-up agreement has terminated or the lock-up restrictions imposed thereunder have expired. Such representations and warranties shall survive the deposit and withdrawal of Shares, the issuance and cancellation of American Depositary Shares in respect thereof and the transfer of such American Depositary Shares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262" w:name="page263"/>
    <w:bookmarkEnd w:id="262"/>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3.4 </w:t>
      </w:r>
      <w:r>
        <w:rPr>
          <w:rFonts w:ascii="Times New Roman" w:cs="Times New Roman" w:eastAsia="Times New Roman" w:hAnsi="Times New Roman"/>
          <w:sz w:val="18"/>
          <w:szCs w:val="18"/>
          <w:u w:val="single" w:color="auto"/>
          <w:color w:val="auto"/>
        </w:rPr>
        <w:t>Compliance with Information Requests</w:t>
      </w:r>
      <w:r>
        <w:rPr>
          <w:rFonts w:ascii="Times New Roman" w:cs="Times New Roman" w:eastAsia="Times New Roman" w:hAnsi="Times New Roman"/>
          <w:sz w:val="18"/>
          <w:szCs w:val="18"/>
          <w:color w:val="auto"/>
        </w:rPr>
        <w:t>. Notwithstanding any other provision of this Deposit Agreement, the Articles of Association and applicable law, each Holder and Beneficial Owner agrees to (a) provide such information as the Company or the Depositary may request pursuant to law (including, without limitation, relevant Cayman Islands law, any applicable law of the United States, the Memorandum and Articles of Association, any resolutions of the Company’s Board of Directors adopted pursuant to the Memorandum and Articles of Association, the requirements of any markets or exchanges upon which the Shares, ADSs or Receipts are listed or traded, or to any requirements of any electronic book-entry system by which the ADSs or Receipts may be transferred), (b) be bound by and subject to applicable provisions of the laws of the Cayman Islands, the Memorandum and Articles of Association and the requirements of any markets or exchanges upon which the ADSs, Receipts or Shares are listed or traded, or pursuant to any requirements of any electronic book-entry system by which the ADSs, Receipts or Shares may be transferred, to the same extent as if such Holder and Beneficial Owner held Shares directly, in each case irrespective of whether or not they are Holders or Beneficial Owners at the time such request is made and, without limiting the generality of the foregoing, (c) comply with all applicable provisions of Cayman Islands law, the rules and requirements of any stock exchange on which the Shares are, or will be registered, traded or listed and the Articles of Association regarding any such Holder or Beneficial Owner’s interest in Shares (including the aggregate of ADSs and Shares held by each such Holder or Beneficial Owner) and/or the disclosure of interests therein, whether or not the same may be enforceable against such Holder or Beneficial Owner. The Depositary agrees to use its reasonable efforts to forward upon the request of the Company, and at the Company’s expense, any such request from the Company to the Holders and to forward to the Company any such responses to such requests received by the Depositary.</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DEPOSITED SECURITIES</w:t>
      </w:r>
    </w:p>
    <w:p>
      <w:pPr>
        <w:spacing w:after="0" w:line="22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Cash Distributions</w:t>
      </w:r>
      <w:r>
        <w:rPr>
          <w:rFonts w:ascii="Times New Roman" w:cs="Times New Roman" w:eastAsia="Times New Roman" w:hAnsi="Times New Roman"/>
          <w:sz w:val="18"/>
          <w:szCs w:val="18"/>
          <w:color w:val="auto"/>
        </w:rPr>
        <w:t>. Whenever the Depositary receives confirmation from the Custodian of receipt of any cash dividend or other cash distribution on any Deposited Securities, or receives proceeds from the sale of any Shares, rights, securities or other entitlements under the terms hereof, the Depositary will, if at the time of receipt thereof any amounts received in a Foreign Currency can in the judgment of the Depositary (pursuant to Section 4.6 hereof) be converted on a practicable basis into Dollars transferable to the United States, promptly convert or cause to be converted such cash dividend, distribution or proceeds into Dollars (on the terms described in Section 4.6 hereof) and will distribute promptly the amount thus received (net of (a) the applicable fees and charges of, and expenses incurred by, the Depositary and/or a division or Affiliate(s) of the Depositary and (b) taxes and/or governmental charges) to the Holders of record as of the ADS Record Date in proportion to the number of American Depositary Shares held by such Holders respectively as of the ADS Record Date. The Depositary shall distribute only such amount, however, as can be distributed without attributing to any Holder a fraction of one cent. Any such fractional amounts shall be rounded down to the nearest whole cent and so distributed to Holders entitled thereto. Holders and Beneficial Owners understand that in converting Foreign Currency, amounts received on conversion are calculated at a rate which exceeds the number of decimal places used by the Depositary to report distribution rates. The excess amount may be retained by the Depositary as an additional cost of conversion, irrespective of any other fees and expenses payable or owing hereunder and shall not be subject to escheatment. If the Company, the Custodian or the Depositary is required to withhold and does withhold from any cash dividend or other cash distribution in respect of any Deposited Securities an amount on account of taxes, duties or other governmental charges, the amount distributed to Holders of the ADSs representing such Deposited Securities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shall forward to the Company or its agent such information from its records as the Company may reasonably request to enable the Company or its agent to file with governmental agencies such reports as are necessary to obtain benefits under the applicable tax treaties for the Holders and Beneficial Owners of Receipts.</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40" w:top="270" w:right="499" w:bottom="1440" w:gutter="0" w:footer="0" w:header="0"/>
        </w:sectPr>
      </w:pPr>
    </w:p>
    <w:bookmarkStart w:id="263" w:name="page264"/>
    <w:bookmarkEnd w:id="263"/>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4.2 </w:t>
      </w:r>
      <w:r>
        <w:rPr>
          <w:rFonts w:ascii="Times New Roman" w:cs="Times New Roman" w:eastAsia="Times New Roman" w:hAnsi="Times New Roman"/>
          <w:sz w:val="18"/>
          <w:szCs w:val="18"/>
          <w:u w:val="single" w:color="auto"/>
          <w:color w:val="auto"/>
        </w:rPr>
        <w:t>Distribution in Shares</w:t>
      </w:r>
      <w:r>
        <w:rPr>
          <w:rFonts w:ascii="Times New Roman" w:cs="Times New Roman" w:eastAsia="Times New Roman" w:hAnsi="Times New Roman"/>
          <w:sz w:val="18"/>
          <w:szCs w:val="18"/>
          <w:color w:val="auto"/>
        </w:rPr>
        <w:t>. If any distribution upon any Deposited Securities consists of a dividend in, or free distribution of, Shares, the Company shall cause such Shares to be deposited with the Custodian and registered, as the case may be, in the name of the Depositary, the Custodian or any of their nominees. Upon receipt of confirmation of such deposit from the Custodian, the Depositary shall establish the ADS Record Date upon the terms described in Section 4.7 hereof and shall, subject to Section 5.9 hereof, either (i) distribute to the Holders as of the ADS Record Date in proportion to the number of ADSs held as of the ADS Record Date, additional ADSs, which represent in the aggregate the number of Shares received as such dividend, or free distribution, subject to the other terms of this Deposit Agreement (including, without limitation, (a) the applicable fees and charges of, and expenses incurred by, the Depositary and (b) taxes and/or governmental charges), or (ii) if additional ADSs are not so distributed, each ADS issued and outstanding after the ADS Record Date shall, to the extent permissible by law, thenceforth also represent rights and interests in the additional Shares distributed upon the Deposited Securities represented thereby (net of (a) the applicable fees and charges of, and expenses incurred by, the Depositary and (b) taxes and/or governmental charges). In lieu of Delivering fractional ADSs, the Depositary shall sell the number of Shares represented by the aggregate of such fractions and distribute the proceeds upon the terms described in Section 4.1 hereof. The Depositary may withhold any such distribution of Receipts if it has not received satisfactory assurances from the Company (including an Opinion of Counsel furnished at the expense of the Company) that such distribution does not require registration under the Securities Act or is exempt from registration under the provisions of the Securities Act. To the extent such distribution may be withheld, the Depositary may dispose of all or a portion of such distribution in such amounts and in such manner, including by public or private sale, as the Depositary deems necessary and practicable, and the Depositary shall distribute the net proceeds of any such sale (after deduction of applicable taxes and/or governmental charges and fees and charges of, and expenses incurred by, the Depositary and/or a division or Affiliate(s) of the Depositary) to Holders entitled thereto upon the terms described in Section 4.1 hereof.</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70" w:right="439" w:bottom="1440" w:gutter="0" w:footer="0" w:header="0"/>
        </w:sectPr>
      </w:pPr>
    </w:p>
    <w:bookmarkStart w:id="264" w:name="page265"/>
    <w:bookmarkEnd w:id="264"/>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4.3 </w:t>
      </w:r>
      <w:r>
        <w:rPr>
          <w:rFonts w:ascii="Times New Roman" w:cs="Times New Roman" w:eastAsia="Times New Roman" w:hAnsi="Times New Roman"/>
          <w:sz w:val="18"/>
          <w:szCs w:val="18"/>
          <w:u w:val="single" w:color="auto"/>
          <w:color w:val="auto"/>
        </w:rPr>
        <w:t>Elective Distributions in Cash or Shares</w:t>
      </w:r>
      <w:r>
        <w:rPr>
          <w:rFonts w:ascii="Times New Roman" w:cs="Times New Roman" w:eastAsia="Times New Roman" w:hAnsi="Times New Roman"/>
          <w:sz w:val="18"/>
          <w:szCs w:val="18"/>
          <w:color w:val="auto"/>
        </w:rPr>
        <w:t>. Whenever the Company intends to distribute a dividend payable at the election of the holders of Shares in cash or in additional Shares, the Company shall give notice thereof to the Depositary at least 30 days prior to the proposed distribution stating whether or not it wishes such elective distribution to be made available to Holders of ADSs. Upon receipt of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is available to Holders of ADRs, (ii) the Depositary shall have received satisfactory documentation within the terms of Section 5.7 hereof (including, without limitation, any legal opinions of counsel in any applicable jurisdiction that the Depositary in its reasonable discretion may request, at the expense of the Company) and (iii) the Depositary shall have determined that such distribution is lawful and reasonably practicable. If the above conditions are not satisfied, the Depositary shall, to the extent permitted by law, distribute to the Holders, on the basis of the same determination as is made in the local market in respect of the Shares for which no election is made, either cash upon the terms described in Section 4.1 hereof or additional ADSs representing such additional Shares upon the terms described in Section 4.2 hereof. If the above conditions are satisfied, the Depositary shall establish an ADS Record Date (on the terms described in Section 4.7 hereof) and establish procedures to enable Holders to elect the receipt of the proposed dividend in cash or in additional ADSs. The Company shall assist the Depositary in establishing such procedures to the extent necessary. Subject to Section 5.9 hereof, if a Holder elects to receive the proposed dividend in cash, the dividend shall be distributed upon the terms described in Section 4.1 hereof or in ADSs, the dividend shall be distributed upon the terms described in Section 4.2 hereof. Nothing herein shall obligate the Depositary to make available to Holders a method to receive the elective dividend in Shares (rather than ADSs). There can be no assurance that Holders generally, or any Holder in particular, will be given the opportunity to receive elective distributions on the same terms and conditions as the holders of Shares.</w:t>
      </w:r>
    </w:p>
    <w:p>
      <w:pPr>
        <w:spacing w:after="0" w:line="1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Distribution of Rights to Purchase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3" w:lineRule="auto"/>
        <w:tabs>
          <w:tab w:leader="none" w:pos="1236"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 to ADS Holders</w:t>
      </w:r>
      <w:r>
        <w:rPr>
          <w:rFonts w:ascii="Times New Roman" w:cs="Times New Roman" w:eastAsia="Times New Roman" w:hAnsi="Times New Roman"/>
          <w:sz w:val="18"/>
          <w:szCs w:val="18"/>
          <w:color w:val="auto"/>
        </w:rPr>
        <w:t>. Whenever the Company intends to distribute to the holders of the Deposited Securities rights to subscribe for additional Shares, the Company shall give notice thereof to the Depositary at least 60 days prior to the proposed distribution stating whether or not it wishes such rights to be made available to Holders of ADSs. Upon timely receipt of a notice indicating that the Company wishes such rights to be made available to Holders of ADSs, the Depositary shall consult with the Company to determine, and the Company shall determine, whether it is lawful and reasonably practicable to make such rights available to the Holders. The Depositary shall make such rights available to Holders only if (i) the Company shall have timely requested that such rights be made available to Holders, (ii) the Depositary shall have received satisfactory documentation within the terms of Section 5.7 hereof and (iii) the Depositary shall have determined that such distribution of rights is lawful and reasonably practicable. In the event any of the conditions set forth above are not satisfied, the Depositary shall proceed with the sale of the rights as contemplated in Section 4.4(b) below or, if timing or market conditions may not permit, do nothing thereby allowing such rights to lapse. In the event all conditions set forth above are satisfied, the Depositary shall establish an ADS Record Date (upon the terms described in Section 4.7 hereof) and establish procedures to distribute such rights (by means of warrants or otherwise) and to enable the Holders to exercise the rights (upon payment of applicable fees and charges of, and expenses incurred by, the Depositary and taxes and/or other governmental charges). Nothing herein shall obligate the Depositary to make available to the Holders a method to exercise such rights to subscribe for Shares (rather than ADSs).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265" w:name="page266"/>
    <w:bookmarkEnd w:id="265"/>
    <w:p>
      <w:pPr>
        <w:ind w:right="80" w:firstLine="987"/>
        <w:spacing w:after="0" w:line="254" w:lineRule="auto"/>
        <w:tabs>
          <w:tab w:leader="none" w:pos="1246"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Sale of Rights</w:t>
      </w:r>
      <w:r>
        <w:rPr>
          <w:rFonts w:ascii="Times New Roman" w:cs="Times New Roman" w:eastAsia="Times New Roman" w:hAnsi="Times New Roman"/>
          <w:sz w:val="18"/>
          <w:szCs w:val="18"/>
          <w:color w:val="auto"/>
        </w:rPr>
        <w:t>. If (i) the Company does not timely request the Depositary to make the rights available to Holders or requests that the rights not be made available to Holders, (ii) the Depositary fails to receive satisfactory documentation within the terms of Section 5.7 hereof or determines it is not lawful or reasonably practicable to make the rights available to Holders or (iii) any rights made available are not exercised and appear to be about to lapse, the Depositary shall determine whether it is lawful and reasonably practicable to sell such rights, and if it so determines that it is lawful and reasonably practicable, endeavour to sell such rights in a riskless principal capacity or otherwise, at such place and upon such terms (including public or private sale) as it may deem proper. The Company shall assist the Depositary to the extent necessary to determine such legality and practicability. The Depositary shall, upon such sale, convert and distribute proceeds of such sale (net of applicable fees and charges of, and expenses incurred by, the Depositary and/or a division or Affiliate(s) of the Depositary and taxes and/or governmental charges) upon the terms set forth in Section 4.1 hereof.</w:t>
      </w:r>
    </w:p>
    <w:p>
      <w:pPr>
        <w:spacing w:after="0" w:line="188" w:lineRule="exact"/>
        <w:rPr>
          <w:rFonts w:ascii="Times New Roman" w:cs="Times New Roman" w:eastAsia="Times New Roman" w:hAnsi="Times New Roman"/>
          <w:sz w:val="18"/>
          <w:szCs w:val="18"/>
          <w:color w:val="auto"/>
        </w:rPr>
      </w:pPr>
    </w:p>
    <w:p>
      <w:pPr>
        <w:ind w:right="160" w:firstLine="987"/>
        <w:spacing w:after="0" w:line="282" w:lineRule="auto"/>
        <w:tabs>
          <w:tab w:leader="none" w:pos="1236"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Lapse of Rights</w:t>
      </w:r>
      <w:r>
        <w:rPr>
          <w:rFonts w:ascii="Times New Roman" w:cs="Times New Roman" w:eastAsia="Times New Roman" w:hAnsi="Times New Roman"/>
          <w:sz w:val="18"/>
          <w:szCs w:val="18"/>
          <w:color w:val="auto"/>
        </w:rPr>
        <w:t>. If the Depositary is unable to make any rights available to Holders upon the terms described in Section 4.4(a) hereof or to arrange for the sale of the rights upon the terms described in Section 4.4(b) hereof, the Depositary shall allow such rights to lapse.</w:t>
      </w:r>
    </w:p>
    <w:p>
      <w:pPr>
        <w:spacing w:after="0" w:line="16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Depositary shall not be responsible for (i) any failure to determine that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Notwithstanding anything to the contrary in this Section 4.4,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covering such offering is in effect or (ii) unless the Company furnishes at its expense the Depositary with opinion(s) of counsel for the Company in the United States and counsel to the Company in any other applicable country in which rights would be distributed, in each case satisfactory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property (including rights) an amount on account of taxes and/or other governmental charges, the amount distributed to the Holders shall be reduced accordingly. In the event that the Depositary determines that any distribution in property (including Shares and rights to subscribe therefor) is subject to any tax or other governmental charges which the Depositary is obligated to withhold, the Depositary may dispose of all or a portion of such property (including Shares and rights to subscribe therefor) in such amounts and in such manner, including by public or private sale, as the Depositary deems necessary and practicable to pay any such taxes and/or charges.</w:t>
      </w:r>
    </w:p>
    <w:p>
      <w:pPr>
        <w:spacing w:after="0" w:line="190"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be given the opportunity to exercise rights on the same terms and conditions as the holders of Shares or be able to exercise such rights. Nothing herein shall obligate the Company to file any registration statement in respect of any rights or Shares or other securities to be acquired upon the exercise of such rights or otherwise to register or qualify the offer or sale of such rights or securities under the applicable law of any other jurisdiction for any purpose.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66" w:name="page267"/>
    <w:bookmarkEnd w:id="266"/>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4.5 </w:t>
      </w:r>
      <w:r>
        <w:rPr>
          <w:rFonts w:ascii="Times New Roman" w:cs="Times New Roman" w:eastAsia="Times New Roman" w:hAnsi="Times New Roman"/>
          <w:sz w:val="18"/>
          <w:szCs w:val="18"/>
          <w:u w:val="single" w:color="auto"/>
          <w:color w:val="auto"/>
        </w:rPr>
        <w:t>Distributions Other Than Cash, Shares or Rights to Purchase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87"/>
        <w:spacing w:after="0" w:line="255" w:lineRule="auto"/>
        <w:tabs>
          <w:tab w:leader="none" w:pos="124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Company intends to distribute to the holders of Deposited Securities property other than cash, Shares or rights to purchase additional Shares, the Company shall give notice thereof to the Depositary at least 30 days prior to the proposed distribution and shall indicate whether or not it wishes such distribution to be made to Holders of ADSs. Upon receipt of a notice indicating that the Company wishes such distribution be made to Holders of ADSs, the Depositary shall determine whether such distribution to Holders is lawful and practicable. The Depositary shall not make such distribution unless (i) the Company shall have timely requested the Depositary to make such distribution to Holders, (ii) the Depositary shall have received satisfactory documentation within the terms of Section 5.7 hereof and (iii) the Depositary shall have determined that such distribution is lawful and reasonably practicable.</w:t>
      </w:r>
    </w:p>
    <w:p>
      <w:pPr>
        <w:spacing w:after="0" w:line="188" w:lineRule="exact"/>
        <w:rPr>
          <w:rFonts w:ascii="Times New Roman" w:cs="Times New Roman" w:eastAsia="Times New Roman" w:hAnsi="Times New Roman"/>
          <w:sz w:val="18"/>
          <w:szCs w:val="18"/>
          <w:color w:val="auto"/>
        </w:rPr>
      </w:pPr>
    </w:p>
    <w:p>
      <w:pPr>
        <w:ind w:left="4" w:right="20" w:firstLine="987"/>
        <w:spacing w:after="0" w:line="255" w:lineRule="auto"/>
        <w:tabs>
          <w:tab w:leader="none" w:pos="125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satisfactory documentation and the request of the Company to distribute property to Holders of ADSs and after making the requisite determinations set forth in (a) above, the Depositary may distribute the property so received to the Holders of record as of the ADS Record Date, in proportion to the number of ADSs held by such Holders respectively and in such manner as the Depositary may deem practicable for accomplishing such distribution (i) upon receipt of payment or net of the applicable fees and charges of, and expenses incurred by, the Depositary and</w:t>
      </w:r>
    </w:p>
    <w:p>
      <w:pPr>
        <w:spacing w:after="0" w:line="2" w:lineRule="exact"/>
        <w:rPr>
          <w:rFonts w:ascii="Times New Roman" w:cs="Times New Roman" w:eastAsia="Times New Roman" w:hAnsi="Times New Roman"/>
          <w:sz w:val="18"/>
          <w:szCs w:val="18"/>
          <w:color w:val="auto"/>
        </w:rPr>
      </w:pPr>
    </w:p>
    <w:p>
      <w:pPr>
        <w:ind w:left="4" w:right="120" w:hanging="4"/>
        <w:spacing w:after="0" w:line="255" w:lineRule="auto"/>
        <w:tabs>
          <w:tab w:leader="none" w:pos="269"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any taxes and/or other governmental charges. The Depositary may dispose of all or a portion of the property so distributed and deposited, in such amounts and in such manner (including public or private sale) as the Depositary may deem practicable or necessary to satisfy any taxes (including applicable interest and penalties) and other governmental charges applicable to the distribution.</w:t>
      </w:r>
    </w:p>
    <w:p>
      <w:pPr>
        <w:spacing w:after="0" w:line="185" w:lineRule="exact"/>
        <w:rPr>
          <w:rFonts w:ascii="Times New Roman" w:cs="Times New Roman" w:eastAsia="Times New Roman" w:hAnsi="Times New Roman"/>
          <w:sz w:val="18"/>
          <w:szCs w:val="18"/>
          <w:color w:val="auto"/>
        </w:rPr>
      </w:pPr>
    </w:p>
    <w:p>
      <w:pPr>
        <w:ind w:left="4" w:firstLine="987"/>
        <w:spacing w:after="0" w:line="254" w:lineRule="auto"/>
        <w:tabs>
          <w:tab w:leader="none" w:pos="124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Company does not request the Depositary to make such distribution to Holders or requests the Depositary not to make such distribution to Holders, (ii) the Depositary does not receive satisfactory documentation within the terms of Section 5.7 hereof or (iii) the Depositary determines that all or a portion of such distribution is not reasonably practicable or feasible, the Depositary shall endeavor to sell or cause such property to be sold in a public or private sale, at such place or places and upon such terms as it may deem proper and shall distribute the net proceeds, if any, of such sale received by the Depositary (net of applicable fees and charges of, and expenses incurred by, the Depositary and/or a division or Affiliate(s) of the Depositary and taxes and/or governmental charges) to the Holders as of the ADS Record Date upon the terms of Section 4.1 hereof. If the Depositary is unable to sell such property, the Depositary may dispose of such property in any way it deems reasonably practicable under the circumstances for nominal or no consideration and Holders and Beneficial Owners shall have no rights thereto or arising therefrom.</w:t>
      </w:r>
    </w:p>
    <w:p>
      <w:pPr>
        <w:spacing w:after="0" w:line="192" w:lineRule="exact"/>
        <w:rPr>
          <w:sz w:val="20"/>
          <w:szCs w:val="20"/>
          <w:color w:val="auto"/>
        </w:rPr>
      </w:pPr>
    </w:p>
    <w:p>
      <w:pPr>
        <w:ind w:left="4"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Conversion of Foreign Currency</w:t>
      </w:r>
      <w:r>
        <w:rPr>
          <w:rFonts w:ascii="Times New Roman" w:cs="Times New Roman" w:eastAsia="Times New Roman" w:hAnsi="Times New Roman"/>
          <w:sz w:val="18"/>
          <w:szCs w:val="18"/>
          <w:color w:val="auto"/>
        </w:rPr>
        <w:t>. Whenever the Depositary or the Custodian shall receive Foreign Currency, by way of dividends or other distributions or the net proceeds from the sale of securities, property or rights, and in the judgment of the Depositary such Foreign Currency can at such time be converted on a practicable basis (by sale or in any other manner that it may determine in accordance with applicable law) into Dollars transferable to the United States and distributable to the Holders entitled thereto, the Depositary shall convert or cause to be converted, by sale or in any other manner that it may determine, such Foreign Currency into Dollars, and shall distribute such Dollars (net of any fees, expenses, taxes and/or other governmental charges incurred in the process of such conversion) in accordance with the terms of the applicable sections of this Deposit Agreement. If the Depositary shall have distributed warrants or other instruments that entitle the holders thereof to such Dollars, the Depositary shall distribute such Dollars to the holders of such warrants and/or instruments upon surrender thereof for cancellation, in either case without liability for interest thereon. Such distribution may be made upon an averaged or other practicable basis without regard to any distinctions among Holders on account of exchange restrictions, the date of delivery of any Receipt or otherwise.</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4"/>
          </w:cols>
          <w:pgMar w:left="436" w:top="270" w:right="439" w:bottom="1440" w:gutter="0" w:footer="0" w:header="0"/>
        </w:sectPr>
      </w:pPr>
    </w:p>
    <w:bookmarkStart w:id="267" w:name="page268"/>
    <w:bookmarkEnd w:id="267"/>
    <w:p>
      <w:pPr>
        <w:ind w:left="4" w:right="2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converting Foreign Currency, amounts received on conversion may be calculated at a rate which exceeds the number of decimal places used by the Depositary to report distribution rates (which in any case will not be less than two decimal places). Any excess amount may be retained by the Depositary as an additional cost of conversion, irrespective of any other fees and expenses payable or owing hereunder and shall not be subject to escheatment.</w:t>
      </w:r>
    </w:p>
    <w:p>
      <w:pPr>
        <w:spacing w:after="0" w:line="180" w:lineRule="exact"/>
        <w:rPr>
          <w:sz w:val="20"/>
          <w:szCs w:val="20"/>
          <w:color w:val="auto"/>
        </w:rPr>
      </w:pPr>
    </w:p>
    <w:p>
      <w:pPr>
        <w:ind w:left="4" w:right="200"/>
        <w:spacing w:after="0" w:line="266" w:lineRule="auto"/>
        <w:rPr>
          <w:sz w:val="20"/>
          <w:szCs w:val="20"/>
          <w:color w:val="auto"/>
        </w:rPr>
      </w:pPr>
      <w:r>
        <w:rPr>
          <w:rFonts w:ascii="Times New Roman" w:cs="Times New Roman" w:eastAsia="Times New Roman" w:hAnsi="Times New Roman"/>
          <w:sz w:val="18"/>
          <w:szCs w:val="18"/>
          <w:color w:val="auto"/>
        </w:rPr>
        <w:t>If such conversion or distribution can be effected only with the approval or license of any government or agency thereof, the Depositary may file such application for approval or license, if any, as it may deem necessary, practicable and at nominal cost and expense. Nothing herein shall obligate the Depositary to file or cause to be filed, or to seek effectiveness of any such application or license.</w:t>
      </w:r>
    </w:p>
    <w:p>
      <w:pPr>
        <w:spacing w:after="0" w:line="176" w:lineRule="exact"/>
        <w:rPr>
          <w:sz w:val="20"/>
          <w:szCs w:val="20"/>
          <w:color w:val="auto"/>
        </w:rPr>
      </w:pPr>
    </w:p>
    <w:p>
      <w:pPr>
        <w:ind w:left="4"/>
        <w:spacing w:after="0" w:line="269" w:lineRule="auto"/>
        <w:rPr>
          <w:sz w:val="20"/>
          <w:szCs w:val="20"/>
          <w:color w:val="auto"/>
        </w:rPr>
      </w:pPr>
      <w:r>
        <w:rPr>
          <w:rFonts w:ascii="Times New Roman" w:cs="Times New Roman" w:eastAsia="Times New Roman" w:hAnsi="Times New Roman"/>
          <w:sz w:val="17"/>
          <w:szCs w:val="17"/>
          <w:color w:val="auto"/>
        </w:rPr>
        <w:t>If at any time the Depositary shall determine that in its judgment the conversion of any Foreign Currency and the transfer and distribution of proceeds of such conversion received by the Depositary is not practical or lawful, or if any approval or license of any governmental authority or agency thereof that is required for such conversion, transfer and distribution is denied, or not obtainable at a reasonable cost, within a reasonable period or otherwise sought, the Depositary shall, in its sole discretion but subject to applicable laws and regulations, either (i) distribute the Foreign Currency (or an appropriate document evidencing the right to receive such Foreign Currency) received by the Depositary to the Holders entitled to receive such Foreign Currency or</w:t>
      </w:r>
    </w:p>
    <w:p>
      <w:pPr>
        <w:spacing w:after="0" w:line="3" w:lineRule="exact"/>
        <w:rPr>
          <w:sz w:val="20"/>
          <w:szCs w:val="20"/>
          <w:color w:val="auto"/>
        </w:rPr>
      </w:pPr>
    </w:p>
    <w:p>
      <w:pPr>
        <w:ind w:left="4" w:right="340" w:hanging="4"/>
        <w:spacing w:after="0" w:line="260" w:lineRule="auto"/>
        <w:tabs>
          <w:tab w:leader="none" w:pos="269"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such Foreign Currency uninvested and without liability for interest thereon for the respective accounts of the Holders entitled to receive the same.</w:t>
      </w:r>
    </w:p>
    <w:p>
      <w:pPr>
        <w:spacing w:after="0" w:line="1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Holders and Beneficial Owners are directed to refer to Section 7.9 hereof for certain disclosure related to conversion of Foreign Currency.</w:t>
      </w:r>
    </w:p>
    <w:p>
      <w:pPr>
        <w:spacing w:after="0" w:line="225"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Fixing of Record Date</w:t>
      </w:r>
      <w:r>
        <w:rPr>
          <w:rFonts w:ascii="Times New Roman" w:cs="Times New Roman" w:eastAsia="Times New Roman" w:hAnsi="Times New Roman"/>
          <w:sz w:val="18"/>
          <w:szCs w:val="18"/>
          <w:color w:val="auto"/>
        </w:rPr>
        <w:t>. Whenever necessary in connection with any distribution (whether in cash, Shares, rights, or other distribution), or whenever for any reason the Depositary causes a change in the number of Shares that are represented by each American Depositary Share, or whenever the Depositary shall receive notice of any meeting of or solicitation of holders of Shares or other Deposited Securities, or whenever the Depositary shall find it necessary or convenient, the Depositary shall fix a record date (the “ADS Record Date”), as close as practicable to the record date fixed by the Company with respect to the Shares (if applicable), for the determination of the Holders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American Depositary Share or for any other reason. Subject to applicable law and the provisions of Sections 4.1 through 4.6 hereof and to the other terms and conditions of this Deposit Agreement, only the Holders of record at the close of business in New York on such ADS Record Date shall be entitled to receive such distribution, to give such voting instructions, to receive such notice or solicitation, or otherwise take action.</w:t>
      </w:r>
    </w:p>
    <w:p>
      <w:pPr>
        <w:spacing w:after="0" w:line="1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70" w:right="459" w:bottom="1440" w:gutter="0" w:footer="0" w:header="0"/>
        </w:sectPr>
      </w:pPr>
    </w:p>
    <w:bookmarkStart w:id="268" w:name="page269"/>
    <w:bookmarkEnd w:id="268"/>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4.8 </w:t>
      </w:r>
      <w:r>
        <w:rPr>
          <w:rFonts w:ascii="Times New Roman" w:cs="Times New Roman" w:eastAsia="Times New Roman" w:hAnsi="Times New Roman"/>
          <w:sz w:val="18"/>
          <w:szCs w:val="18"/>
          <w:u w:val="single" w:color="auto"/>
          <w:color w:val="auto"/>
        </w:rPr>
        <w:t>Voting of Deposited Securities</w:t>
      </w:r>
      <w:r>
        <w:rPr>
          <w:rFonts w:ascii="Times New Roman" w:cs="Times New Roman" w:eastAsia="Times New Roman" w:hAnsi="Times New Roman"/>
          <w:sz w:val="18"/>
          <w:szCs w:val="18"/>
          <w:color w:val="auto"/>
        </w:rPr>
        <w:t>. Subject to the next sentence, as soon as practicable after receipt of notice of any meeting at which the holders of Deposited Securities are entitled to vote, or of solicitation of consents or proxies from holders of Deposited Securities, the Depositary shall fix the ADS Record Date in respect of such meeting or such solicitation of consents or proxies. The Depositary shall, if requested by the Company in writing in a timely manner (the Depositary having no obligation to take any further action if the request shall not have been received by the Depositary at least 30 Business Days prior to the date of such vote or meeting) and at the Company’s expense, and provided no U.S. legal prohibitions exist, mail by regular, ordinary mail delivery (or by electronic mail or as otherwise may be agreed between the Company and the Depositary in writing from time to time) or otherwise distribute as soon as practicable after receipt thereof to Holders as of the ADS Record Date: (a) such notice of meeting or solicitation of consent or proxy; (b) a statement that the Holders at the close of business on the ADS Record Date will be entitled, subject to any applicable law, the provisions of this Deposit Agreement, the Company’s Memorandum and Articles of Association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American Depositary Shares; and (c) a brief statement as to the manner in which such voting instructions may be given to the Depositary, or in which instructions may be deemed to have been given in accordance with this Section 4.8, including an express indication that instructions may be given (or be deemed to have been given in accordance with the immediately following paragraph of this section if no instruction is received) to the Depositary to give a discretionary proxy to a person or persons designated by the Company. Voting instructions may be given only in respect of a number of American Depositary Shares representing an integral number of Deposited Securities. Upon the timely receipt of voting instructions of a Holder on the ADS Record Date in the manner specified by the Depositary, the Depositary shall endeavor, insofar as practicable and permitted under applicable law, the provisions of this Deposit Agreement, the Company’s Memorandum and Articles of Association and the provisions of or governing the Deposited Securities, to vote or cause the Custodian to vote the Deposited Securities (in person or by proxy) represented by American Depositary Shares evidenced by such Receipt in accordance with such voting instructions.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event that (i) the Depositary timely receives voting instructions from a Holder which fail to specify the manner in which the Depositary is to vote the Deposited Securities represented by such Holder’s ADSs or (ii) no timely instructions are received by the Depositary from a Holder with respect to any of the Deposited Securities represented by the ADSs held by such Holder on the ADS Record Date, the Depositary shall (unless otherwise specified in the notice distributed to Holders) deem such Holder to have instructed the Depositary to give a discretionary proxy to a person designated by the Company with respect to such Deposited Securities and the Depositary shall give a discretionary proxy to a person designated by the Company to vote such Deposited Securities, provided, however, that no such instruction shall be deemed to have been given and no such discretionary proxy shall be given with respect to any matter as to which the Company informs the Depositary (and the Company agrees to provide such information as promptly as practicable in writing, if applicable) that (x) the Company does not wish to give such proxy, (y) the Company is aware or should reasonably be aware that substantial opposition exists from Holders against the outcome for which the person designated by the Company would otherwise vote or (z) the outcome for which the person designated by the Company would otherwise vote would materially and adversely affect the rights of holders of Deposited Securities, provided, further, that the Company will have no liability to any Holder or Beneficial Owner resulting from such notification.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269" w:name="page270"/>
    <w:bookmarkEnd w:id="269"/>
    <w:p>
      <w:pPr>
        <w:ind w:right="2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voting on any resolution or matter is conducted on a show of hands basis in accordance with the Memorandum and Articles of Association, the Depositary will refrain from voting and the voting instructions (or the deemed voting instructions, as set out above) received by the Depositary from Holders shall lapse. The Depositary will have no obligation to demand voting on a poll basis with respect to any resolution and shall have no liability to any Holder or Beneficial Owner for not having demanded voting on a poll basis.</w:t>
      </w:r>
    </w:p>
    <w:p>
      <w:pPr>
        <w:spacing w:after="0" w:line="18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such written instructions from Holders, including the deemed instruction to the Depositary to give a discretionary proxy to a person designated by the Company. Deposited Securities represented by ADSs for which (i) no timely voting instructions are received by the Depositary from the Holder, or (ii) timely voting instructions are received by the Depositary from the Holder but such voting instructions fail to specify the manner in which the Depositary is to vote the Deposited Securities represented by such Holder’s ADSs, shall be voted in the manner provided in this Section 4.8. Notwithstanding anything else contained herein, and subject to applicable law, regulation and the Memorandum and Articles of Association, the Depositary shall, if so requested in writing by the Company, represent all Deposited Securities (whether or not voting instructions have been received in respect of such Deposited Securities from Holders as of the ADS Record Date) for the purpose of establishing quorum at a meeting of shareholders.</w:t>
      </w:r>
    </w:p>
    <w:p>
      <w:pPr>
        <w:spacing w:after="0" w:line="1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can be no assurance that Holders or Beneficial Owners generally or any Holder or Beneficial Owner in particular will receive the notice described above with sufficient time to enable the Holder to return voting instructions to the Depositary in a timely manner.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above, save for applicable provisions of the law of the Cayman Islands, and in accordance with the terms of Section 5.3 hereof, the Depositary shall not be liable for any failure to carry out any instructions to vote any of the Deposited Securities or the manner in which such vote is cast or the effect of such vote.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270" w:name="page271"/>
    <w:bookmarkEnd w:id="270"/>
    <w:p>
      <w:pPr>
        <w:ind w:right="20"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4.9 </w:t>
      </w:r>
      <w:r>
        <w:rPr>
          <w:rFonts w:ascii="Times New Roman" w:cs="Times New Roman" w:eastAsia="Times New Roman" w:hAnsi="Times New Roman"/>
          <w:sz w:val="18"/>
          <w:szCs w:val="18"/>
          <w:u w:val="single" w:color="auto"/>
          <w:color w:val="auto"/>
        </w:rPr>
        <w:t>Changes Affecting Deposited Securities</w:t>
      </w:r>
      <w:r>
        <w:rPr>
          <w:rFonts w:ascii="Times New Roman" w:cs="Times New Roman" w:eastAsia="Times New Roman" w:hAnsi="Times New Roman"/>
          <w:sz w:val="18"/>
          <w:szCs w:val="18"/>
          <w:color w:val="auto"/>
        </w:rPr>
        <w:t xml:space="preserve">. Upon any change in par value, split-up, subdivision, cancellation, consolidation or any other reclassification of Deposited Securities or upon any recapitalization, reorganization, amalgamation, merger or consolidation or sale of assets affecting the Company or to which it is otherwise a party, any securities which shall be received by the Depositary or the Custodian in exchange for, or in conversion of or replacement or otherwise in respect of, such Deposited Securities shall, to the extent permitted by law, be treated as new Deposited Securities under this Deposit Agreement and the Receipts shall, subject to the provisions of this Deposit Agreement and applicable law, evidence American Depositary Shares representing the right to receive such additional securities. Alternatively, the Depositary may, with the Company’s approval, and shall, if the Company shall so request, subject to the terms of this Deposit Agreement and receipt of an Opinion of Counsel furnished at the Company’s expense satisfactory to the Depositary (stating that such distributions are not in violation of any applicable laws or regulations), execute and deliver additional Receipts, as in the case of a stock dividend on the Shares, or call for the surrender of outstanding Receipts to be exchanged for new Receipts. In either case, as well as in the event of newly deposited Shares, necessary modifications to the form of Receipt contained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specifically describing such new Deposited Securities and/or corporate change, shall also be made. The Company agrees that it will, jointly with the Depositary, amend the Registration Statement on Form F-6 as filed with the Commission to permit the issuance of such new form of Receipt. Notwithstanding the foregoing, in the event that any security so received may not be lawfully distributed to some or all Holders, the Depositary may, with the Company’s approval, and shall, if the Company requests, subject to receipt of an Opinion of Counsel (furnished at the Company’s expense) satisfactory to the Depositary that such action is not in violation of any applicable laws or regulations, sell such securities at public or private sale, at such place or places and upon such terms as it may deem proper and may allocate the net proceeds of such sales (net of fees and charges of, and expenses incurred by, the Depositary and/or a division or Affiliate(s) of the Depositary and taxes and/or governmental charges) for the account of the Holders otherwise entitled to such securities upon an averaged or other practicable basis without regard to any distinctions among such Holders and distribute the net proceeds so allocated to the extent practicable as in the case of a distribution received in cash pursuant to Section 4.1 hereof. The Depositary shall not be responsible for (i) any failure to determine that it may be lawful or feasible to make such securities available to Holders in general or to any Holder in particular, (ii) any foreign exchange exposure or loss incurred in connection with such sale or (iii) any liability to the purchaser of such securities.</w:t>
      </w:r>
    </w:p>
    <w:p>
      <w:pPr>
        <w:spacing w:after="0" w:line="20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Available Information</w:t>
      </w:r>
      <w:r>
        <w:rPr>
          <w:rFonts w:ascii="Times New Roman" w:cs="Times New Roman" w:eastAsia="Times New Roman" w:hAnsi="Times New Roman"/>
          <w:sz w:val="18"/>
          <w:szCs w:val="18"/>
          <w:color w:val="auto"/>
        </w:rPr>
        <w:t>. The Company is subject to the periodic reporting requirements of the Exchange Act applicable to foreign private issuers (as defined in Rule 405 of the Securities Act) and accordingly files certain information with the Commission. These reports and documents can be inspected and copied at the Commission’s website at www.sec.gov or at the public reference facilities maintained by the Commission located at 100 F Street, N.E., Washington D.C. 20549, U.S.A.</w:t>
      </w:r>
    </w:p>
    <w:p>
      <w:pPr>
        <w:spacing w:after="0" w:line="180" w:lineRule="exact"/>
        <w:rPr>
          <w:sz w:val="20"/>
          <w:szCs w:val="20"/>
          <w:color w:val="auto"/>
        </w:rPr>
      </w:pPr>
    </w:p>
    <w:p>
      <w:pPr>
        <w:ind w:right="60" w:firstLine="440"/>
        <w:spacing w:after="0" w:line="273" w:lineRule="auto"/>
        <w:rPr>
          <w:sz w:val="20"/>
          <w:szCs w:val="20"/>
          <w:color w:val="auto"/>
        </w:rPr>
      </w:pPr>
      <w:r>
        <w:rPr>
          <w:rFonts w:ascii="Times New Roman" w:cs="Times New Roman" w:eastAsia="Times New Roman" w:hAnsi="Times New Roman"/>
          <w:sz w:val="17"/>
          <w:szCs w:val="17"/>
          <w:color w:val="auto"/>
        </w:rPr>
        <w:t xml:space="preserve">SECTION 4.11 </w:t>
      </w:r>
      <w:r>
        <w:rPr>
          <w:rFonts w:ascii="Times New Roman" w:cs="Times New Roman" w:eastAsia="Times New Roman" w:hAnsi="Times New Roman"/>
          <w:sz w:val="17"/>
          <w:szCs w:val="17"/>
          <w:u w:val="single" w:color="auto"/>
          <w:color w:val="auto"/>
        </w:rPr>
        <w:t>Reports</w:t>
      </w:r>
      <w:r>
        <w:rPr>
          <w:rFonts w:ascii="Times New Roman" w:cs="Times New Roman" w:eastAsia="Times New Roman" w:hAnsi="Times New Roman"/>
          <w:sz w:val="17"/>
          <w:szCs w:val="17"/>
          <w:color w:val="auto"/>
        </w:rPr>
        <w:t>. The Depositary shall make available during normal business hours on any Business Day for inspection by Holders at its Corporate Trust Office any reports and communications, including any proxy soliciting materials, received from the Company which are both received by the Depositary, the Custodian, or the nominee of either of them as the holder of the Deposited Securities and made generally available to the holders of such Deposited Securities by the Company. The Company agrees to provide to the Depositary, at the Company’s expense, all such documents that it provides to the Custodian. Unless otherwise agreed in writing by the Company and the Depositary, the Depositary shall, at the expense of the Company and in accordance with Section 5.6 hereof, also mail to Holders by regular, ordinary mail delivery or by electronic transmission (if agreed by the Company and the Depositary) copies of notices and reports when furnished by the Company pursuant to Section 5.6 hereof.</w:t>
      </w:r>
    </w:p>
    <w:p>
      <w:pPr>
        <w:spacing w:after="0" w:line="171"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List of Holders</w:t>
      </w:r>
      <w:r>
        <w:rPr>
          <w:rFonts w:ascii="Times New Roman" w:cs="Times New Roman" w:eastAsia="Times New Roman" w:hAnsi="Times New Roman"/>
          <w:sz w:val="18"/>
          <w:szCs w:val="18"/>
          <w:color w:val="auto"/>
        </w:rPr>
        <w:t>. Promptly upon written request by the Company, the Depositary shall, at the expense of the Company, furnish to it a list, as of a recent date, of the names, addresses and holdings of American Depositary Shares by all persons in whose names Receipts are registered on the books of the Depositary.</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60"/>
          </w:cols>
          <w:pgMar w:left="440" w:top="270" w:right="499" w:bottom="1440" w:gutter="0" w:footer="0" w:header="0"/>
        </w:sectPr>
      </w:pPr>
    </w:p>
    <w:bookmarkStart w:id="271" w:name="page272"/>
    <w:bookmarkEnd w:id="271"/>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4.13 </w:t>
      </w:r>
      <w:r>
        <w:rPr>
          <w:rFonts w:ascii="Times New Roman" w:cs="Times New Roman" w:eastAsia="Times New Roman" w:hAnsi="Times New Roman"/>
          <w:sz w:val="18"/>
          <w:szCs w:val="18"/>
          <w:u w:val="single" w:color="auto"/>
          <w:color w:val="auto"/>
        </w:rPr>
        <w:t>Taxation; Withholding</w:t>
      </w:r>
      <w:r>
        <w:rPr>
          <w:rFonts w:ascii="Times New Roman" w:cs="Times New Roman" w:eastAsia="Times New Roman" w:hAnsi="Times New Roman"/>
          <w:sz w:val="18"/>
          <w:szCs w:val="18"/>
          <w:color w:val="auto"/>
        </w:rPr>
        <w:t>. The Depositary will, and will instruct the Custodian to, forward to the Company or its agents such information from its records as the Company may request to enable the Company or its agents to file necessary tax reports with governmental authorities or agencies. The Depositary, the Custodian or the Company and its agents may, but shall not be obligated to, file such reports as are necessary to reduce or eliminate applicable taxes on dividends and on other distributions in respect of Deposited Securities under applicable tax treaties or laws for the Holders and Beneficial Owners. Holders and Beneficial Owners of American Depositary Shares may be required from time to time, and in a timely manner to provide and/or file such proof of taxpayer status, residence and beneficial ownership (as applicable), to execute such certificates and to make such representations and warranties, or to provide any other information or documents, as the Depositary or the Custodian may deem necessary or proper to fulfill the Depositary’s or the Custodian’s obligations under applicable law. The Holders and Beneficial Owners shall indemnify the Depositary, the Company, the Custodian, the Agents and their respective directors, officers,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 by the Beneficial Owner or Holder or out of or in connection with any inaccuracy in or omission from any such proof, certificate, representation, warranty, information or document furnished by or on behalf of such Holder or Beneficial Owner. The obligations of Holders and Beneficial Owners under this Section 4.13 shall survive any transfer of Receipts, any surrender of Receipts and withdrawal of Deposited Securities or the termination of this Deposit Agreement.</w:t>
      </w:r>
    </w:p>
    <w:p>
      <w:pPr>
        <w:spacing w:after="0" w:line="197" w:lineRule="exact"/>
        <w:rPr>
          <w:sz w:val="20"/>
          <w:szCs w:val="20"/>
          <w:color w:val="auto"/>
        </w:rPr>
      </w:pPr>
    </w:p>
    <w:p>
      <w:pPr>
        <w:ind w:left="4"/>
        <w:spacing w:after="0" w:line="270" w:lineRule="auto"/>
        <w:rPr>
          <w:sz w:val="20"/>
          <w:szCs w:val="20"/>
          <w:color w:val="auto"/>
        </w:rPr>
      </w:pPr>
      <w:r>
        <w:rPr>
          <w:rFonts w:ascii="Times New Roman" w:cs="Times New Roman" w:eastAsia="Times New Roman" w:hAnsi="Times New Roman"/>
          <w:sz w:val="17"/>
          <w:szCs w:val="17"/>
          <w:color w:val="auto"/>
        </w:rPr>
        <w:t>The Company shall remit to the appropriate governmental authority or agency any amounts required to be withheld by the Company and owing to such governmental authority or agency. Upon any such withholding, the Company shall remit to the Depositary information, in a form reasonably satisfactory to the Depositary, about such taxes and/or governmental charges withheld or paid, and, if so requested, the tax receipt (or other proof of payment to the applicable governmental authority) therefor. The Depositary shall, to the extent required by U.S. law, report to Holders (i) any taxes withheld by it;</w:t>
      </w:r>
    </w:p>
    <w:p>
      <w:pPr>
        <w:spacing w:after="0" w:line="3" w:lineRule="exact"/>
        <w:rPr>
          <w:sz w:val="20"/>
          <w:szCs w:val="20"/>
          <w:color w:val="auto"/>
        </w:rPr>
      </w:pPr>
    </w:p>
    <w:p>
      <w:pPr>
        <w:ind w:left="4" w:right="160" w:hanging="4"/>
        <w:spacing w:after="0" w:line="252" w:lineRule="auto"/>
        <w:tabs>
          <w:tab w:leader="none" w:pos="269"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withheld by the Custodian, subject to information being provided to the Depositary by the Custodian and (iii) any taxes withheld by the Company, subject to information being provided to the Depositary by the Company. The Depositary and the Custodian shall not be required to provide the Holders with any evidence of the remittance by the Company (or its agents) of any taxes withheld, or of the payment of taxes by the Company, except to the extent the evidence is provided by the Company to the Depositary. None of the Depositary, the Custodian or the Company shall be liable for the failure by any Holder or Beneficial Owner to obtain the benefits of credits on the basis of non-U.S. tax paid against such Holder’s or Beneficial Owner’s income tax liability.</w:t>
      </w:r>
    </w:p>
    <w:p>
      <w:pPr>
        <w:spacing w:after="0" w:line="190" w:lineRule="exact"/>
        <w:rPr>
          <w:sz w:val="20"/>
          <w:szCs w:val="20"/>
          <w:color w:val="auto"/>
        </w:rPr>
      </w:pPr>
    </w:p>
    <w:p>
      <w:pPr>
        <w:ind w:left="4" w:right="60"/>
        <w:spacing w:after="0" w:line="256" w:lineRule="auto"/>
        <w:rPr>
          <w:sz w:val="20"/>
          <w:szCs w:val="20"/>
          <w:color w:val="auto"/>
        </w:rPr>
      </w:pPr>
      <w:r>
        <w:rPr>
          <w:rFonts w:ascii="Times New Roman" w:cs="Times New Roman" w:eastAsia="Times New Roman" w:hAnsi="Times New Roman"/>
          <w:sz w:val="18"/>
          <w:szCs w:val="18"/>
          <w:color w:val="auto"/>
        </w:rPr>
        <w:t>In the event that the Depositary determines that any distribution in property (including Shares and rights to subscribe therefor) is subject to any tax or other governmental charge which the Depositary is obligated to withhold, the Depositary shall withhold the amount required to be withheld and may by public or private sale dispose of all or a portion of such property (including Shares and rights to subscribe therefor) in such amounts and in such manner as the Depositary deems necessary and practicable to pay such taxes and/or charges and the Depositary shall distribute the net proceeds of any such sale after deduction of such taxes and/or charges to the Holders entitled thereto in proportion to the number of American Depositary Shares held by them respectively.</w:t>
      </w:r>
    </w:p>
    <w:p>
      <w:pPr>
        <w:spacing w:after="0" w:line="187"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The Depositary is under no obligation to provide the Holders and Beneficial Owners with any information about the tax status of the Company. The Depositary shall not incur any liability for any tax consequences that may be incurred by Holders and Beneficial Owners on account of their ownership of the American Depositary Shares, including without limitation, tax consequences resulting from the Company (or any of its subsidiaries) being treated as a “Passive Foreign Investment Company” (as defined in the U.S. Internal Revenue Code of 1986, as amended and the regulations issued thereunder) or otherwise.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70" w:right="459" w:bottom="1440" w:gutter="0" w:footer="0" w:header="0"/>
        </w:sectPr>
      </w:pPr>
    </w:p>
    <w:bookmarkStart w:id="272" w:name="page273"/>
    <w:bookmarkEnd w:id="27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DEPOSITARY, THE CUSTODIAN AND THE COMPANY</w:t>
      </w:r>
    </w:p>
    <w:p>
      <w:pPr>
        <w:spacing w:after="0" w:line="229"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Maintenance of Office and Transfer Books by the Registrar</w:t>
      </w:r>
      <w:r>
        <w:rPr>
          <w:rFonts w:ascii="Times New Roman" w:cs="Times New Roman" w:eastAsia="Times New Roman" w:hAnsi="Times New Roman"/>
          <w:sz w:val="18"/>
          <w:szCs w:val="18"/>
          <w:color w:val="auto"/>
        </w:rPr>
        <w:t>. Until termination of this Deposit Agreement in accordance with its terms, the Depositary or if a Registrar for the Receipts shall have been appointed, the Registrar shall maintain in the Borough of Manhattan, the City of New York, an office and facilities for the execution and delivery, registration, registration of transfers, combination and split-up of Receipts, the surrender of Receipts and the Delivery and withdrawal of Deposited Securities in accordance with the provisions of this Deposit Agreement.</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Depositary or the Registrar as applicable, shall keep books for the registration of Receipts and transfers of Receipts which at all reasonable times shall be open for inspection by the Company and by the Holders of such Receipts, provided that such inspection shall not be, to the Depositary’s or the Registrar’s knowledge, for the purpose of communicating with Holders of such Receipts in the interest of a business or object other than the business of the Company or other than a matter related to this Deposit Agreement or the Receipts.</w:t>
      </w:r>
    </w:p>
    <w:p>
      <w:pPr>
        <w:spacing w:after="0" w:line="180"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The Depositary or the Registrar, as applicable, may close the transfer books with respect to the Receipts, at any time and from time to time, when deemed necessary or advisable by it in connection with the performance of its duties hereunder, or at the reasonable written request of the Company.</w:t>
      </w:r>
    </w:p>
    <w:p>
      <w:pPr>
        <w:spacing w:after="0" w:line="14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If any Receipts or the American Depositary Shares evidenced thereby are listed on one or more stock exchanges or automated quotation systems in the United States, the Depositary shall act as Registrar or appoint a Registrar or one or more co-registrars for registration of Receipts and transfers, combinations and split-ups, and to countersign such Receipts in accordance with any requirements of such exchanges or systems. Such Registrar or co-registrars may be removed and a substitute or substitutes appointed by the Depositary.</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any Receipts or the American Depositary Shares evidenced thereby are listed on one or more securities exchanges, markets or automated quotation systems, (i) the Depositary shall be entitled to, and shall, take or refrain from taking such action(s) as it may deem necessary or appropriate to comply with the requirements of such securities exchange(s), market(s) or automated quotation system(s) applicable to it, notwithstanding any other provision of this Deposit Agreement; and (ii) upon the reasonable request of the Depositary, the Company shall provide the Depositary such information and assistance as may be reasonably necessary for the Depositary to comply with such requirements, to the extent that the Company may lawfully do so.</w:t>
      </w:r>
    </w:p>
    <w:p>
      <w:pPr>
        <w:spacing w:after="0" w:line="18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Each Registrar and co-registrar appointed under this Section 5.1 shall give notice in writing to the Depositary accepting such appointment and agreeing to be bound by the applicable terms of this Deposit Agreement.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66" w:right="459" w:bottom="1440" w:gutter="0" w:footer="0" w:header="0"/>
        </w:sectPr>
      </w:pPr>
    </w:p>
    <w:bookmarkStart w:id="273" w:name="page274"/>
    <w:bookmarkEnd w:id="273"/>
    <w:p>
      <w:pPr>
        <w:ind w:firstLine="4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5.2 </w:t>
      </w:r>
      <w:r>
        <w:rPr>
          <w:rFonts w:ascii="Times New Roman" w:cs="Times New Roman" w:eastAsia="Times New Roman" w:hAnsi="Times New Roman"/>
          <w:sz w:val="17"/>
          <w:szCs w:val="17"/>
          <w:u w:val="single" w:color="auto"/>
          <w:color w:val="auto"/>
        </w:rPr>
        <w:t>Exoneration</w:t>
      </w:r>
      <w:r>
        <w:rPr>
          <w:rFonts w:ascii="Times New Roman" w:cs="Times New Roman" w:eastAsia="Times New Roman" w:hAnsi="Times New Roman"/>
          <w:sz w:val="17"/>
          <w:szCs w:val="17"/>
          <w:color w:val="auto"/>
        </w:rPr>
        <w:t>. None of the Depositary, the Custodian or the Company shall be obligated to do or perform any act which is inconsistent with the provisions of this Deposit Agreement or shall incur any liability to Holders, Beneficial Owners or any third parties (i) if the Depositary, the Custodian or the Company or their respective controlling persons or agents (including without limitation, the Agents) shall be prevented or forbidden from, or delayed in, doing or performing any act or thing required by the terms of this Deposit Agreement, by reason of any provision of any present or future law or regulation of the United States or any state thereof, the Cayman Islands or any other country, or of any other governmental authority or regulatory authority or stock exchange, or on account of the possible criminal or civil penalties or restraint, or by reason of any provision, present or future, of the Memorandum and Articles of Association or any provision of or governing any Deposited Securities, or by reason of any act of God or war or other circumstances beyond its control (including, without limitation, nationalization, expropriation, currency restrictions, work stoppage, strikes, civil unrest, revolutions, rebellions, explosions and computer failure), (ii) by reason of any exercise of, or failure to exercise, any discretion provided for in this Deposit Agreement or in the Memorandum and Articles of Association or provisions of or governing Deposited Securities, (iii) for any action or inaction of the Depositary, the Custodian or the Company or their respective controlling persons or agents (including without limitation, the Agents)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this Deposit Agreement, made available to Holders of American Depositary Shares or (v) for any special, consequential, indirect or punitive damages for any breach of the terms of this Deposit Agreement or otherwise.</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Depositary, its controlling persons, its agents (including without limitation, the Agents), the Custodian and the Company, its controlling persons and its agents may rely and shall be protected in acting upon any written notice, request, opinion or other document believed by it to be genuine and to have been signed or presented by the proper party or parties.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disclaimer of liability under the Securities Act or the Exchange Act is intended by any provision of this Deposit Agreement.</w:t>
      </w:r>
    </w:p>
    <w:p>
      <w:pPr>
        <w:spacing w:after="0" w:line="22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Standard of Care</w:t>
      </w:r>
      <w:r>
        <w:rPr>
          <w:rFonts w:ascii="Times New Roman" w:cs="Times New Roman" w:eastAsia="Times New Roman" w:hAnsi="Times New Roman"/>
          <w:sz w:val="18"/>
          <w:szCs w:val="18"/>
          <w:color w:val="auto"/>
        </w:rPr>
        <w:t>. The Company and the Depositary and their respective directors, officers, Affiliates, employees and agents (including without limitation, the Agents) assume no obligation and shall not be subject to any liability under this Deposit Agreement or any Receipts to any Holder(s) or Beneficial Owner(s) or other persons, except in accordance with Section 5.8 hereof, provided, that the Company and the Depositary and their respective directors, officers, Affiliates, employees and agents (including without limitation, the Agents) agree to perform their respective obligations specifically set forth in this Deposit Agreement or the applicable ADRs without gross negligence or willful misconduct.</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Without limitation of the foregoing, neither the Depositary, nor the Company, nor any of their respective controlling persons, directors, officers, affiliates, employees or agents (including without limitation, the Agents), shall be under any obligation to appear in, prosecute or defend any action, suit or other proceeding in respect of any Deposited Securities or in respect of the Receipts, which in its opinion may involve it in expense or liability, unless indemnity satisfactory to it against all expenses (including fees and disbursements of counsel) and liabilities be furnished as often as may be required (and no Custodian shall be under any obligation whatsoever with respect to such proceedings, the responsibility of the Custodian being solely to the Depositary).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70" w:right="479" w:bottom="1440" w:gutter="0" w:footer="0" w:header="0"/>
        </w:sectPr>
      </w:pPr>
    </w:p>
    <w:bookmarkStart w:id="274" w:name="page275"/>
    <w:bookmarkEnd w:id="274"/>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Depositary and its directors, officers, affiliates, employees and agents (including without limitation, the Agents) shall not be liable for any failure to carry out any instructions to vote any of the Deposited Securities, or for the manner in which any vote is cast or the effects of any vote. The Depositary shall not incur any liability for any failure to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Securities, for the validity or worth of the Deposited Securities or for any tax consequences that may result from the ownership of ADSs, Shares or Deposited Securities, for the credit-worthiness of any third party, for allowing any rights to lapse upon the terms of this Deposit Agreement or for the failure or timeliness of any notice from the Company, or for any action or non action by it in reliance upon the opinion, advice of or information from legal counsel, accountants, any person presenting Shares for deposit, any Holder or any other person believed by it in good faith to be competent to give such advice or information. The Depositary and its agents (including without limitation, the Agents)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gross negligence or willful misconduct while it acted as Depositary.</w:t>
      </w:r>
    </w:p>
    <w:p>
      <w:pPr>
        <w:spacing w:after="0" w:line="187"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Resignation and Removal of the Depositary; Appointment of Successor Depositary</w:t>
      </w:r>
      <w:r>
        <w:rPr>
          <w:rFonts w:ascii="Times New Roman" w:cs="Times New Roman" w:eastAsia="Times New Roman" w:hAnsi="Times New Roman"/>
          <w:sz w:val="18"/>
          <w:szCs w:val="18"/>
          <w:color w:val="auto"/>
        </w:rPr>
        <w:t>. The Depositary may at any time resign as Depositary hereunder by written notice of resignation delivered to the Company, such resignation to be effective on the earlier of (i) the 90th day after delivery thereof to the Company (whereupon the Depositary shall, in the event no successor depositary has been appointed by the Company, be entitled to take the actions contemplated in Section 6.2 hereof) and (ii) the appointment by the Company of a successor depositary and its acceptance of such appointment as hereinafter provided, save that, any amounts, fees, costs or expenses owed to the Depositary hereunder or in accordance with any other agreements otherwise agreed in writing between the Company and the Depositary from time to time shall be paid to the Depositary prior to such resignation.</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shall use reasonable efforts to appoint such successor depositary, and give notice to the Depositary of such appointment, not more than 90 days after delivery by the Depositary of written notice of resignation as provided in this Section 5.4. In the event that notice of the appointment of a successor depositary is not provided by the Company in accordance with the preceding sentence, the Depositary shall be entitled to take the actions contemplated in Section 6.2 hereof.</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Depositary may at any time be removed by the Company by written notice of such removal, which removal shall be effective on the later of (i) the 90th day after delivery thereof to the Depositary (whereupon the Depositary shall be entitled to take the actions contemplated in Section 6.2 hereof if a successor depositary has not been appointed), and (ii) the appointment by the Company of a successor depositary and its acceptance of such appointment as hereinafter provided, save that, any amounts, fees, costs or expenses owed to the Depositary hereunder or in accordance with any other agreements otherwise agreed in writing between the Company and the Depositary from time to time shall be paid to the Depositary prior to such removal.</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40" w:top="270" w:right="479" w:bottom="1440" w:gutter="0" w:footer="0" w:header="0"/>
        </w:sectPr>
      </w:pPr>
    </w:p>
    <w:bookmarkStart w:id="275" w:name="page276"/>
    <w:bookmarkEnd w:id="275"/>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The predecessor depositary, upon payment of all sums due to it and on the written request of the Company, shall (i) execute and deliver an instrument transferring to such successor all rights and powers of such predecessor hereunder (other than as contemplated in Sections 5.8 and 5.9 hereof), (ii) duly assign, transfer and deliver all right, title and interest to the Deposited Securities to such successor, and (iii) deliver to such successor a list of the Holders of all outstanding Receipts and such other information relating to Receipts and Holders thereof as the successor may reasonably request. Any such successor depositary shall promptly mail notice of its appointment to such Holders.</w:t>
      </w:r>
    </w:p>
    <w:p>
      <w:pPr>
        <w:spacing w:after="0" w:line="188"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Any corporation into or with which the Depositary may be merged or consolidated shall be the successor of the Depositary without the execution or filing of any document or any further act and, notwithstanding anything to the contrary in this Deposit Agreement, the Depositary may assign or otherwise transfer all or any of its rights and benefits under this Deposit Agreement (including any cause of action arising in connection with it) to Deutsche Bank AG or any branch thereof or any entity which is a direct or indirect subsidiary or other affiliate of Deutsche Bank AG.</w:t>
      </w:r>
    </w:p>
    <w:p>
      <w:pPr>
        <w:spacing w:after="0" w:line="180"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The Custodian</w:t>
      </w:r>
      <w:r>
        <w:rPr>
          <w:rFonts w:ascii="Times New Roman" w:cs="Times New Roman" w:eastAsia="Times New Roman" w:hAnsi="Times New Roman"/>
          <w:sz w:val="18"/>
          <w:szCs w:val="18"/>
          <w:color w:val="auto"/>
        </w:rPr>
        <w:t>. The Custodian or its successors in acting hereunder shall be subject at all times and in all respects to the direction of the Depositary for the Deposited Securities for which the Custodian acts as custodian and shall be responsible solely to it. If any Custodian resigns or is discharged from its duties hereunder with respect to any Deposited Securities and no other Custodian has previously been appointed hereunder, the Depositary shall promptly appoint a substitute custodian. The Depositary shall require such resigning or discharged Custodian to deliver the Deposited Securities held by it, together with all such records maintained by it as Custodian with respect to such Deposited Securities as the Depositary may request, to the Custodian designated by the Depositary. Whenever the Depositary determines, in its discretion, that it is appropriate to do so, it may appoint an additional entity to act as Custodian with respect to any Deposited Securities, or discharge the Custodian with respect to any Deposited Securities and appoint a substitute custodian, which shall thereafter be Custodian hereunder with respect to the Deposited Securities. After any such change, the Depositary shall give notice thereof in writing to all Holders.</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Upon the appointment of any successor depositary, any Custodian then acting hereunder shall, unless otherwise instructed by the Depositary, continue to be the Custodian of the Deposited Securities without any further act or writing and shall be subject to the direction of the successor depositary. The successor depositary so appointed shall, nevertheless, on the written request of any Custodian, execute and deliver to such Custodian all such instruments as may be proper to give to such Custodian full and complete power and authority to act on the direction of such successor depositary.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0"/>
          </w:cols>
          <w:pgMar w:left="440" w:top="270" w:right="479" w:bottom="1440" w:gutter="0" w:footer="0" w:header="0"/>
        </w:sectPr>
      </w:pPr>
    </w:p>
    <w:bookmarkStart w:id="276" w:name="page277"/>
    <w:bookmarkEnd w:id="276"/>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5.6 </w:t>
      </w:r>
      <w:r>
        <w:rPr>
          <w:rFonts w:ascii="Times New Roman" w:cs="Times New Roman" w:eastAsia="Times New Roman" w:hAnsi="Times New Roman"/>
          <w:sz w:val="18"/>
          <w:szCs w:val="18"/>
          <w:u w:val="single" w:color="auto"/>
          <w:color w:val="auto"/>
        </w:rPr>
        <w:t>Notices and Reports</w:t>
      </w:r>
      <w:r>
        <w:rPr>
          <w:rFonts w:ascii="Times New Roman" w:cs="Times New Roman" w:eastAsia="Times New Roman" w:hAnsi="Times New Roman"/>
          <w:sz w:val="18"/>
          <w:szCs w:val="18"/>
          <w:color w:val="auto"/>
        </w:rPr>
        <w:t>. On or before the first date on which the Company gives notice, by publication or otherwise, of any meeting of holders of Shares or other Deposited Securities, or of any adjourned meeting of such holders, or of the taking of any action by such holders other than at a meeting, or of the taking of any action in respect of any cash or other distributions or the offering of any rights in respect of Deposited Securities, the Company shall transmit to the Depositary and the Custodian a copy of the notice thereof in English but otherwise in the form given or to be given to holders of Shares or other Deposited Securities. The Company shall also furnish to the Custodian and the Depositary a summary, in English, of any applicable provisions or proposed provisions of the Memorandum and Articles of Association that may be relevant or pertain to such notice of meeting or be the subject of a vote thereat.</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will also transmit to the Depositary (a) English language versions of the other notices, reports and communications which are made generally available by the Company to holders of its Shares or other Deposited Securities and (b) English language versions of the Company’s annual and other reports prepared in accordance with the applicable requirements of the Commission. The Depositary shall arrange, at the request of the Company and at the Company’s expense, for the mailing of copies thereof to all Holders, or by any other means as agreed between the Company and the Depositary (at the Company’s expense) or make such notices, reports and other communications available for inspection by all Holders, provided, that, the Depositary shall have received evidence sufficiently satisfactory to it, including in the form of an Opinion of Counsel regarding U.S. law or of any other applicable jurisdiction, furnished at the expense of the Company, as the Depositary reasonably requests, that the distribution of such notices, reports and any such other communications to Holders from time to time is valid and does not or will not infringe any local, U.S. or other applicable jurisdiction regulatory restrictions or requirements if so distributed and made available to Holders. The Company will timely provide the Depositary with the quantity of such notices, reports, and communications, as requested by the Depositary from time to time, in order for the Depositary to effect such mailings. The Company has delivered to the Depositary and the Custodian a copy of the Memorandum and Articles of Association along with the provisions of or governing the Shares and any other Deposited Securities issued by the Company or any Affiliate of the Company, in connection with the Shares, in each case, to the extent not in English, along with a certified English translation thereof, and promptly upon any amendment thereto or change therein, the Company shall deliver to the Depositary and the Custodian a copy of such amendment thereto or change therein, to the extent not in English, along with a certified English translation thereof. The Depositary may rely upon such copy for all purposes of this Deposit Agreement.</w:t>
      </w:r>
    </w:p>
    <w:p>
      <w:pPr>
        <w:spacing w:after="0" w:line="19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Depositary will make available, at the expense of the Company, a copy of any such notices, reports or communications issued by the Company and delivered to the Depositary for inspection by the Holders of the Receipts evidencing the American Depositary Shares representing such Shares governed by such provisions at the Depositary’s Corporate Trust Office, at the office of the Custodian and at any other designated transfer office.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277" w:name="page278"/>
    <w:bookmarkEnd w:id="277"/>
    <w:p>
      <w:pPr>
        <w:ind w:left="4" w:firstLine="44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5.7 </w:t>
      </w:r>
      <w:r>
        <w:rPr>
          <w:rFonts w:ascii="Times New Roman" w:cs="Times New Roman" w:eastAsia="Times New Roman" w:hAnsi="Times New Roman"/>
          <w:sz w:val="17"/>
          <w:szCs w:val="17"/>
          <w:u w:val="single" w:color="auto"/>
          <w:color w:val="auto"/>
        </w:rPr>
        <w:t>Issuance of Additional Shares, ADSs etc</w:t>
      </w:r>
      <w:r>
        <w:rPr>
          <w:rFonts w:ascii="Times New Roman" w:cs="Times New Roman" w:eastAsia="Times New Roman" w:hAnsi="Times New Roman"/>
          <w:sz w:val="17"/>
          <w:szCs w:val="17"/>
          <w:color w:val="auto"/>
        </w:rPr>
        <w:t>. The Company agrees that in the event it or any of its Affiliates proposes (i) an issuance, sale or distribution of additional Shares, (ii) an offering of rights to subscribe for Shares or other Deposited Securities, (iii) an issuance of securities convertible into or exchangeable for Shares, (iv) an issuance of rights to subscribe for securities convertible into or exchangeable for Shares, (v) an elective dividend of cash or Shares, (vi) a redemption of Deposited Securities, (vii) a meeting of holders of Deposited Securities, or solicitation of consents or proxies, relating to any reclassification of securities, merger, subdivision, amalgamation or consolidation or transfer of assets, (viii) any reclassification, recapitalization, reorganization, merger, amalgamation, consolidation or sale of assets which affects the Deposited Securities or (ix) a distribution of property other than cash, Shares or rights to purchase additional Shares it will obtain U.S. legal advice and take all steps necessary to ensure that the application of the proposed transaction to Holders and Beneficial Owners does not violate the registration provisions of the Securities Act, or any other applicable laws (including, without limitation, the Investment Company Act of 1940, as amended, the Exchange Act or the securities laws of the states of the United States). In support of the foregoing, the Company will furnish to the Depositary at its request, at the Company’s expense,</w:t>
      </w:r>
    </w:p>
    <w:p>
      <w:pPr>
        <w:spacing w:after="0" w:line="4" w:lineRule="exact"/>
        <w:rPr>
          <w:sz w:val="20"/>
          <w:szCs w:val="20"/>
          <w:color w:val="auto"/>
        </w:rPr>
      </w:pPr>
    </w:p>
    <w:p>
      <w:pPr>
        <w:ind w:left="4" w:hanging="4"/>
        <w:spacing w:after="0" w:line="251" w:lineRule="auto"/>
        <w:tabs>
          <w:tab w:leader="none" w:pos="249"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opinion of U.S. counsel (satisfactory to the Depositary) stating whether or not application of such transaction to Holders and Beneficial Owners (1) requires a registration statement under the Securities Act to be in effect or (2) is exempt from the registration requirements of the Securities Act and/or (3) dealing with such other issues requested by the Depositary; (b) a written opinion of Cayman Islands counsel (satisfactory to the Depositary) stating that (1) making the transaction available to Holders and Beneficial Owners does not violate the laws or regulations of the Cayman Islands and (2) all requisite regulatory and corporate consents and approvals have been obtained in the Cayman Islands; and (c) as the Depositary may request, a written Opinion of Counsel in any other jurisdiction in which Holders or Beneficial Owners reside to the effect that making the transaction available to such Holders or Beneficial Owners does not violate the laws or regulations of such jurisdiction as well as certificates of the Company as to such matters as the Depositary may deem necessary or appropriate in the circumstances. If the filing of a registration statement is required, the Depositary shall not have any obligation to proceed with the transaction unless it shall have received evidence reasonably satisfactory to it that such registration statement has been declared effective and that such distribution is in accordance with all applicable laws or regulations. If, being advised by counsel, the Company determines that a transaction is required to be registered under the Securities Act, the Company will either (i) register such transaction to the extent necessary, (ii) alter the terms of the transaction to avoid the registration requirements of the Securities Act or (iii) direct the Depositary to take specific measures, in each case as contemplated in this Deposit Agreement, to prevent such transaction from violating the registration requirements of the Securities Act.</w:t>
      </w:r>
    </w:p>
    <w:p>
      <w:pPr>
        <w:spacing w:after="0" w:line="191"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The Company agrees with the Depositary that neither the Company nor any of its Affiliates will at any time (i) deposit any Shares or other Deposited Securities, either upon original issuance or upon a sale of Shares or other Deposited Securities previously issued and reacquired by the Company or by any such Affiliate, or (ii) issue additional Shares, rights to subscribe for such Shares, securities convertible into or exchangeable for Shares or rights to subscribe for such securities, unless such transaction and the securities issuable in such transaction are exempt from registration under the Securities Act or have been registered under the Securities Act (and such registration statement has been declared effective).</w:t>
      </w:r>
    </w:p>
    <w:p>
      <w:pPr>
        <w:spacing w:after="0" w:line="183" w:lineRule="exact"/>
        <w:rPr>
          <w:sz w:val="20"/>
          <w:szCs w:val="20"/>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Notwithstanding anything else contained in this Deposit Agreement, nothing in this Deposit Agreement shall be deemed to obligate the Company to file any registration statement in respect of any proposed transaction.</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4"/>
          </w:cols>
          <w:pgMar w:left="436" w:top="270" w:right="479" w:bottom="1440" w:gutter="0" w:footer="0" w:header="0"/>
        </w:sectPr>
      </w:pPr>
    </w:p>
    <w:bookmarkStart w:id="278" w:name="page279"/>
    <w:bookmarkEnd w:id="278"/>
    <w:p>
      <w:pPr>
        <w:jc w:val="both"/>
        <w:ind w:right="160" w:firstLine="44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5.8 </w:t>
      </w: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 The Company agrees to indemnify the Depositary, any Custodian and each of their respective directors, officers, employees, agents (including without limitation, the Agents) and Affiliates against, and hold each of them harmless from, any losses, liabilities, taxes, costs, claims, judgments, proceedings, actions, demands and any charges or expenses of any kind whatsoever (including, but not limited to, reasonable fees and expenses of counsel together with, in each case, value added tax and any similar tax charged or otherwise imposed in respect thereof)</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(collectively referred to as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which the Depositary or any agent (including without limitation, the Agents) thereof may incur or which may be made against it as a result of or in connection with its appointment or the exercise of its powers and duties under this Agreement or that may arise (a) out of or in connection with any offer, issuance, sale, resale, transfer, deposit or withdrawal of Receipts, American Depositary Shares, the Shares, or other Deposited Securities, as the case may be, (b) out of or in connection with any offering documents in respect thereof or (c) out of or in connection with acts performed or omitted, including, but not limited to, any delivery by the Depositary on behalf of the Company of information regarding the Company in connection with this Deposit Agreement, the Receipts, the American Depositary Shares, the Shares, or any Deposited Securities, in any such case (i) by the Depositary, the Custodian or any of their respective directors, officers, employees, agents (including without limitation, the Agents) and Affiliates, except to the extent any such Losses arise out of the gross negligence or wilful misconduct of any of them, or (ii) by the Company or any of its directors, officers, employees, agents and Affiliates.</w:t>
      </w:r>
    </w:p>
    <w:p>
      <w:pPr>
        <w:spacing w:after="0" w:line="19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Depositary agrees to indemnify the Company and hold it harmless from any Losses which may arise out of acts performed or omitted to be performed by the Depositary arising out of its gross negligence or wilful misconduct. Notwithstanding the above, in no event shall the Depositary or any of its directors, officers, employees, agents (including without limitation, the Agents) and/or Affiliates be liable for any special, consequential, indirect or punitive damages to the Company, Holders, Beneficial Owners or any other person.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person seeking indemnification hereunder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shall notify the person from whom it is seeking indemnification (the</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Indemnifying Person</w:t>
      </w:r>
      <w:r>
        <w:rPr>
          <w:rFonts w:ascii="Times New Roman" w:cs="Times New Roman" w:eastAsia="Times New Roman" w:hAnsi="Times New Roman"/>
          <w:sz w:val="18"/>
          <w:szCs w:val="18"/>
          <w:color w:val="auto"/>
        </w:rPr>
        <w:t>”) of the commencement of any indemnifiable action or claim promptly after such Indemnified Person becomes aware of such commencement (provided that the failure to make such notification shall not affect such Indemnified Person’s rights to indemnification except to the extent the Indemnifying Person is materially prejudiced by such failure) and shall consult in good faith with the Indemnifying Person as to the conduct of the defense of such action or claim that may give rise to an indemnity hereunder, which defense shall be reasonable under the circumstances. No Indemnified Person shall compromise or settle any action or claim that may give rise to an indemnity hereunder without the consent of the Indemnifying Person, which consent shall not be unreasonably withheld.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obligations set forth in this Section shall survive the termination of this Deposit Agreement and the succession or substitution of any party hereto.</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Fees and Charges of Depositary</w:t>
      </w:r>
      <w:r>
        <w:rPr>
          <w:rFonts w:ascii="Times New Roman" w:cs="Times New Roman" w:eastAsia="Times New Roman" w:hAnsi="Times New Roman"/>
          <w:sz w:val="18"/>
          <w:szCs w:val="18"/>
          <w:color w:val="auto"/>
        </w:rPr>
        <w:t>. The Company, the Holders, the Beneficial Owners, and persons depositing Shares or surrendering ADSs for cancellation and withdrawal of Deposited Securities shall be required to pay to the Depositary the Depositary’s fees and related charges identified as payable by them respectively as provided for under Article (9) of the Receipt. All fees and charges so payable may, at any time and from time to time, be changed by agreement between the Depositary and the Company, but, in the case of fees and charges payable by Holders and Beneficial Owners, only in the manner contemplated in Section 6.1 hereof. The Depositary shall provide, without charge, a copy of its latest fee schedule to anyone upon request.</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Depositary and the Company may reach separate agreement in relation to the payment of any additional remuneration to the Depositary in respect of any exceptional duties which the Depositary finds necessary or desirable and agreed by both parties in the performance of its obligations hereunder and in respect of the actual costs and expenses of the Depositary in respect of any notices required to be given to the Holders in accordance with Article (20) of the Receipt.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279" w:name="page280"/>
    <w:bookmarkEnd w:id="27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connection with any payment by the Company to the Depositary:</w:t>
      </w:r>
    </w:p>
    <w:p>
      <w:pPr>
        <w:spacing w:after="0" w:line="131" w:lineRule="exact"/>
        <w:rPr>
          <w:sz w:val="20"/>
          <w:szCs w:val="20"/>
          <w:color w:val="auto"/>
        </w:rPr>
      </w:pPr>
    </w:p>
    <w:p>
      <w:pPr>
        <w:ind w:left="424" w:hanging="424"/>
        <w:spacing w:after="0" w:line="282" w:lineRule="auto"/>
        <w:tabs>
          <w:tab w:leader="none" w:pos="424"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taxes, duties, charges, costs and expenses which are payable by the Company shall be paid or be procured to be paid by the Company (and any such amounts which are paid by the Depositary shall be reimbursed to the Depositary by the Company upon demand therefor);</w:t>
      </w:r>
    </w:p>
    <w:p>
      <w:pPr>
        <w:spacing w:after="0" w:line="67" w:lineRule="exact"/>
        <w:rPr>
          <w:rFonts w:ascii="Times New Roman" w:cs="Times New Roman" w:eastAsia="Times New Roman" w:hAnsi="Times New Roman"/>
          <w:sz w:val="18"/>
          <w:szCs w:val="18"/>
          <w:color w:val="auto"/>
        </w:rPr>
      </w:pPr>
    </w:p>
    <w:p>
      <w:pPr>
        <w:ind w:left="424" w:right="80" w:hanging="424"/>
        <w:spacing w:after="0" w:line="312" w:lineRule="auto"/>
        <w:tabs>
          <w:tab w:leader="none" w:pos="424" w:val="left"/>
        </w:tabs>
        <w:numPr>
          <w:ilvl w:val="0"/>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payment shall be subject to all necessary applicable exchange control and other consents and approvals having been obtained. The Company undertakes to use its reasonable endeavours to obtain all necessary approvals that are required to be obtained by it in this connection; and</w:t>
      </w:r>
    </w:p>
    <w:p>
      <w:pPr>
        <w:spacing w:after="0" w:line="45" w:lineRule="exact"/>
        <w:rPr>
          <w:rFonts w:ascii="Times New Roman" w:cs="Times New Roman" w:eastAsia="Times New Roman" w:hAnsi="Times New Roman"/>
          <w:sz w:val="17"/>
          <w:szCs w:val="17"/>
          <w:color w:val="auto"/>
        </w:rPr>
      </w:pPr>
    </w:p>
    <w:p>
      <w:pPr>
        <w:ind w:left="424" w:right="40" w:hanging="424"/>
        <w:spacing w:after="0" w:line="261" w:lineRule="auto"/>
        <w:tabs>
          <w:tab w:leader="none" w:pos="424"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request, in its sole but reasonable discretion after reasonable consultation with the Company, an Opinion of Counsel regarding U.S. law, the laws of the Cayman Islands or of any other relevant jurisdiction, to be furnished at the expense of the Company, if at any time it deems it necessary to seek such an Opinion of Counsel regarding the validity of any action to be taken or instructed to be taken under this Agreement.</w:t>
      </w:r>
    </w:p>
    <w:p>
      <w:pPr>
        <w:spacing w:after="0" w:line="180"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The Company agrees to promptly pay to the Depositary such other fees, charges and expenses and to reimburse the Depositary for such out-of-pocket expenses as the Depositary and the Company may agree to in writing from time to time. Responsibility for payment of such charges may at any time and from time to time be changed by agreement between the Company and the Depositary.</w:t>
      </w:r>
    </w:p>
    <w:p>
      <w:pPr>
        <w:spacing w:after="0" w:line="176"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All payments by the Company to the Depositary under this Section 5.9 shall be paid without set-off or counterclaim, and free and clear of and without deduction or withholding for or on account of, any present or future taxes, levies, imports, duties, fees, assessments or other charges of whatever nature, imposed by the Cayman Islands or by any department, agency or other political subdivision or taxing authority thereof or therein, and all interest, penalties or similar liabilities with respect thereto.</w:t>
      </w:r>
    </w:p>
    <w:p>
      <w:pPr>
        <w:spacing w:after="0" w:line="180"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right of the Depositary to receive payment of fees, charges and expenses as provided above shall survive the termination of this Deposit Agreement. As to any Depositary, upon the resignation or removal of such Depositary as described in Section 5.4 hereof, such right shall extend for those fees, charges and expenses incurred prior to the effectiveness of such resignation or removal.</w:t>
      </w:r>
    </w:p>
    <w:p>
      <w:pPr>
        <w:spacing w:after="0" w:line="176"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Restricted Securities Owners/Ownership Restrictions</w:t>
      </w:r>
      <w:r>
        <w:rPr>
          <w:rFonts w:ascii="Times New Roman" w:cs="Times New Roman" w:eastAsia="Times New Roman" w:hAnsi="Times New Roman"/>
          <w:sz w:val="18"/>
          <w:szCs w:val="18"/>
          <w:color w:val="auto"/>
        </w:rPr>
        <w:t>. From time to time or upon request of the Depositary, the Company shall provide to the Depositary a list setting forth, to the actual knowledge of the Company, those persons or entities who beneficially own Restricted Securities and the Company shall update such list on a regular basis. The Depositary may rely on such list or update but shall not be liable for any action or omission made in reliance thereon. The Company agrees to advise in writing each of the persons or entities who, to the knowledge of the Company, holds Restricted Securities that such Restricted Securities are ineligible for deposit hereunder (except under the circumstances contemplated in Section 2.11) and, to the extent practicable, shall require each of such persons to represent in writing that such person will not deposit Restricted Securities hereunder (except under the circumstances contemplated in Section 2.11). Holders and Beneficial Owners shall comply with any limitations on ownership of Shares under the Memorandum and Articles of Association or applicable Cayman Islands law as if they held the number of Shares their ADSs represent. The Company shall, in accordance with Article (24) of the Receipt, inform Holders and Beneficial Owners and the Depositary of any other limitations on ownership of Shares that the Holders and Beneficial Owners may be subject to by reason of the number of ADSs held under the Articles of Association or applicable Cayman Islands law, as such restrictions may be in force from time to time.</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4"/>
          </w:cols>
          <w:pgMar w:left="436" w:top="270" w:right="459" w:bottom="1440" w:gutter="0" w:footer="0" w:header="0"/>
        </w:sectPr>
      </w:pPr>
    </w:p>
    <w:bookmarkStart w:id="280" w:name="page281"/>
    <w:bookmarkEnd w:id="280"/>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may, in its sole discretion, but subject to applicable law, instruct the Depositary to take action with respect to the ownership interest of any Holder or Beneficial Owner pursuant to the Memorandum and Articles of Association, including but not limited to, the removal or limitation of voting rights or the mandatory sale or disposition on behalf of a Holder or Beneficial Owner of the Shares represented by the ADRs held by such Holder or Beneficial Owner in excess of such limitations, if and to the extent such disposition is permitted by applicable law and the Memorandum and Articles of Association; provided that any such measures are practicable and legal and can be undertaken without undue burden or expense, and provided further the Depositary’s agreement to the foregoing is conditional upon it being advised of any applicable changes in the Memorandum and Articles of Association. The Depositary shall have no liability for any actions taken in accordance with such instructions.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229"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Amendment/Supplement</w:t>
      </w:r>
      <w:r>
        <w:rPr>
          <w:rFonts w:ascii="Times New Roman" w:cs="Times New Roman" w:eastAsia="Times New Roman" w:hAnsi="Times New Roman"/>
          <w:sz w:val="18"/>
          <w:szCs w:val="18"/>
          <w:color w:val="auto"/>
        </w:rPr>
        <w:t>. Subject to the terms and conditions of this Section 6.1 and applicable law, the Receipts outstanding at any time, the provisions of this Deposit Agreement and the form of Receipt attached hereto and to be issued under the terms hereof may at any time and from time to time be amended or supplemented by written agreement between the Company and the Depositary in any respect which they may deem necessary or desirable and not materially prejudicial to the Holders without the consent of the Holders or Beneficial Owners. Any amendment or supplement which shall impose or increase any fees or charges (other than charges in connection with foreign exchange control regulations, and taxes and/or other governmental charges, delivery and other such expenses payable by Holders or Beneficial Owners), or which shall otherwise materially prejudice any substantial existing right of Holders or Beneficial Owners, shall not, however, become effective as to outstanding Receipts until 30 days after notice of such amendment or supplement shall have been given to the Holders of outstanding Receipts. Notice of any amendment to this Deposit Agreement or form of Receipts shall not need to describe in detail the specific amendments effectuated thereby, and failure to describe the specific amendments in any such notice shall not render such notice invalid, provided, however, that, in each such case, the notice given to the Holders identifies a means for Holders and Beneficial Owners to retrieve or receive the text of such amendment (i.e., upon retrieval from the Commission’s, the Depositary’s or the Company’s website or upon request from the Depositary).The parties hereto agree that any amendments or supplements which (i) are reasonably necessary (as agreed by the Company and the Depositary) in order for (a) the American Depositary Shares to be registered on Form F-6 under the Securities Act or (b) the American Depositary Shares or the Shares to be traded solely in electronic book-entry form and (ii) do not in either such case impose or increase any fees or charges to be borne by Holders, shall be deemed not to materially prejudice any substantial rights of Holders or Beneficial Owners. Every Holder and Beneficial Owner at the time any amendment or supplement so becomes effective shall be deemed, by continuing to hold such American Depositary Share or Shares, to consent and agree to such amendment or supplement and to be bound by this Deposit Agreement as amended and supplemented thereby. In no event shall any amendment or supplement impair the right of the Holder to surrender such Receipt and receive therefor the Deposited Securities represented thereby, except in order to comply with mandatory provisions of applicable law. Notwithstanding the foregoing, if any governmental body should adopt new laws, rules or regulations which would require amendment or supplement of this Deposit Agreement to ensure compliance therewith, the Company and the Depositary may amend or supplement this Deposit Agreement and the Receipt at any time in accordance with such changed laws, rules or regulations. Such amendment or supplement to this Deposit Agreement in such circumstances may become effective before a notice of such amendment or supplement is given to Holders or within any other period of time as required for compliance with such laws, rules or regulations.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281" w:name="page282"/>
    <w:bookmarkEnd w:id="281"/>
    <w:p>
      <w:pPr>
        <w:ind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6.2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The Depositary shall, at any time at the written direction of the Company, terminate this Deposit Agreement by mailing notice of such termination to the Holders of all Receipts then outstanding at least 90 days prior to the date fixed in such notice for such termination, provided that, the Depositary shall be reimbursed for any amounts, fees, costs or expenses owed to it in accordance with the terms of this Deposit Agreement and in accordance with any other agreements as otherwise agreed in writing between the Company and the Depositary from time to time, prior to such termination shall take effect. If 90 days shall have expired after (i) the Depositary shall have delivered to the Company a written notice of its election to resign, or (ii) the Company shall have delivered to the Depositary a written notice of the removal of the Depositary, and in either case a successor depositary shall not have been appointed and accepted its appointment as provided in Section 5.4 hereof, the Depositary may terminate this Deposit Agreement by mailing notice of such termination to the Holders of all Receipts then outstanding at least 30 days prior to the date fixed for such termination. On and after the date of termination of this Deposit Agreement, each Holder will, upon surrender of such Receipt at the Corporate Trust Office of the Depositary, upon the payment of the charges of the Depositary for the surrender of Receipts referred to in Section 2.6 hereof and subject to the conditions and restrictions therein set forth, and upon payment of any applicable taxes and/or governmental charges, be entitled to Delivery, to him or upon his order, of the amount of Deposited Securities represented by such Receipt. If any Receipts shall remain outstanding after the date of termination of this Deposit Agreement, the Registrar thereafter shall discontinue the registration of transfers of Receipts, and the Depositary shall suspend the distribution of dividends to the Holders thereof, and shall not give any further notices or perform any further acts under this Deposit Agreement, except that the Depositary shall continue to collect dividends and other distributions pertaining to Deposited Securities, shall sell rights or other property as provided in this Deposit Agreement, and shall continue to Deliver Deposited Securities, subject to the conditions and restrictions set forth in Section 2.6 hereof, together with any dividends or other distributions received with respect thereto and the net proceeds of the sale of any rights or other property, in exchange for Receipts surrendered to the Depositary (after deducting, or charging, as the case may be, in each case, the charges of the Depositary for the surrender of a Receipt, any expenses for the account of the Holder in accordance with the terms and conditions of this Deposit Agreement and any applicable taxes and/or governmental charges or assessments). At any time after the expiration of six months from the date of termination of this Deposit Agreement, the Depositary may sell the Deposited Securities then held hereunder and may thereafter hold uninvested the net proceeds of any such sale, together with any other cash then held by it hereunder, in an unsegregated account, without liability for interest for the pro rata benefit of the Holders of Receipts whose Receipts have not theretofore been surrendered. After making such sale, the Depositary shall be discharged from all obligations under this Deposit Agreement with respect to the Receipts and the Shares, Deposited Securities and American Depositary Shares, except to account for such net proceeds and other cash (after deducting, or charging, as the case may be, in each case, the charges of the Depositary for the surrender of a Receipt, any expenses for the account of the Holder in accordance with the terms and conditions of this Deposit Agreement and any applicable taxes and/or governmental charges or assessments). Upon the termination of this Deposit Agreement, the Company shall be discharged from all obligations under this Deposit Agreement except for its obligations to the Depositary hereunder. The obligations under the terms of this Deposit Agreement and Receipts of Holders and Beneficial Owners of ADSs outstanding as of the effective date of any termination shall survive such effective date of termination and shall be discharged only when the applicable ADSs are presented by their Holders to the Depositary for cancellation under the terms of this Deposit Agreement and the Holders have each satisfied any and all of their obligations hereunder (including, but not limited to, any payment and/or reimbursement obligations which relate to prior to the effective date of termination but which payment and/or reimbursement is claimed after such effective date of termination).</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282" w:name="page283"/>
    <w:bookmarkEnd w:id="28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Deposit Agreement may be executed in any number of counterparts, each of which shall be deemed an original, and all of such counterparts together shall constitute one and the same agreement. Copies of this Deposit Agreement shall be maintained with the Depositary and shall be open to inspection by any Holder during business hours.</w:t>
      </w:r>
    </w:p>
    <w:p>
      <w:pPr>
        <w:spacing w:after="0" w:line="176"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This Deposit Agreement is for the exclusive benefit of the parties hereto (and their successors) and shall not be deemed to give any legal or equitable right, remedy or claim whatsoever to any other person, except to the extent specifically set forth in this Deposit Agreement. Nothing in this Deposit Agreement shall be deemed to give rise to a partnership or joint venture among the parties hereto nor establish a fiduciary or similar relationship among the parties. The parties hereto acknowledge and agree that (i) the Depositary and its Affiliates may at any time have multiple banking relationships with the Company and its Affiliates, (ii) the Depositary and its Affiliates may be engaged at any time in transactions in which parties adverse to the Company or the Holders or Beneficial Owners may have interests and (iii) nothing contained in this Agreement shall (a) preclude the Depositary or any of its Affiliates from engaging in such transactions or establishing or maintaining such relationships, or (b) obligate the Depositary or any of its Affiliates to disclose such transactions or relationships or to account for any profit made or payment received in such transactions or relationships.</w:t>
      </w:r>
    </w:p>
    <w:p>
      <w:pPr>
        <w:spacing w:after="0" w:line="188"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one or more of the provisions contained in this Deposit Agreement or in the Receipts should be or become invalid, illegal or unenforceable in any respect, the validity, legality and enforceability of the remaining provisions contained herein or therein shall in no way be affected, prejudiced or disturbed thereby.</w:t>
      </w:r>
    </w:p>
    <w:p>
      <w:pPr>
        <w:spacing w:after="0" w:line="176" w:lineRule="exact"/>
        <w:rPr>
          <w:sz w:val="20"/>
          <w:szCs w:val="20"/>
          <w:color w:val="auto"/>
        </w:rPr>
      </w:pPr>
    </w:p>
    <w:p>
      <w:pPr>
        <w:ind w:right="4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Holders and Beneficial Owners as Parties; Binding Effect</w:t>
      </w:r>
      <w:r>
        <w:rPr>
          <w:rFonts w:ascii="Times New Roman" w:cs="Times New Roman" w:eastAsia="Times New Roman" w:hAnsi="Times New Roman"/>
          <w:sz w:val="18"/>
          <w:szCs w:val="18"/>
          <w:color w:val="auto"/>
        </w:rPr>
        <w:t>. The Holders and Beneficial Owners from time to time of American Depositary Shares shall be parties to this Deposit Agreement and shall be bound by all of the terms and conditions hereof and of any Receipt by acceptance hereof or any beneficial interest therein.</w:t>
      </w:r>
    </w:p>
    <w:p>
      <w:pPr>
        <w:spacing w:after="0" w:line="176"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to be given to the Company shall be deemed to have been duly given if personally delivered or sent by first-class mail, air courier or cable, telex, facsimile transmission or electronic transmission, confirmed by letter, addressed to WeRide Inc., 21st Floor, Tower A, Guanzhou Life Science Innovation Center, No. 51, Luoxuan Road, Guangzhou International Biotech Island, Guangzhou, People’s Republic of China, Attention: Jennifer Xuan Li or to any other address which the Company may specify in writing to the Depositary or at which it may be effectively given such notice in accordance with applicable law.</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0"/>
          </w:cols>
          <w:pgMar w:left="440" w:top="266" w:right="439" w:bottom="1440" w:gutter="0" w:footer="0" w:header="0"/>
        </w:sectPr>
      </w:pPr>
    </w:p>
    <w:bookmarkStart w:id="283" w:name="page284"/>
    <w:bookmarkEnd w:id="283"/>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and all notices to be given to the Depositary shall be deemed to have been duly given if personally delivered or sent by first-class mail, air courier or cable, telex, facsimile transmission or by electronic transmission (if agreed by the Company and the Depositary), at the Company’s expense, unless otherwise agreed in writing between the Company and the Depositary, confirmed by letter, addressed to Deutsche Bank Trust Company Americas, 1 Columbus Circle, New York, NY 10019, USA, Attention: ADR Department, telephone: +1 212 250-9100, facsimile: + 1 212 797 0327 or to any other address which the Depositary may specify in writing to the Company.</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Any and all notices to be given to any Holder shall be deemed to have been duly given if personally delivered or sent by first-class mail or cable, telex, facsimile transmission or by electronic transmission (if agreed by the Company and the Depositary), at the Company’s expense, unless otherwise agreed in writing between the Company and the Depositary, addressed to such Holder at the address of such Holder as it appears on the transfer books for Receipts of the Depositary, or, if such Holder shall have filed with the Depositary a written request that notices intended for such Holder be mailed to some other address, at the address specified in such request. Notice to Holders shall be deemed to be notice to Beneficial Owners for all purposes of this Deposit Agreement.</w:t>
      </w:r>
    </w:p>
    <w:p>
      <w:pPr>
        <w:spacing w:after="0" w:line="18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Delivery of a notice sent by mail, air courier or cable, telex, facsimile or electronic transmission shall be deemed to be effective at the time when a duly addressed letter containing the same (or a confirmation thereof in the case of a cable, telex, facsimile or electronic transmission) is deposited, postage prepaid, in a post-office letter box or delivered to an air courier service. The Depositary or the Company may, however, act upon any cable, telex, facsimile or electronic transmission received by it from the other or from any Holder, notwithstanding that such cable, telex, facsimile or electronic transmission shall not subsequently be confirmed by letter as aforesaid, as the case may be.</w:t>
      </w:r>
    </w:p>
    <w:p>
      <w:pPr>
        <w:spacing w:after="0" w:line="183"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Governing Law and Jurisdiction</w:t>
      </w:r>
      <w:r>
        <w:rPr>
          <w:rFonts w:ascii="Times New Roman" w:cs="Times New Roman" w:eastAsia="Times New Roman" w:hAnsi="Times New Roman"/>
          <w:sz w:val="18"/>
          <w:szCs w:val="18"/>
          <w:color w:val="auto"/>
        </w:rPr>
        <w:t>. This Deposit Agreement and the Receipts shall be interpreted in accordance with, and all rights hereunder and thereunder and provisions hereof and thereof shall be governed by, the laws of the State of New York without reference to the principles of choice of law thereof. Subject to the Depositary’s rights under the third paragraph of this Section 7.6, the Company and the Depositary agree that the United States District Court for the Southern District of New York (or, if the United States District Court for the Southern District of New York lacks subject matter jurisdiction over a particular dispute, the state courts in New York County, New York) shall have exclusive jurisdiction to hear and determine any suit, action or proceeding and to settle any dispute between them that may arise out of or relate in any way to this Deposit Agreement including without limitation claims under the Securities Act and, for such purposes, each irrevocably submits to the exclusive jurisdiction of such courts. Notwithstanding the above, the parties hereto agree that any judgment and/or order from any such New York court can be enforced in any court having jurisdiction thereof. The Company hereby irrevocably designates, appoints and empowers Cogency Global Inc., (the “</w:t>
      </w:r>
      <w:r>
        <w:rPr>
          <w:rFonts w:ascii="Times New Roman" w:cs="Times New Roman" w:eastAsia="Times New Roman" w:hAnsi="Times New Roman"/>
          <w:sz w:val="18"/>
          <w:szCs w:val="18"/>
          <w:b w:val="1"/>
          <w:bCs w:val="1"/>
          <w:color w:val="auto"/>
        </w:rPr>
        <w:t>Process Agent</w:t>
      </w:r>
      <w:r>
        <w:rPr>
          <w:rFonts w:ascii="Times New Roman" w:cs="Times New Roman" w:eastAsia="Times New Roman" w:hAnsi="Times New Roman"/>
          <w:sz w:val="18"/>
          <w:szCs w:val="18"/>
          <w:color w:val="auto"/>
        </w:rPr>
        <w:t>”), now at 122 East 42nd Street, 18th Floor, New York, NY 10168, as its authorized agent to receive and accept for and on its behalf, and on behalf of its properties, assets and revenues, service by mail of any and all legal process, summons, notices and documents that may be served in any suit, action or proceeding brought against the Company in such courts as described in the preceding sentence or in the next paragraph of this Section 7.6. If for any reason the Process Agent shall cease to be available to act as such, the Company agrees to designate a new agent in the City of New York on the terms and for the purposes of this Section 7.6 reasonably satisfactory to the Depositary. The Company further hereby irrevocably consents and agrees to the service of any and all legal process, summons, notices and documents in any suit, action or proceeding against the Company, by service by mail of a copy thereof upon the Process Agent (whether or not the appointment of such Process Agent shall for any reason prove to be ineffective or such Process Agent shall fail to accept or acknowledge such service), with a copy mailed to the Company by registered or certified air mail, postage prepaid, to its address provided in Section 7.5 hereof. The Company agrees that the failure of the Process Agent to give any notice of such service to it shall not impair or affect in any way the validity of such service or any judgment rendered in any action or proceeding based thereon.</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284" w:name="page285"/>
    <w:bookmarkEnd w:id="284"/>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irrevocably and unconditionally waives, to the fullest extent permitted by law, any objection that it may now or hereafter have to the laying of venue of any actions, suits or proceedings brought in any court as provided in this Section 7.6, and hereby further irrevocably and unconditionally waives and agrees not to plead or claim in any such court that any such action, suit or proceeding brought in any such court has been brought in an inconvenient forum.</w:t>
      </w:r>
    </w:p>
    <w:p>
      <w:pPr>
        <w:spacing w:after="0" w:line="180" w:lineRule="exact"/>
        <w:rPr>
          <w:sz w:val="20"/>
          <w:szCs w:val="20"/>
          <w:color w:val="auto"/>
        </w:rPr>
      </w:pPr>
    </w:p>
    <w:p>
      <w:pPr>
        <w:ind w:firstLine="440"/>
        <w:spacing w:after="0" w:line="269" w:lineRule="auto"/>
        <w:rPr>
          <w:sz w:val="20"/>
          <w:szCs w:val="20"/>
          <w:color w:val="auto"/>
        </w:rPr>
      </w:pPr>
      <w:r>
        <w:rPr>
          <w:rFonts w:ascii="Times New Roman" w:cs="Times New Roman" w:eastAsia="Times New Roman" w:hAnsi="Times New Roman"/>
          <w:sz w:val="17"/>
          <w:szCs w:val="17"/>
          <w:color w:val="auto"/>
        </w:rPr>
        <w:t>The Company, the Depositary and by holding an American Depositary Share (or interest therein) Holders and Beneficial Owners each agree that, notwithstanding the foregoing, with regard to any claim or dispute or difference of whatever nature between or involving the parties hereto arising directly or indirectly from the relationship created by this Deposit Agreement, the Depositary, in its sole discretion, shall be entitled to refer such dispute or difference for final settlement by arbitration (“</w:t>
      </w:r>
      <w:r>
        <w:rPr>
          <w:rFonts w:ascii="Times New Roman" w:cs="Times New Roman" w:eastAsia="Times New Roman" w:hAnsi="Times New Roman"/>
          <w:sz w:val="17"/>
          <w:szCs w:val="17"/>
          <w:b w:val="1"/>
          <w:bCs w:val="1"/>
          <w:color w:val="auto"/>
        </w:rPr>
        <w:t>Arbitration</w:t>
      </w:r>
      <w:r>
        <w:rPr>
          <w:rFonts w:ascii="Times New Roman" w:cs="Times New Roman" w:eastAsia="Times New Roman" w:hAnsi="Times New Roman"/>
          <w:sz w:val="17"/>
          <w:szCs w:val="17"/>
          <w:color w:val="auto"/>
        </w:rPr>
        <w:t>”) in accordance with the Commercial Arbitration Rules of the American Arbitration Association (the “</w:t>
      </w:r>
      <w:r>
        <w:rPr>
          <w:rFonts w:ascii="Times New Roman" w:cs="Times New Roman" w:eastAsia="Times New Roman" w:hAnsi="Times New Roman"/>
          <w:sz w:val="17"/>
          <w:szCs w:val="17"/>
          <w:b w:val="1"/>
          <w:bCs w:val="1"/>
          <w:color w:val="auto"/>
        </w:rPr>
        <w:t>Rules</w:t>
      </w:r>
      <w:r>
        <w:rPr>
          <w:rFonts w:ascii="Times New Roman" w:cs="Times New Roman" w:eastAsia="Times New Roman" w:hAnsi="Times New Roman"/>
          <w:sz w:val="17"/>
          <w:szCs w:val="17"/>
          <w:color w:val="auto"/>
        </w:rPr>
        <w:t>”) then in force. The arbitration shall be conducted by three arbitrators, one nominated by the Depositary, one nominated by the Company, and one nominated by the two party-appointed arbitrators within 30 calendar days of the confirmation of the nomination of the second arbitrator. If any arbitrator has not been nominated within the time limits specified herein and in the Rules, then such arbitrator shall be appointed by the American Arbitration Association in accordance with the Rules. Judgment upon the award rendered by the arbitrators may be enforced in any court having jurisdiction thereof. The seat and place of any reference to arbitration shall be New York City, New York, and the procedural law of such arbitration shall be New York law. The language to be used in the arbitration shall be English. The fees of the arbitrator and other costs incurred by the parties in connection with such Arbitration shall be paid by the party or parties that is (are) unsuccessful in such Arbitration. For the avoidance of doubt this paragraph does not preclude Holders and Beneficial Owners from pursuing claims under the Securities Act or the Exchange Act in federal courts.</w:t>
      </w:r>
    </w:p>
    <w:p>
      <w:pPr>
        <w:spacing w:after="0" w:line="17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Holders and Beneficial Owners understand, and by holding an American Depositary Share or an interest therein, such Holders and Beneficial Owners each irrevocably agrees that any legal suit, action or proceeding against or involving the Company or the Depositary, regardless of whether such legal suit, action or proceeding also involves parties other than the Company or the Depositary, arising out of or relating any way to this Deposit Agreement, the American Depositary Shares or Receipts, or the transactions contemplated hereby or thereby or by virtue of ownership thereof, including without limitation claims under the Securities Act, may only be instituted in the United States District Court for the Southern District of New York (or, if the United States District Court for the Southern District of New York lacks subject matter jurisdiction over a particular dispute, in the state courts in New York County, New York), and by holding an American Depositary Share or an interest therein each irrevocably waives any objection which it may now or hereafter have to the laying of venue of any such proceeding, and irrevocably submits to the exclusive jurisdiction of such courts in any such suit, action or proceeding. Holders and Beneficial Owners agree that the provisions of this paragraph shall survive such Holders’ and Beneficial Owners’ ownership of American Depositary Shares or interests therein.</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0"/>
          </w:cols>
          <w:pgMar w:left="440" w:top="270" w:right="479" w:bottom="1440" w:gutter="0" w:footer="0" w:header="0"/>
        </w:sectPr>
      </w:pPr>
    </w:p>
    <w:bookmarkStart w:id="285" w:name="page286"/>
    <w:bookmarkEnd w:id="285"/>
    <w:p>
      <w:pPr>
        <w:ind w:right="20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PARTY TO THIS DEPOSIT AGREEMENT (INCLUDING, FOR AVOIDANCE OF DOUBT, EACH HOLDER AND BENEFICIAL OWNER AND/OR HOLDER OF INTERESTS IN ANY ADRs) HEREBY IRREVOCABLY WAIVES, TO THE FULLEST EXTENT PERMITTED BY APPLICABLE LAW, ANY RIGHT IT MAY HAVE TO A TRIAL BY JURY IN ANY SUIT, ACTION OR PROCEEDING AGAINST THE DEPOSITARY AND/OR THE COMPANY DIRECTLY OR INDIRECTLY ARISING OUT OF OR RELATING TO THE SHARES OR OTHER DEPOSITED SECURITIES, THE ADSs OR THE ADRs, THIS DEPOSIT AGREEMENT OR ANY TRANSACTION CONTEMPLATED HEREIN OR THEREIN, OR THE BREACH HEREOF OR THEREOF (WHETHER BASED ON CONTRACT, TORT, COMMON LAW OR ANY OTHER THEORY).</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provisions of this Section 7.6 shall survive any termination of this Deposit Agreement, in whole or in part.</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Subject to the provisions and exceptions set forth in Section 5.4 hereof, this Deposit Agreement may not be assigned by either the Company or the Depositary.</w:t>
      </w:r>
    </w:p>
    <w:p>
      <w:pPr>
        <w:spacing w:after="0" w:line="158" w:lineRule="exact"/>
        <w:rPr>
          <w:sz w:val="20"/>
          <w:szCs w:val="20"/>
          <w:color w:val="auto"/>
        </w:rPr>
      </w:pPr>
    </w:p>
    <w:p>
      <w:pPr>
        <w:ind w:right="4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SECTION 7.8 </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The Depositary shall be entitled, in its sole but reasonable discretion, to appoint one or more agents (the “</w:t>
      </w:r>
      <w:r>
        <w:rPr>
          <w:rFonts w:ascii="Times New Roman" w:cs="Times New Roman" w:eastAsia="Times New Roman" w:hAnsi="Times New Roman"/>
          <w:sz w:val="18"/>
          <w:szCs w:val="18"/>
          <w:b w:val="1"/>
          <w:bCs w:val="1"/>
          <w:color w:val="auto"/>
        </w:rPr>
        <w:t>Agents</w:t>
      </w:r>
      <w:r>
        <w:rPr>
          <w:rFonts w:ascii="Times New Roman" w:cs="Times New Roman" w:eastAsia="Times New Roman" w:hAnsi="Times New Roman"/>
          <w:sz w:val="18"/>
          <w:szCs w:val="18"/>
          <w:color w:val="auto"/>
        </w:rPr>
        <w:t xml:space="preserve">”) of which it shall have control for the purpose,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of making distributions to the Holders or otherwise carrying out its obligations under this Agreement.</w:t>
      </w:r>
    </w:p>
    <w:p>
      <w:pPr>
        <w:spacing w:after="0" w:line="17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7.9 </w:t>
      </w:r>
      <w:r>
        <w:rPr>
          <w:rFonts w:ascii="Times New Roman" w:cs="Times New Roman" w:eastAsia="Times New Roman" w:hAnsi="Times New Roman"/>
          <w:sz w:val="18"/>
          <w:szCs w:val="18"/>
          <w:u w:val="single" w:color="auto"/>
          <w:color w:val="auto"/>
        </w:rPr>
        <w:t>Affiliates etc</w:t>
      </w:r>
      <w:r>
        <w:rPr>
          <w:rFonts w:ascii="Times New Roman" w:cs="Times New Roman" w:eastAsia="Times New Roman" w:hAnsi="Times New Roman"/>
          <w:sz w:val="18"/>
          <w:szCs w:val="18"/>
          <w:color w:val="auto"/>
        </w:rPr>
        <w:t>. The Depositary reserves the right to utilize and retain a division or Affiliate(s) of the Depositary to direct, manage and/or execute any public and/or private sale of Shares, rights, securities, property or other entitlements hereunder and to engage in the conversion of Foreign Currency hereunder. It is anticipated that such division and/or Affiliate(s) will charge the Depositary a fee and/or commission in connection with each such transaction, and seek reimbursement of its costs and expenses related thereto. Such fees/commissions, costs and expenses, shall be deducted from amounts distributed hereunder and shall not be deemed to be fees of the Depositary under Article (9) of the Receipt or otherwise. Persons are advised that in converting foreign currency into U.S. dollars the Depositary may utilize Deutsche Bank AG or its affiliates (collectively, “</w:t>
      </w:r>
      <w:r>
        <w:rPr>
          <w:rFonts w:ascii="Times New Roman" w:cs="Times New Roman" w:eastAsia="Times New Roman" w:hAnsi="Times New Roman"/>
          <w:sz w:val="18"/>
          <w:szCs w:val="18"/>
          <w:b w:val="1"/>
          <w:bCs w:val="1"/>
          <w:color w:val="auto"/>
        </w:rPr>
        <w:t>DBAG</w:t>
      </w:r>
      <w:r>
        <w:rPr>
          <w:rFonts w:ascii="Times New Roman" w:cs="Times New Roman" w:eastAsia="Times New Roman" w:hAnsi="Times New Roman"/>
          <w:sz w:val="18"/>
          <w:szCs w:val="18"/>
          <w:color w:val="auto"/>
        </w:rPr>
        <w:t>”) to effect such conversion by seeking to enter into a foreign exchange (“</w:t>
      </w:r>
      <w:r>
        <w:rPr>
          <w:rFonts w:ascii="Times New Roman" w:cs="Times New Roman" w:eastAsia="Times New Roman" w:hAnsi="Times New Roman"/>
          <w:sz w:val="18"/>
          <w:szCs w:val="18"/>
          <w:b w:val="1"/>
          <w:bCs w:val="1"/>
          <w:color w:val="auto"/>
        </w:rPr>
        <w:t>FX</w:t>
      </w:r>
      <w:r>
        <w:rPr>
          <w:rFonts w:ascii="Times New Roman" w:cs="Times New Roman" w:eastAsia="Times New Roman" w:hAnsi="Times New Roman"/>
          <w:sz w:val="18"/>
          <w:szCs w:val="18"/>
          <w:color w:val="auto"/>
        </w:rPr>
        <w:t>”) transaction with DBAG. When converting currency, the Depositary is not acting as a fiduciary for the holders or beneficial owners of depositary receipts or any other person. Moreover, in executing FX transactions, DBAG will be acting in a principal capacity, and not as agent, fiduciary or broker, and may hold positions for its own account that are the same, similar, different or opposite to the positions of its customers, including the Depositary. When the Depositary seeks to execute an FX transaction to accomplish such conversion, customers should be aware that DBAG is a global dealer in FX for a full range of FX products and, as a result, the rate obtained in connection with any requested foreign currency conversion may be impacted by DBAG executing FX transactions for its own account or with another customer. In addition, in order to source liquidity for any FX transaction relating to any foreign currency conversion, DBAG may internally share economic terms relating to the relevant FX transaction with persons acting in a sales or trading capacity for DBAG or one of its agents. DBAG may charge fees and/or commissions to the Depositary or add a mark-up in connection with such conversions, which are reflected in the rate at which the foreign currency will be converted into U.S. dollars. The Depositary, its Affiliates and their agents, on their own behalf, may own and deal in any class of securities of the Company and its Affiliates and in ADSs.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286" w:name="page287"/>
    <w:bookmarkEnd w:id="286"/>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7.10 </w:t>
      </w:r>
      <w:r>
        <w:rPr>
          <w:rFonts w:ascii="Times New Roman" w:cs="Times New Roman" w:eastAsia="Times New Roman" w:hAnsi="Times New Roman"/>
          <w:sz w:val="18"/>
          <w:szCs w:val="18"/>
          <w:u w:val="single" w:color="auto"/>
          <w:color w:val="auto"/>
        </w:rPr>
        <w:t>Exclusivity</w:t>
      </w:r>
      <w:r>
        <w:rPr>
          <w:rFonts w:ascii="Times New Roman" w:cs="Times New Roman" w:eastAsia="Times New Roman" w:hAnsi="Times New Roman"/>
          <w:sz w:val="18"/>
          <w:szCs w:val="18"/>
          <w:color w:val="auto"/>
        </w:rPr>
        <w:t>. The Company agrees not to appoint any other depositary for the issuance or administration of depositary receipts evidencing any class of stock of the Company so long as Deutsche Bank Trust Company Americas is acting as Depositary hereunder.</w:t>
      </w:r>
    </w:p>
    <w:p>
      <w:pPr>
        <w:spacing w:after="0" w:line="162"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Compliance with U.S. Securities Laws</w:t>
      </w:r>
      <w:r>
        <w:rPr>
          <w:rFonts w:ascii="Times New Roman" w:cs="Times New Roman" w:eastAsia="Times New Roman" w:hAnsi="Times New Roman"/>
          <w:sz w:val="18"/>
          <w:szCs w:val="18"/>
          <w:color w:val="auto"/>
        </w:rPr>
        <w:t>. Notwithstanding anything in this Deposit Agreement to the contrary, the withdrawal or Delivery of Deposited Securities will not be suspended by the Company or the Depositary except as would be permitted by Instruction I.A.(1) of the General Instructions to Form F-6 Registration Statement, as amended from time to time, under the Securities Act.</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Titles</w:t>
      </w:r>
      <w:r>
        <w:rPr>
          <w:rFonts w:ascii="Times New Roman" w:cs="Times New Roman" w:eastAsia="Times New Roman" w:hAnsi="Times New Roman"/>
          <w:sz w:val="18"/>
          <w:szCs w:val="18"/>
          <w:color w:val="auto"/>
        </w:rPr>
        <w:t>. All references in this Deposit Agreement to exhibits, Articles, sections, subsections, and other subdivisions refer to the exhibits, Articles, sections, subsections and other subdivisions of this Deposit Agreement unless expressly provided otherwise. The words “</w:t>
      </w:r>
      <w:r>
        <w:rPr>
          <w:rFonts w:ascii="Times New Roman" w:cs="Times New Roman" w:eastAsia="Times New Roman" w:hAnsi="Times New Roman"/>
          <w:sz w:val="18"/>
          <w:szCs w:val="18"/>
          <w:b w:val="1"/>
          <w:bCs w:val="1"/>
          <w:color w:val="auto"/>
        </w:rPr>
        <w:t>this Deposit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hereof</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hereby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hereunder</w:t>
      </w:r>
      <w:r>
        <w:rPr>
          <w:rFonts w:ascii="Times New Roman" w:cs="Times New Roman" w:eastAsia="Times New Roman" w:hAnsi="Times New Roman"/>
          <w:sz w:val="18"/>
          <w:szCs w:val="18"/>
          <w:color w:val="auto"/>
        </w:rPr>
        <w:t>”, and words of similar import refer to this Deposit Agreement as a whole as in effect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the Depositary and the Holders and Beneficial Owners of ADSs and not to any particular subdivision unless expressly so limited. Pronouns in masculine, feminine and neuter gender shall be construed to include any other gender, and words in the singular form shall be construed to include the plural and vice versa unless the context otherwise requires. Titles to sections of this Deposit Agreement are included for convenience only and shall be disregarded in construing the language contained in this Deposit Agreement.</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60"/>
          </w:cols>
          <w:pgMar w:left="440" w:top="270" w:right="499" w:bottom="1440" w:gutter="0" w:footer="0" w:header="0"/>
        </w:sectPr>
      </w:pPr>
    </w:p>
    <w:bookmarkStart w:id="287" w:name="page288"/>
    <w:bookmarkEnd w:id="287"/>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WERIDE INC. and DEUTSCHE BANK TRUST COMPANY AMERICAS have duly executed this Deposit Agreement as of the day and year first above set forth and all Holders and Beneficial Owners shall become parties hereto upon acceptance by them of American Depositary Shares evidenced by Receipts issued in accordance with the terms hereof.</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WERIDE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Jennifer Xuan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Jennifer Xuan Li</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[Signature Page to Deposit Agreement]</w:t>
      </w:r>
    </w:p>
    <w:p>
      <w:pPr>
        <w:spacing w:after="0" w:line="16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840"/>
          </w:cols>
          <w:pgMar w:left="440" w:top="270" w:right="619" w:bottom="1440" w:gutter="0" w:footer="0" w:header="0"/>
        </w:sectPr>
      </w:pPr>
    </w:p>
    <w:bookmarkStart w:id="288" w:name="page289"/>
    <w:bookmarkEnd w:id="288"/>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DEUTSCHE BANK TRUST COMPANY AMERICAS</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Kelvyn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Kelvyn Correa</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JEFF MARGOLICK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JEFF MARGOLICK</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9800"/>
          </w:cols>
          <w:pgMar w:left="1440" w:top="266" w:right="659" w:bottom="1440" w:gutter="0" w:footer="0" w:header="0"/>
        </w:sectPr>
      </w:pPr>
    </w:p>
    <w:bookmarkStart w:id="289" w:name="page290"/>
    <w:bookmarkEnd w:id="28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9" w:lineRule="exact"/>
        <w:rPr>
          <w:sz w:val="20"/>
          <w:szCs w:val="20"/>
          <w:color w:val="auto"/>
        </w:rPr>
      </w:pPr>
    </w:p>
    <w:p>
      <w:pPr>
        <w:ind w:left="9784"/>
        <w:spacing w:after="0"/>
        <w:rPr>
          <w:sz w:val="20"/>
          <w:szCs w:val="20"/>
          <w:color w:val="auto"/>
        </w:rPr>
      </w:pPr>
      <w:r>
        <w:rPr>
          <w:rFonts w:ascii="Times New Roman" w:cs="Times New Roman" w:eastAsia="Times New Roman" w:hAnsi="Times New Roman"/>
          <w:sz w:val="18"/>
          <w:szCs w:val="18"/>
          <w:color w:val="auto"/>
        </w:rPr>
        <w:t>CUSIP________</w:t>
      </w:r>
    </w:p>
    <w:p>
      <w:pPr>
        <w:spacing w:after="0" w:line="117" w:lineRule="exact"/>
        <w:rPr>
          <w:sz w:val="20"/>
          <w:szCs w:val="20"/>
          <w:color w:val="auto"/>
        </w:rPr>
      </w:pPr>
    </w:p>
    <w:p>
      <w:pPr>
        <w:ind w:left="9944"/>
        <w:spacing w:after="0"/>
        <w:rPr>
          <w:sz w:val="20"/>
          <w:szCs w:val="20"/>
          <w:color w:val="auto"/>
        </w:rPr>
      </w:pPr>
      <w:r>
        <w:rPr>
          <w:rFonts w:ascii="Times New Roman" w:cs="Times New Roman" w:eastAsia="Times New Roman" w:hAnsi="Times New Roman"/>
          <w:sz w:val="18"/>
          <w:szCs w:val="18"/>
          <w:color w:val="auto"/>
        </w:rPr>
        <w:t>ISIN________</w:t>
      </w:r>
    </w:p>
    <w:p>
      <w:pPr>
        <w:spacing w:after="0" w:line="252"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8"/>
          <w:szCs w:val="18"/>
          <w:color w:val="auto"/>
        </w:rPr>
        <w:t>American Depositary</w:t>
      </w:r>
    </w:p>
    <w:p>
      <w:pPr>
        <w:spacing w:after="0" w:line="27"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8"/>
          <w:szCs w:val="18"/>
          <w:color w:val="auto"/>
        </w:rPr>
        <w:t>Shares (Each</w:t>
      </w:r>
    </w:p>
    <w:p>
      <w:pPr>
        <w:spacing w:after="0" w:line="9"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8"/>
          <w:szCs w:val="18"/>
          <w:color w:val="auto"/>
        </w:rPr>
        <w:t>American Depositary</w:t>
      </w:r>
    </w:p>
    <w:p>
      <w:pPr>
        <w:spacing w:after="0" w:line="9"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8"/>
          <w:szCs w:val="18"/>
          <w:color w:val="auto"/>
        </w:rPr>
        <w:t>Share representing 3</w:t>
      </w:r>
    </w:p>
    <w:p>
      <w:pPr>
        <w:spacing w:after="0" w:line="9"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8"/>
          <w:szCs w:val="18"/>
          <w:color w:val="auto"/>
        </w:rPr>
        <w:t>Fully Paid Class A</w:t>
      </w:r>
    </w:p>
    <w:p>
      <w:pPr>
        <w:spacing w:after="0" w:line="9"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8"/>
          <w:szCs w:val="18"/>
          <w:color w:val="auto"/>
        </w:rPr>
        <w:t>Ordinary Shares)</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FACE OF RECEIPT]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AMERICAN DEPOSITARY RECEIPT</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AMERICAN DEPOSITARY SHARES</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representing</w:t>
      </w:r>
    </w:p>
    <w:p>
      <w:pPr>
        <w:spacing w:after="0" w:line="117"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DEPOSITED ORDINARY SHARES</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of</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WERIDE INC.</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(Incorporated under the laws of the Cayman Islands)</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DEUTSCHE BANK TRUST COMPANY AMERICAS, as depositary (herein called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hereby certifies that ________________ is the</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owner of ______________ American Depositary Shares (hereinafter “</w:t>
      </w:r>
      <w:r>
        <w:rPr>
          <w:rFonts w:ascii="Times New Roman" w:cs="Times New Roman" w:eastAsia="Times New Roman" w:hAnsi="Times New Roman"/>
          <w:sz w:val="18"/>
          <w:szCs w:val="18"/>
          <w:b w:val="1"/>
          <w:bCs w:val="1"/>
          <w:color w:val="auto"/>
        </w:rPr>
        <w:t>ADS</w:t>
      </w:r>
      <w:r>
        <w:rPr>
          <w:rFonts w:ascii="Times New Roman" w:cs="Times New Roman" w:eastAsia="Times New Roman" w:hAnsi="Times New Roman"/>
          <w:sz w:val="18"/>
          <w:szCs w:val="18"/>
          <w:color w:val="auto"/>
        </w:rPr>
        <w:t>”), representing deposited ordinary shares, each of Par Value of U.S. $0.0001</w:t>
      </w:r>
    </w:p>
    <w:p>
      <w:pPr>
        <w:spacing w:after="0" w:line="9" w:lineRule="exact"/>
        <w:rPr>
          <w:sz w:val="20"/>
          <w:szCs w:val="20"/>
          <w:color w:val="auto"/>
        </w:rPr>
      </w:pPr>
    </w:p>
    <w:p>
      <w:pPr>
        <w:ind w:left="4" w:right="80"/>
        <w:spacing w:after="0" w:line="253" w:lineRule="auto"/>
        <w:rPr>
          <w:sz w:val="20"/>
          <w:szCs w:val="20"/>
          <w:color w:val="auto"/>
        </w:rPr>
      </w:pPr>
      <w:r>
        <w:rPr>
          <w:rFonts w:ascii="Times New Roman" w:cs="Times New Roman" w:eastAsia="Times New Roman" w:hAnsi="Times New Roman"/>
          <w:sz w:val="18"/>
          <w:szCs w:val="18"/>
          <w:color w:val="auto"/>
        </w:rPr>
        <w:t>including evidence of rights to receive such class A ordinary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We Ride Inc., a company incorporated under the laws of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of the date of the Deposit Agreement (hereinafter referred to), each ADS represents 3 Shares deposited under the Deposit Agreement with the Custodian which at the date of execution of the Deposit Agreement is Deutsche Bank AG, Hong Kong Branch (the “</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The ratio of Depositary Shares to shares of stock is subject to subsequent amendment as provided in Article IV of the Deposit Agreement. The Depositary’s Corporate Trust Office is located at 1 Columbus Circle, New York, NY 10019, U.S.A.</w:t>
      </w:r>
    </w:p>
    <w:p>
      <w:pPr>
        <w:spacing w:after="0" w:line="183" w:lineRule="exact"/>
        <w:rPr>
          <w:sz w:val="20"/>
          <w:szCs w:val="20"/>
          <w:color w:val="auto"/>
        </w:rPr>
      </w:pPr>
    </w:p>
    <w:p>
      <w:pPr>
        <w:ind w:left="4" w:right="20" w:hanging="4"/>
        <w:spacing w:after="0" w:line="255" w:lineRule="auto"/>
        <w:tabs>
          <w:tab w:leader="none" w:pos="259"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Deposit Agreement</w:t>
      </w:r>
      <w:r>
        <w:rPr>
          <w:rFonts w:ascii="Times New Roman" w:cs="Times New Roman" w:eastAsia="Times New Roman" w:hAnsi="Times New Roman"/>
          <w:sz w:val="18"/>
          <w:szCs w:val="18"/>
          <w:color w:val="auto"/>
        </w:rPr>
        <w:t>. This American Depositary Receipt is one of an issue of American Depositary Receipts (“</w:t>
      </w:r>
      <w:r>
        <w:rPr>
          <w:rFonts w:ascii="Times New Roman" w:cs="Times New Roman" w:eastAsia="Times New Roman" w:hAnsi="Times New Roman"/>
          <w:sz w:val="18"/>
          <w:szCs w:val="18"/>
          <w:b w:val="1"/>
          <w:bCs w:val="1"/>
          <w:color w:val="auto"/>
        </w:rPr>
        <w:t>Receipts</w:t>
      </w:r>
      <w:r>
        <w:rPr>
          <w:rFonts w:ascii="Times New Roman" w:cs="Times New Roman" w:eastAsia="Times New Roman" w:hAnsi="Times New Roman"/>
          <w:sz w:val="18"/>
          <w:szCs w:val="18"/>
          <w:color w:val="auto"/>
        </w:rPr>
        <w:t>”), all issued or to be issued upon the terms and conditions set forth in the Deposit Agreement, dated as of October 24, 2024 (as amended from time to time, the “</w:t>
      </w:r>
      <w:r>
        <w:rPr>
          <w:rFonts w:ascii="Times New Roman" w:cs="Times New Roman" w:eastAsia="Times New Roman" w:hAnsi="Times New Roman"/>
          <w:sz w:val="18"/>
          <w:szCs w:val="18"/>
          <w:b w:val="1"/>
          <w:bCs w:val="1"/>
          <w:color w:val="auto"/>
        </w:rPr>
        <w:t>Deposit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among the Company, the Depositary, and all Holders and Beneficial Owners from time to time of Receipts issued thereunder,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whom by accepting a Receipt agrees to become a party thereto and becomes bound by all the terms and conditions thereof. The Deposit Agreement sets forth the rights and obligations of Holders and Beneficial Owners of Receipts and the rights and duties of the Depositary in respect of the Shares deposited thereunder and any and all other securities, property and cash from time to time, received in respect of such Shares and held thereunder (such Shares, other securities, property and cash are herein called “</w:t>
      </w:r>
      <w:r>
        <w:rPr>
          <w:rFonts w:ascii="Times New Roman" w:cs="Times New Roman" w:eastAsia="Times New Roman" w:hAnsi="Times New Roman"/>
          <w:sz w:val="18"/>
          <w:szCs w:val="18"/>
          <w:b w:val="1"/>
          <w:bCs w:val="1"/>
          <w:color w:val="auto"/>
        </w:rPr>
        <w:t>Deposited Securities</w:t>
      </w:r>
      <w:r>
        <w:rPr>
          <w:rFonts w:ascii="Times New Roman" w:cs="Times New Roman" w:eastAsia="Times New Roman" w:hAnsi="Times New Roman"/>
          <w:sz w:val="18"/>
          <w:szCs w:val="18"/>
          <w:color w:val="auto"/>
        </w:rPr>
        <w:t>”). Copies of the Deposit Agreement are on file at the Corporate Trust Office of the Depositary and the Custodian.</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4"/>
          </w:cols>
          <w:pgMar w:left="436" w:top="266" w:right="439" w:bottom="1440" w:gutter="0" w:footer="0" w:header="0"/>
        </w:sectPr>
      </w:pPr>
    </w:p>
    <w:bookmarkStart w:id="290" w:name="page291"/>
    <w:bookmarkEnd w:id="290"/>
    <w:p>
      <w:pPr>
        <w:ind w:left="4"/>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owner and each Beneficial Owner, upon acceptance of any ADSs (or any interest therein) issued in accordance with the terms and conditions of the Deposit Agreement, shall be deemed for all purposes to (a) be a party to and bound by the terms of the Deposit Agreement and applicable ADR(s), and</w:t>
      </w:r>
    </w:p>
    <w:p>
      <w:pPr>
        <w:spacing w:after="0" w:line="1" w:lineRule="exact"/>
        <w:rPr>
          <w:sz w:val="20"/>
          <w:szCs w:val="20"/>
          <w:color w:val="auto"/>
        </w:rPr>
      </w:pPr>
    </w:p>
    <w:p>
      <w:pPr>
        <w:ind w:left="4" w:hanging="4"/>
        <w:spacing w:after="0" w:line="253" w:lineRule="auto"/>
        <w:tabs>
          <w:tab w:leader="none" w:pos="259"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w:t>
      </w:r>
    </w:p>
    <w:p>
      <w:pPr>
        <w:spacing w:after="0" w:line="189"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The statements made on the face and reverse of this Receipt are summaries of certain provisions of the Deposit Agreement and the Memorandum and Articles of Association (as in effect on the date of the Deposit Agreement) and are qualified by and subject to the detailed provisions of the Deposit Agreement, to which reference is hereby made. All capitalized terms used herein which are not otherwise defined herein shall have the meanings ascribed thereto in the Deposit Agreement. To the extent there is any inconsistency between the terms of this Receipt and the terms of the Deposit Agreement, the terms of the Deposit Agreement shall prevail. Prospective and actual Holders and Beneficial Owners are encouraged to read the terms of the Deposit Agreement. The Depositary makes no representation or warranty as to the validity or worth of the Deposited Securities. The Depositary has made arrangements for the acceptance of the American Depositary Shares into DTC. Each Beneficial Owner of American Depositary Shares held through DTC must rely on the procedures of DTC and the DTC Participants to exercise and be entitled to any rights attributable to such American Depositary Shares. The Receipt evidencing the American Depositary Shares held through DTC will be registered in the name of a nominee of DTC. So long as the American Depositary Shares are held through DTC or unless otherwise required by law, ownership of beneficial interests in the Receipt registered in the name of DTC (or its nominee) will be shown on, and transfers of such ownership will be effected only through, records maintained by (i) DTC (or its nominee), or (ii) DTC Participants (or their nominees).</w:t>
      </w:r>
    </w:p>
    <w:p>
      <w:pPr>
        <w:spacing w:after="0" w:line="190" w:lineRule="exact"/>
        <w:rPr>
          <w:sz w:val="20"/>
          <w:szCs w:val="20"/>
          <w:color w:val="auto"/>
        </w:rPr>
      </w:pPr>
    </w:p>
    <w:p>
      <w:pPr>
        <w:ind w:left="4" w:right="40" w:hanging="4"/>
        <w:spacing w:after="0" w:line="254" w:lineRule="auto"/>
        <w:tabs>
          <w:tab w:leader="none" w:pos="259"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Surrender of Receipts and Withdrawal of Deposited Securities</w:t>
      </w:r>
      <w:r>
        <w:rPr>
          <w:rFonts w:ascii="Times New Roman" w:cs="Times New Roman" w:eastAsia="Times New Roman" w:hAnsi="Times New Roman"/>
          <w:sz w:val="18"/>
          <w:szCs w:val="18"/>
          <w:color w:val="auto"/>
        </w:rPr>
        <w:t>. Upon surrender, at the Corporate Trust Office of the Depositary, of ADSs evidenced by this Receipt for the purpose of withdrawal of the Deposited Securities represented thereby, and upon payment of (i) the fees and charges of the Depositary for the making of withdrawals of Deposited Securities and cancellation of Receipts (as set forth in Section 5.9 of the Deposit Agreement and Article (9) hereof) and (ii) all fees, taxes and/or governmental charges payable in connection with such surrender and withdrawal, and, subject to the terms and conditions of the Deposit Agreement, the Memorandum and Articles of Association, Section 7.11 of the Deposit Agreement, Article</w:t>
      </w:r>
    </w:p>
    <w:p>
      <w:pPr>
        <w:spacing w:after="0" w:line="3" w:lineRule="exact"/>
        <w:rPr>
          <w:rFonts w:ascii="Times New Roman" w:cs="Times New Roman" w:eastAsia="Times New Roman" w:hAnsi="Times New Roman"/>
          <w:sz w:val="18"/>
          <w:szCs w:val="18"/>
          <w:color w:val="auto"/>
        </w:rPr>
      </w:pPr>
    </w:p>
    <w:p>
      <w:pPr>
        <w:ind w:left="4" w:right="60" w:hanging="4"/>
        <w:spacing w:after="0" w:line="253" w:lineRule="auto"/>
        <w:tabs>
          <w:tab w:leader="none" w:pos="349"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 and the provisions of or governing the Deposited Securities and other applicable laws, the Holder of the American Depositary Shares evidenced hereby is entitled to Delivery, to him or upon his order, of the Deposited Securities represented by the ADS so surrendered. ADS may be surrendered for the purpose of withdrawing Deposited Securities by Delivery of a Receipt evidencing such ADS (if held in registered form) or by book-entry delivery of such ADS to the Depositary.</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4"/>
          </w:cols>
          <w:pgMar w:left="436" w:top="270" w:right="459" w:bottom="1440" w:gutter="0" w:footer="0" w:header="0"/>
        </w:sectPr>
      </w:pPr>
    </w:p>
    <w:bookmarkStart w:id="291" w:name="page292"/>
    <w:bookmarkEnd w:id="291"/>
    <w:p>
      <w:pPr>
        <w:ind w:left="4" w:right="2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Receipt surrendered for such purposes shall, if so required by the Depositary, be properly endorsed in blank or accompanied by proper instruments of transfer in blank, and if the Depositary so requires, the Holder thereof shall execute and deliver to the Depositary a written order directing the Depositary to cause the Deposited Securities being withdrawn to be Delivered to or upon the written order of a person or persons designated in such order. Thereupon, the Depositary shall direct the Custodian to Deliver (without unreasonable delay) at the designated office of the Custodian or through a book-entry delivery of the Shares (in either case subject to the terms and conditions of the Deposit Agreement, to the Memorandum and Articles of Association, and to the provisions of or governing the Deposited Securities and applicable laws, now or hereafter in effect), to or upon the written order of the person or persons designated in the order delivered to the Depositary as provided above, the Deposited Securities represented by such ADSs, together with any certificate or other proper documents of or relating to title for the Deposited Securities or evidence of the electronic transfer thereof (if available) as the case may be to or for the account of such person. Subject to Article (4) hereof, in the case of surrender of a Receipt evidencing a number of ADSs representing other than a whole number of Shares, the Depositary shall cause ownership of the appropriate whole number of Shares to be Delivered in accordance with the terms hereof, and shall, at the discretion of the Depositary, either (i) issue and Deliver to the person surrendering such Receipt a new Receipt evidencing American Depositary Shares representing any remaining fractional Share, or (ii) sell or cause to be sold the fractional Shares represented by the Receipt so surrendered and remit the proceeds thereof (net of (a) applicable fees and charges of, and expenses incurred by, the Depositary and/or a division or Affiliate(s) of the Depositary and (b) taxes and/or governmental charges) to the person surrendering the Receipt. At the request, risk and expense of any Holder so surrendering a Receipt, and for the account of such Holder, the Depositary shall direct the Custodian to forward (to the extent permitted by law) any cash or other property (other than securities) held in respect of, and any certificate or certificates and other proper documents of or relating to title to, the Deposited Securities represented by such Receipt to the Depositary for Delivery at the Corporate Trust Office of the Depositary, and for further Delivery to such Holder. Such direction shall be given by letter or, at the request, risk and expense of such Holder, by cable, telex or facsimile transmission. Upon receipt of such direction by the Depositary, the Depositary may make delivery to such person or persons entitled thereto at the Corporate Trust Office of the Depositary of any dividends or cash distributions with respect to the Deposited Securities represented by such Receipt, or of any proceeds of sale of any dividends, distributions or rights, which may at the time be held by the Depositary.</w:t>
      </w:r>
    </w:p>
    <w:p>
      <w:pPr>
        <w:spacing w:after="0" w:line="206" w:lineRule="exact"/>
        <w:rPr>
          <w:sz w:val="20"/>
          <w:szCs w:val="20"/>
          <w:color w:val="auto"/>
        </w:rPr>
      </w:pPr>
    </w:p>
    <w:p>
      <w:pPr>
        <w:ind w:left="4" w:hanging="4"/>
        <w:spacing w:after="0" w:line="253" w:lineRule="auto"/>
        <w:tabs>
          <w:tab w:leader="none" w:pos="259"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Transfers, Split-Ups and Combinations of Receipts</w:t>
      </w:r>
      <w:r>
        <w:rPr>
          <w:rFonts w:ascii="Times New Roman" w:cs="Times New Roman" w:eastAsia="Times New Roman" w:hAnsi="Times New Roman"/>
          <w:sz w:val="18"/>
          <w:szCs w:val="18"/>
          <w:color w:val="auto"/>
        </w:rPr>
        <w:t>. Subject to the terms and conditions of the Deposit Agreement, the Registrar shall register transfers of Receipts on its books, upon surrender at the Corporate Trust Office of the Depositary of a Receipt by the Holder thereof in person or by duly authorized attorney, properly endorsed in the case of a certificated Receipt or accompanied by, or in the case of Receipts issued through any book-entry system, including, without limitation, DRS/Profile, receipt by the Depositary of proper instruments of transfer (including signature guarantees in accordance with standard industry practice) and duly stamped as may be required by the laws of the State of New York, of the United States, of the Cayman Islands and of any other applicable jurisdiction. Subject to the terms and conditions of the Deposit Agreement, including payment of the applicable fees and expenses incurred by, and charges of, the Depositary, the Depositary shall execute and Deliver a new Receipt(s) (and if necessary, cause the Registrar to countersign such Receipt(s)) and deliver same to or upon the order of the person entitled to such Receipts evidencing the same aggregate number of ADSs as those evidenced by the Receipts surrendered. Upon surrender of a Receipt or Receipts for the purpose of effecting a split-up or combination of such Receipt or Receipts upon payment of the applicable fees and charges of the Depositary, and subject to the terms and conditions of the Deposit Agreement, the Depositary shall execute and deliver a new Receipt or Receipts for any authorized number of ADSs requested, evidencing the same aggregate number of ADSs as the Receipt or Receipts surrendered.</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84"/>
          </w:cols>
          <w:pgMar w:left="436" w:top="270" w:right="479" w:bottom="1440" w:gutter="0" w:footer="0" w:header="0"/>
        </w:sectPr>
      </w:pPr>
    </w:p>
    <w:bookmarkStart w:id="292" w:name="page293"/>
    <w:bookmarkEnd w:id="292"/>
    <w:p>
      <w:pPr>
        <w:ind w:left="4" w:right="40" w:hanging="4"/>
        <w:spacing w:after="0" w:line="254" w:lineRule="auto"/>
        <w:tabs>
          <w:tab w:leader="none" w:pos="259"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Pre-Conditions to Registration, Transfer, Etc</w:t>
      </w:r>
      <w:r>
        <w:rPr>
          <w:rFonts w:ascii="Times New Roman" w:cs="Times New Roman" w:eastAsia="Times New Roman" w:hAnsi="Times New Roman"/>
          <w:sz w:val="18"/>
          <w:szCs w:val="18"/>
          <w:color w:val="auto"/>
        </w:rPr>
        <w:t>. As a condition precedent to the execution and Delivery, registration, registration of transfer, split-up, subdivision, combination or surrender of any Receipt, the delivery of any distribution thereon (whether in cash or shares) or withdrawal of any Deposited Securities, the Depositary or the Custodian may require (i) payment from the depositor of Shares or presenter of the Receipt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the Deposit Agreement and in this Receipt, (ii) the production of proof satisfactory to it as to the identity and genuineness of any signature or any other matter and (iii) compliance with (A) any laws or governmental regulations relating to the execution and Delivery of Receipts and ADSs or to the withdrawal of Deposited Securities and (B) such reasonable regulations of the Depositary or the Company consistent with the Deposit Agreement and applicable law.</w:t>
      </w:r>
    </w:p>
    <w:p>
      <w:pPr>
        <w:spacing w:after="0" w:line="188" w:lineRule="exact"/>
        <w:rPr>
          <w:sz w:val="20"/>
          <w:szCs w:val="20"/>
          <w:color w:val="auto"/>
        </w:rPr>
      </w:pPr>
    </w:p>
    <w:p>
      <w:pPr>
        <w:ind w:left="4" w:right="40"/>
        <w:spacing w:after="0" w:line="255" w:lineRule="auto"/>
        <w:rPr>
          <w:sz w:val="20"/>
          <w:szCs w:val="20"/>
          <w:color w:val="auto"/>
        </w:rPr>
      </w:pPr>
      <w:r>
        <w:rPr>
          <w:rFonts w:ascii="Times New Roman" w:cs="Times New Roman" w:eastAsia="Times New Roman" w:hAnsi="Times New Roman"/>
          <w:sz w:val="18"/>
          <w:szCs w:val="18"/>
          <w:color w:val="auto"/>
        </w:rPr>
        <w:t>The issuance of ADSs against deposits of Shares generally or against deposits of particular Shares may be suspended, or the issuance of ADSs against the deposit of particular Shares may be withheld, or the registration of transfer of Receipts in particular instances may be refused, or the registration of transfer of Receipts generally may be suspended, during any period when the transfer books of the Depositary are closed or if any such action is deemed necessary or advisable by the Depositary or the Company, in good faith, at any time or from time to time because of any requirement of law, any government or governmental body or commission or any securities exchange upon which the Receipts or Share are listed, or under any provision of the Deposit Agreement or provisions of, or governing, the Deposited Securities or any meeting of shareholders of the Company or for any other reason, subject in all cases to Article (22) hereof.</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Depositary shall not issue ADSs prior to the receipt of Shares or deliver Shares prior to the receipt and cancellation of ADSs.</w:t>
      </w:r>
    </w:p>
    <w:p>
      <w:pPr>
        <w:spacing w:after="0" w:line="225" w:lineRule="exact"/>
        <w:rPr>
          <w:sz w:val="20"/>
          <w:szCs w:val="20"/>
          <w:color w:val="auto"/>
        </w:rPr>
      </w:pPr>
    </w:p>
    <w:p>
      <w:pPr>
        <w:ind w:left="4" w:hanging="4"/>
        <w:spacing w:after="0" w:line="255" w:lineRule="auto"/>
        <w:tabs>
          <w:tab w:leader="none" w:pos="259"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Information Requests</w:t>
      </w:r>
      <w:r>
        <w:rPr>
          <w:rFonts w:ascii="Times New Roman" w:cs="Times New Roman" w:eastAsia="Times New Roman" w:hAnsi="Times New Roman"/>
          <w:sz w:val="18"/>
          <w:szCs w:val="18"/>
          <w:color w:val="auto"/>
        </w:rPr>
        <w:t>. Notwithstanding any other provision of the Deposit Agreement or this Receipt, each Holder and Beneficial Owner of the ADSs represented hereby agrees to comply with requests from the Company pursuant to the laws of the Cayman Islands, the rules and requirements of the NASDAQ and any other stock exchange on which the Shares are, or will be registered, traded or listed, the Memorandum and Articles of Association, which are made to provide information as to the capacity in which such Holder or Beneficial Owner owns ADSs and regarding the identity of any other person interested in such ADSs and the nature of such interest and various other matters whether or not they are Holders and/or Beneficial Owner at the time of such request. The Depositary agrees to use reasonable efforts to forward any such requests to the Holders and to forward to the Company any such responses to such requests received by the Depositary.</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4"/>
          </w:cols>
          <w:pgMar w:left="436" w:top="270" w:right="459" w:bottom="1440" w:gutter="0" w:footer="0" w:header="0"/>
        </w:sectPr>
      </w:pPr>
    </w:p>
    <w:bookmarkStart w:id="293" w:name="page294"/>
    <w:bookmarkEnd w:id="293"/>
    <w:p>
      <w:pPr>
        <w:ind w:left="4" w:right="20" w:hanging="4"/>
        <w:spacing w:after="0" w:line="254" w:lineRule="auto"/>
        <w:tabs>
          <w:tab w:leader="none" w:pos="259"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Liability of Holder for Taxes, Duties and Other Charges</w:t>
      </w:r>
      <w:r>
        <w:rPr>
          <w:rFonts w:ascii="Times New Roman" w:cs="Times New Roman" w:eastAsia="Times New Roman" w:hAnsi="Times New Roman"/>
          <w:sz w:val="18"/>
          <w:szCs w:val="18"/>
          <w:color w:val="auto"/>
        </w:rPr>
        <w:t>. If any tax or other governmental charge shall become payable by the Depositary or the Custodian with respect to any Receipt or any Deposited Securities or ADSs, such tax or other governmental charge shall be payable by the Holders and Beneficial Owners to the Depositary. The Company, the Custodian and/or the Depositary may withhold or deduct from any distributions made in respect of Deposited Securities and may sell for the account of the Holder and/or Beneficial Owner any or all of the Deposited Securities and apply such distributions and sale proceeds in payment of such taxes (including applicable interest and penalties) or charges, with the Holder and the Beneficial Owner hereof remaining fully liable for any deficiency. The Custodian may refuse the deposit of Shares, and the Depositary may refuse to issue ADSs, to deliver Receipts, register the transfer, split-up or combination of ADRs and (subject to Article (22) hereof) the withdrawal of Deposited Securities, until payment in full of such tax, charge, penalty or interest is received.</w:t>
      </w:r>
    </w:p>
    <w:p>
      <w:pPr>
        <w:spacing w:after="0" w:line="192" w:lineRule="exact"/>
        <w:rPr>
          <w:sz w:val="20"/>
          <w:szCs w:val="20"/>
          <w:color w:val="auto"/>
        </w:rPr>
      </w:pPr>
    </w:p>
    <w:p>
      <w:pPr>
        <w:ind w:left="4" w:right="500"/>
        <w:spacing w:after="0" w:line="282" w:lineRule="auto"/>
        <w:rPr>
          <w:sz w:val="20"/>
          <w:szCs w:val="20"/>
          <w:color w:val="auto"/>
        </w:rPr>
      </w:pPr>
      <w:r>
        <w:rPr>
          <w:rFonts w:ascii="Times New Roman" w:cs="Times New Roman" w:eastAsia="Times New Roman" w:hAnsi="Times New Roman"/>
          <w:sz w:val="18"/>
          <w:szCs w:val="18"/>
          <w:color w:val="auto"/>
        </w:rPr>
        <w:t>The liability of Holders and Beneficial Owners under the Deposit Agreement shall survive any transfer of Receipts, any surrender of Receipts and withdrawal of Deposited Securities or the termination of the Deposit Agreement.</w:t>
      </w:r>
    </w:p>
    <w:p>
      <w:pPr>
        <w:spacing w:after="0" w:line="162" w:lineRule="exact"/>
        <w:rPr>
          <w:sz w:val="20"/>
          <w:szCs w:val="20"/>
          <w:color w:val="auto"/>
        </w:rPr>
      </w:pPr>
    </w:p>
    <w:p>
      <w:pPr>
        <w:ind w:left="4" w:right="120"/>
        <w:spacing w:after="0" w:line="261" w:lineRule="auto"/>
        <w:rPr>
          <w:sz w:val="20"/>
          <w:szCs w:val="20"/>
          <w:color w:val="auto"/>
        </w:rPr>
      </w:pPr>
      <w:r>
        <w:rPr>
          <w:rFonts w:ascii="Times New Roman" w:cs="Times New Roman" w:eastAsia="Times New Roman" w:hAnsi="Times New Roman"/>
          <w:sz w:val="18"/>
          <w:szCs w:val="18"/>
          <w:color w:val="auto"/>
        </w:rPr>
        <w:t>Holders understand that in converting Foreign Currency, amounts received on conversion are calculated at a rate which may exceed the number of decimal places used by the Depositary to report distribution rates (which in any case will not be less than two decimal places). Any excess amount may be retained by the Depositary as an additional cost of conversion, irrespective of any other fees and expenses payable or owing hereunder and shall not be subject to escheatment.</w:t>
      </w:r>
    </w:p>
    <w:p>
      <w:pPr>
        <w:spacing w:after="0" w:line="180" w:lineRule="exact"/>
        <w:rPr>
          <w:sz w:val="20"/>
          <w:szCs w:val="20"/>
          <w:color w:val="auto"/>
        </w:rPr>
      </w:pPr>
    </w:p>
    <w:p>
      <w:pPr>
        <w:ind w:left="4" w:hanging="4"/>
        <w:spacing w:after="0" w:line="253" w:lineRule="auto"/>
        <w:tabs>
          <w:tab w:leader="none" w:pos="259"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Depositors</w:t>
      </w:r>
      <w:r>
        <w:rPr>
          <w:rFonts w:ascii="Times New Roman" w:cs="Times New Roman" w:eastAsia="Times New Roman" w:hAnsi="Times New Roman"/>
          <w:sz w:val="18"/>
          <w:szCs w:val="18"/>
          <w:color w:val="auto"/>
        </w:rPr>
        <w:t>. Each person depositing Shares under the Deposit Agreement shall be deemed thereby to represent and warrant that (i) such Shares (and the certificates therefor) are duly authorized, validly issued, fully paid, non-assessable and were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and are not, and the ADSs issuable upon such deposit will not be, Restricted Securities (except as contemplated by Section 2.11 of the Deposit Agreement), (v) the Shares presented for deposit have not been stripped of any rights or entitlements and (vi) the Shares are not subject to any lock-up agreement with the Company or other party, or the Shares are subject to a lock-up agreement but such lock-up agreement has terminated or the lock-up restrictions imposed thereunder have expired or been validly waived. Such representations and warranties shall survive the deposit and withdrawal of Shares and the issuance, cancellation and transfer of ADSs. If any such representations or warranties are false in any way, the Company and Depositary shall be authorized, at the cost and expense of the person depositing Shares, to take any and all actions necessary to correct the consequences thereof.</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4"/>
          </w:cols>
          <w:pgMar w:left="436" w:top="270" w:right="459" w:bottom="1440" w:gutter="0" w:footer="0" w:header="0"/>
        </w:sectPr>
      </w:pPr>
    </w:p>
    <w:bookmarkStart w:id="294" w:name="page295"/>
    <w:bookmarkEnd w:id="294"/>
    <w:p>
      <w:pPr>
        <w:ind w:left="4" w:hanging="4"/>
        <w:spacing w:after="0" w:line="252" w:lineRule="auto"/>
        <w:tabs>
          <w:tab w:leader="none" w:pos="259"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Filing Proofs, Certificates and Other Information</w:t>
      </w:r>
      <w:r>
        <w:rPr>
          <w:rFonts w:ascii="Times New Roman" w:cs="Times New Roman" w:eastAsia="Times New Roman" w:hAnsi="Times New Roman"/>
          <w:sz w:val="18"/>
          <w:szCs w:val="18"/>
          <w:color w:val="auto"/>
        </w:rPr>
        <w:t>. Any person presenting Shares for deposit shall provide, any Holder and any Beneficial Owner may be required to provide, and every Holder and Beneficial Owner agrees, from time to time to provide to the Depositary such proof of citizenship or residence, taxpayer status, payment of all applicable taxes and/or other governmental charges, exchange control approval, legal or beneficial ownership of ADSs and Deposited Securities, compliance with applicable laws and the terms of the Deposit Agreement and the provisions of, or governing, the Deposited Securities or other information as the Depositary deems necessary or proper or as the Company may reasonably require by written request to the Depositary consistent with its obligations under the Deposit Agreement. Pursuant to the Deposit Agreement, the Depositary and the Registrar, as applicable, may withhold the execution or Delivery or registration of transfer of any Receipt or the distribution or sale of any dividend or other distribution of rights or of the proceeds thereof, or to the extent not limited by the terms of Article (22) hereof or the terms of the Deposit Agreement, the Delivery of any Deposited Securities until such proof or other information is filed or such certifications are executed, or such representations and warranties are made, or such other documentation or information provided, in each case to the Depositary’s and the Company’s satisfaction. The Depositary shall from time to time on the written request of the Company advise the Company of the availability of any such proofs, certificates or other information and shall, at the Company’s sole expense, provide or otherwise make available copies thereof to the Company upon written request therefor by the Company, unless such disclosure is prohibited by law. Each Holder and Beneficial Owner agrees to provide any information requested by the Company or the Depositary pursuant to this paragraph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195" w:lineRule="exact"/>
        <w:rPr>
          <w:sz w:val="20"/>
          <w:szCs w:val="20"/>
          <w:color w:val="auto"/>
        </w:rPr>
      </w:pPr>
    </w:p>
    <w:p>
      <w:pPr>
        <w:ind w:left="4" w:right="120"/>
        <w:spacing w:after="0" w:line="258" w:lineRule="auto"/>
        <w:rPr>
          <w:sz w:val="20"/>
          <w:szCs w:val="20"/>
          <w:color w:val="auto"/>
        </w:rPr>
      </w:pPr>
      <w:r>
        <w:rPr>
          <w:rFonts w:ascii="Times New Roman" w:cs="Times New Roman" w:eastAsia="Times New Roman" w:hAnsi="Times New Roman"/>
          <w:sz w:val="18"/>
          <w:szCs w:val="18"/>
          <w:color w:val="auto"/>
        </w:rPr>
        <w:t>Every Holder and Beneficial Owner agrees to indemnify the Depositary, the Company, the Custodian, the Agents and each of their respective directors, officers, employees, agents and Affiliates against, and to hold each of them harmless from, any Losses which any of them may incur or which may be made against any of them as a result of or in connection with any inaccuracy in or omission from any such proof, certificate, representation, warranty, information or document furnished by or on behalf of such Holder and/or Beneficial Owner or as a result of any such failure to furnish any of the foregoing.</w:t>
      </w:r>
    </w:p>
    <w:p>
      <w:pPr>
        <w:spacing w:after="0" w:line="183" w:lineRule="exact"/>
        <w:rPr>
          <w:sz w:val="20"/>
          <w:szCs w:val="20"/>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The obligations of Holders and Beneficial Owners under the Deposit Agreement shall survive any transfer of Receipts, any surrender of Receipts and withdrawal of Deposited Securities or the termination of the Deposit Agreement.</w:t>
      </w:r>
    </w:p>
    <w:p>
      <w:pPr>
        <w:spacing w:after="0" w:line="162" w:lineRule="exact"/>
        <w:rPr>
          <w:sz w:val="20"/>
          <w:szCs w:val="20"/>
          <w:color w:val="auto"/>
        </w:rPr>
      </w:pPr>
    </w:p>
    <w:p>
      <w:pPr>
        <w:ind w:left="4" w:right="100" w:hanging="4"/>
        <w:spacing w:after="0" w:line="266" w:lineRule="auto"/>
        <w:tabs>
          <w:tab w:leader="none" w:pos="259"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of Depositary</w:t>
      </w:r>
      <w:r>
        <w:rPr>
          <w:rFonts w:ascii="Times New Roman" w:cs="Times New Roman" w:eastAsia="Times New Roman" w:hAnsi="Times New Roman"/>
          <w:sz w:val="18"/>
          <w:szCs w:val="18"/>
          <w:color w:val="auto"/>
        </w:rPr>
        <w:t>. The Depositary reserves the right to charge the following fees for the services performed under the terms of the Deposit Agreement, provided, however, that no fees shall be payable upon distribution of cash dividends so long as the charging of such fee is prohibited by the exchange, if any, upon which the ADSs are listed:</w:t>
      </w:r>
    </w:p>
    <w:p>
      <w:pPr>
        <w:spacing w:after="0" w:line="67" w:lineRule="exact"/>
        <w:rPr>
          <w:rFonts w:ascii="Times New Roman" w:cs="Times New Roman" w:eastAsia="Times New Roman" w:hAnsi="Times New Roman"/>
          <w:sz w:val="18"/>
          <w:szCs w:val="18"/>
          <w:color w:val="auto"/>
        </w:rPr>
      </w:pPr>
    </w:p>
    <w:p>
      <w:pPr>
        <w:ind w:left="444" w:right="100" w:hanging="4"/>
        <w:spacing w:after="0" w:line="289" w:lineRule="auto"/>
        <w:tabs>
          <w:tab w:leader="none" w:pos="659" w:val="left"/>
        </w:tabs>
        <w:numPr>
          <w:ilvl w:val="1"/>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person to whom ADSs are issued or to any person to whom a distribution is made in respect of ADS distributions pursuant to stock dividends or other free distributions of stock, bonus distributions, stock splits or other distributions (except where converted to cash), a fee not in excess of U.S. $ 5.00 per 100 ADSs (or fraction thereof) so issued under the terms of the Deposit Agreement to be determined by the Depositary;</w:t>
      </w:r>
    </w:p>
    <w:p>
      <w:pPr>
        <w:spacing w:after="0" w:line="49" w:lineRule="exact"/>
        <w:rPr>
          <w:rFonts w:ascii="Times New Roman" w:cs="Times New Roman" w:eastAsia="Times New Roman" w:hAnsi="Times New Roman"/>
          <w:sz w:val="17"/>
          <w:szCs w:val="17"/>
          <w:color w:val="auto"/>
        </w:rPr>
      </w:pPr>
    </w:p>
    <w:p>
      <w:pPr>
        <w:ind w:left="444" w:right="240" w:hanging="4"/>
        <w:spacing w:after="0" w:line="266" w:lineRule="auto"/>
        <w:tabs>
          <w:tab w:leader="none" w:pos="709"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 surrendering ADSs for withdrawal of Deposited Securities or whose ADSs are cancelled or reduced for any other reason including, inter alia, cash distributions made pursuant to a cancellation or withdrawal, a fee not in excess of U.S. $ 5.00 per 100 ADSs reduced, cancelled or surrendered (as the case may be);</w:t>
      </w:r>
    </w:p>
    <w:p>
      <w:pPr>
        <w:spacing w:after="0" w:line="67" w:lineRule="exact"/>
        <w:rPr>
          <w:rFonts w:ascii="Times New Roman" w:cs="Times New Roman" w:eastAsia="Times New Roman" w:hAnsi="Times New Roman"/>
          <w:sz w:val="18"/>
          <w:szCs w:val="18"/>
          <w:color w:val="auto"/>
        </w:rPr>
      </w:pPr>
    </w:p>
    <w:p>
      <w:pPr>
        <w:ind w:left="444" w:right="260" w:hanging="4"/>
        <w:spacing w:after="0" w:line="282" w:lineRule="auto"/>
        <w:tabs>
          <w:tab w:leader="none" w:pos="759"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holder of ADSs (including, without limitation, Holders), a fee not in excess of U.S. $ 5.00 per 100 ADSs held for the distribution of cash dividends;</w:t>
      </w:r>
    </w:p>
    <w:p>
      <w:pPr>
        <w:spacing w:after="0" w:line="53" w:lineRule="exact"/>
        <w:rPr>
          <w:rFonts w:ascii="Times New Roman" w:cs="Times New Roman" w:eastAsia="Times New Roman" w:hAnsi="Times New Roman"/>
          <w:sz w:val="18"/>
          <w:szCs w:val="18"/>
          <w:color w:val="auto"/>
        </w:rPr>
      </w:pPr>
    </w:p>
    <w:p>
      <w:pPr>
        <w:ind w:left="444" w:right="220" w:hanging="4"/>
        <w:spacing w:after="0" w:line="312" w:lineRule="auto"/>
        <w:tabs>
          <w:tab w:leader="none" w:pos="749" w:val="left"/>
        </w:tabs>
        <w:numPr>
          <w:ilvl w:val="1"/>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holder of ADSs (including, without limitation, Holders), a fee not in excess of U.S. $ 5.00 per 100 ADSs held for the distribution of cash entitlements (other than cash dividends) and/or cash proceeds, including proceeds from the sale of rights, securities and other entitlements;</w:t>
      </w:r>
    </w:p>
    <w:p>
      <w:pPr>
        <w:spacing w:after="0" w:line="7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4"/>
          </w:cols>
          <w:pgMar w:left="436" w:top="270" w:right="459" w:bottom="1440" w:gutter="0" w:footer="0" w:header="0"/>
        </w:sectPr>
      </w:pPr>
    </w:p>
    <w:bookmarkStart w:id="295" w:name="page296"/>
    <w:bookmarkEnd w:id="295"/>
    <w:p>
      <w:pPr>
        <w:ind w:left="440" w:right="320" w:hanging="4"/>
        <w:spacing w:after="0" w:line="282" w:lineRule="auto"/>
        <w:tabs>
          <w:tab w:leader="none" w:pos="695"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any holder of ADSs (including, without limitation, Holders), a fee not in excess of U.S. $ 5.00 per 100 ADSs (or portion thereof) issued upon the exercise of rights; and</w:t>
      </w:r>
    </w:p>
    <w:p>
      <w:pPr>
        <w:spacing w:after="0" w:line="53" w:lineRule="exact"/>
        <w:rPr>
          <w:rFonts w:ascii="Times New Roman" w:cs="Times New Roman" w:eastAsia="Times New Roman" w:hAnsi="Times New Roman"/>
          <w:sz w:val="18"/>
          <w:szCs w:val="18"/>
          <w:color w:val="auto"/>
        </w:rPr>
      </w:pPr>
    </w:p>
    <w:p>
      <w:pPr>
        <w:jc w:val="both"/>
        <w:ind w:left="440" w:right="180" w:hanging="4"/>
        <w:spacing w:after="0" w:line="266" w:lineRule="auto"/>
        <w:tabs>
          <w:tab w:leader="none" w:pos="745"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operation and maintenance costs in administering the ADSs an annual fee not in excess of U.S. $ 5.00 per 100 ADSs, such fee to be assessed against Holders of record as of the date or dates set by the Depositary as it sees fit and collected at the sole discretion of the Depositary by billing such Holders for such fee or by deducting such fee from one or more cash dividends or other cash distributions.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Holders, Beneficial Owners, any person depositing Shares for deposit and any person surrendering ADSs for cancellation and withdrawal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Deposited Securities will be required to pay the following charges:</w:t>
      </w:r>
    </w:p>
    <w:p>
      <w:pPr>
        <w:spacing w:after="0" w:line="99" w:lineRule="exact"/>
        <w:rPr>
          <w:sz w:val="20"/>
          <w:szCs w:val="20"/>
          <w:color w:val="auto"/>
        </w:rPr>
      </w:pPr>
    </w:p>
    <w:p>
      <w:pPr>
        <w:ind w:left="660" w:hanging="224"/>
        <w:spacing w:after="0"/>
        <w:tabs>
          <w:tab w:leader="none" w:pos="66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117" w:lineRule="exact"/>
        <w:rPr>
          <w:rFonts w:ascii="Times New Roman" w:cs="Times New Roman" w:eastAsia="Times New Roman" w:hAnsi="Times New Roman"/>
          <w:sz w:val="18"/>
          <w:szCs w:val="18"/>
          <w:color w:val="auto"/>
        </w:rPr>
      </w:pPr>
    </w:p>
    <w:p>
      <w:pPr>
        <w:ind w:left="440" w:hanging="4"/>
        <w:spacing w:after="0" w:line="266" w:lineRule="auto"/>
        <w:tabs>
          <w:tab w:leader="none" w:pos="70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registration fees as may from time to time be in effect for the registration of Shares or other Deposited Securities with the Foreign Registrar and applicable to transfers of Shares or other Deposited Securities to or from the name of the Custodian, the Depositary or any nominees upon the making of deposits and withdrawals, respectively;</w:t>
      </w:r>
    </w:p>
    <w:p>
      <w:pPr>
        <w:spacing w:after="0" w:line="67" w:lineRule="exact"/>
        <w:rPr>
          <w:rFonts w:ascii="Times New Roman" w:cs="Times New Roman" w:eastAsia="Times New Roman" w:hAnsi="Times New Roman"/>
          <w:sz w:val="18"/>
          <w:szCs w:val="18"/>
          <w:color w:val="auto"/>
        </w:rPr>
      </w:pPr>
    </w:p>
    <w:p>
      <w:pPr>
        <w:ind w:left="440" w:right="40" w:hanging="4"/>
        <w:spacing w:after="0" w:line="282" w:lineRule="auto"/>
        <w:tabs>
          <w:tab w:leader="none" w:pos="75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cable, telex, facsimile and electronic transmission and delivery expenses as are expressly provided in the Deposit Agreement to be at the expense of the depositor depositing or person withdrawing Shares or Holders and Beneficial Owners of ADSs;</w:t>
      </w:r>
    </w:p>
    <w:p>
      <w:pPr>
        <w:spacing w:after="0" w:line="53"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and charges incurred by the Depositary and/or a division or Affiliate(s) of the Depositary in the conversion of Foreign Currency;</w:t>
      </w:r>
    </w:p>
    <w:p>
      <w:pPr>
        <w:spacing w:after="0" w:line="117" w:lineRule="exact"/>
        <w:rPr>
          <w:rFonts w:ascii="Times New Roman" w:cs="Times New Roman" w:eastAsia="Times New Roman" w:hAnsi="Times New Roman"/>
          <w:sz w:val="18"/>
          <w:szCs w:val="18"/>
          <w:color w:val="auto"/>
        </w:rPr>
      </w:pPr>
    </w:p>
    <w:p>
      <w:pPr>
        <w:ind w:left="440" w:right="740" w:hanging="4"/>
        <w:spacing w:after="0" w:line="282" w:lineRule="auto"/>
        <w:tabs>
          <w:tab w:leader="none" w:pos="69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fees and expenses as are incurred by the Depositary in connection with compliance with exchange control regulations and other regulatory requirements applicable to Shares, Deposited Securities, ADSs and ADRs;</w:t>
      </w:r>
    </w:p>
    <w:p>
      <w:pPr>
        <w:spacing w:after="0" w:line="53" w:lineRule="exact"/>
        <w:rPr>
          <w:rFonts w:ascii="Times New Roman" w:cs="Times New Roman" w:eastAsia="Times New Roman" w:hAnsi="Times New Roman"/>
          <w:sz w:val="18"/>
          <w:szCs w:val="18"/>
          <w:color w:val="auto"/>
        </w:rPr>
      </w:pPr>
    </w:p>
    <w:p>
      <w:pPr>
        <w:ind w:left="440" w:right="440" w:hanging="4"/>
        <w:spacing w:after="0" w:line="282" w:lineRule="auto"/>
        <w:tabs>
          <w:tab w:leader="none" w:pos="74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and expenses incurred by the Depositary in connection with the delivery of Deposited Securities, including any fees of a central depository for securities in the local market, where applicable;</w:t>
      </w:r>
    </w:p>
    <w:p>
      <w:pPr>
        <w:spacing w:after="0" w:line="53" w:lineRule="exact"/>
        <w:rPr>
          <w:rFonts w:ascii="Times New Roman" w:cs="Times New Roman" w:eastAsia="Times New Roman" w:hAnsi="Times New Roman"/>
          <w:sz w:val="18"/>
          <w:szCs w:val="18"/>
          <w:color w:val="auto"/>
        </w:rPr>
      </w:pPr>
    </w:p>
    <w:p>
      <w:pPr>
        <w:ind w:left="440" w:right="340" w:hanging="4"/>
        <w:spacing w:after="0" w:line="282" w:lineRule="auto"/>
        <w:tabs>
          <w:tab w:leader="none" w:pos="79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fees, charges, costs or expenses that may be incurred by the Depositary or a division or Affiliate(s) of the Depositary from time to time.</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Any other fees and charges of, and expenses incurred by, the Depositary or the Custodian under the Deposit Agreement shall be for the account of the Company unless otherwise agreed in writing between the Company and the Depositary from time to time. All fees and charges may, at any time and from time to time, be changed by agreement between the Depositary and Company but, in the case of fees and charges payable by Holders or Beneficial Owners, only in the manner contemplated by Article (20) hereof.</w:t>
      </w:r>
    </w:p>
    <w:p>
      <w:pPr>
        <w:spacing w:after="0" w:line="18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Depositary may make payments to the Company and/or may share revenue with the Company derived from fees collected from Holders and Beneficial Owners, upon such terms and conditions as the Company and the Depositary may agree from time to time.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80"/>
          </w:cols>
          <w:pgMar w:left="440" w:top="270" w:right="479" w:bottom="1440" w:gutter="0" w:footer="0" w:header="0"/>
        </w:sectPr>
      </w:pPr>
    </w:p>
    <w:bookmarkStart w:id="296" w:name="page297"/>
    <w:bookmarkEnd w:id="296"/>
    <w:p>
      <w:pPr>
        <w:ind w:left="4" w:right="40" w:hanging="4"/>
        <w:spacing w:after="0" w:line="254" w:lineRule="auto"/>
        <w:tabs>
          <w:tab w:leader="none" w:pos="349"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Title to Receipts</w:t>
      </w:r>
      <w:r>
        <w:rPr>
          <w:rFonts w:ascii="Times New Roman" w:cs="Times New Roman" w:eastAsia="Times New Roman" w:hAnsi="Times New Roman"/>
          <w:sz w:val="18"/>
          <w:szCs w:val="18"/>
          <w:color w:val="auto"/>
        </w:rPr>
        <w:t>. It is a condition of this Receipt, and every successive Holder of this Receipt by accepting or holding the same consents and agrees, that title to this Receipt (and to each ADS evidenced hereby) is transferable by delivery of the Receipt, provided it has been properly endorsed or accompanied by proper instruments of transfer, such Receipt being a certificated security under the laws of the State of New York. Notwithstanding any notice to the contrary, the Depositary may deem and treat the Holder of this Receipt (that is, the person in whose name this Receipt is registered on the books of the Depositary) as the absolute owner hereof for all purposes. The Depositary shall have no obligation or be subject to any liability under the Deposit Agreement or this Receipt to any holder of this Receipt or any Beneficial Owner unless such holder is the Holder of this Receipt registered on the books of the Depositary or, in the case of a Beneficial Owner, such Beneficial Owner or the Beneficial Owner’s representative is the Holder registered on the books of the Depositary.</w:t>
      </w:r>
    </w:p>
    <w:p>
      <w:pPr>
        <w:spacing w:after="0" w:line="191" w:lineRule="exact"/>
        <w:rPr>
          <w:rFonts w:ascii="Times New Roman" w:cs="Times New Roman" w:eastAsia="Times New Roman" w:hAnsi="Times New Roman"/>
          <w:sz w:val="18"/>
          <w:szCs w:val="18"/>
          <w:color w:val="auto"/>
        </w:rPr>
      </w:pPr>
    </w:p>
    <w:p>
      <w:pPr>
        <w:ind w:left="4" w:right="40" w:hanging="4"/>
        <w:spacing w:after="0" w:line="272" w:lineRule="auto"/>
        <w:tabs>
          <w:tab w:leader="none" w:pos="342" w:val="left"/>
        </w:tabs>
        <w:numPr>
          <w:ilvl w:val="0"/>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Validity of Receipt</w:t>
      </w:r>
      <w:r>
        <w:rPr>
          <w:rFonts w:ascii="Times New Roman" w:cs="Times New Roman" w:eastAsia="Times New Roman" w:hAnsi="Times New Roman"/>
          <w:sz w:val="17"/>
          <w:szCs w:val="17"/>
          <w:color w:val="auto"/>
        </w:rPr>
        <w:t>. This Receipt shall not be entitled to any benefits under the Deposit Agreement or be valid or enforceable for any purpose, unless this Receipt has been (i) dated, (ii) signed by the manual or facsimile signature of a duly authorized signatory of the Depositary, (iii) if a Registrar for the Receipts shall have been appointed, countersigned by the manual or facsimile signature of a duly authorized signatory of the Registrar and</w:t>
      </w:r>
    </w:p>
    <w:p>
      <w:pPr>
        <w:spacing w:after="0" w:line="1" w:lineRule="exact"/>
        <w:rPr>
          <w:rFonts w:ascii="Times New Roman" w:cs="Times New Roman" w:eastAsia="Times New Roman" w:hAnsi="Times New Roman"/>
          <w:sz w:val="17"/>
          <w:szCs w:val="17"/>
          <w:color w:val="auto"/>
        </w:rPr>
      </w:pPr>
    </w:p>
    <w:p>
      <w:pPr>
        <w:ind w:left="4" w:right="8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(iv) registered in the books maintained by the Depositary or the Registrar, as applicable, for the issuance and transfer of Receipts. Receipts bearing the facsimile signature of a duly-authorized signatory of the Depositary or the Registrar, who at the time of signature was a duly-authorized signatory of the Depositary or the Registrar, as the case may be, shall bind the Depositary, notwithstanding the fact that such signatory has ceased to be so authorized prior to the execution and delivery of such Receipt by the Depositary or did not hold such office on the date of issuance of such Receipts.</w:t>
      </w:r>
    </w:p>
    <w:p>
      <w:pPr>
        <w:spacing w:after="0" w:line="188" w:lineRule="exact"/>
        <w:rPr>
          <w:rFonts w:ascii="Times New Roman" w:cs="Times New Roman" w:eastAsia="Times New Roman" w:hAnsi="Times New Roman"/>
          <w:sz w:val="17"/>
          <w:szCs w:val="17"/>
          <w:color w:val="auto"/>
        </w:rPr>
      </w:pPr>
    </w:p>
    <w:p>
      <w:pPr>
        <w:ind w:left="4" w:right="40" w:hanging="4"/>
        <w:spacing w:after="0" w:line="254" w:lineRule="auto"/>
        <w:tabs>
          <w:tab w:leader="none" w:pos="349"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Available Information; Reports; Inspection of Transfer Books</w:t>
      </w:r>
      <w:r>
        <w:rPr>
          <w:rFonts w:ascii="Times New Roman" w:cs="Times New Roman" w:eastAsia="Times New Roman" w:hAnsi="Times New Roman"/>
          <w:sz w:val="18"/>
          <w:szCs w:val="18"/>
          <w:color w:val="auto"/>
        </w:rPr>
        <w:t>. The Company is subject to the periodic reporting requirements of the Exchange Act applicable to foreign private issuers (as defined in Rule 405 of the Securities Act) and accordingly files certain information with the Commission. These reports and documents can be inspected and copied at the public reference facilities maintained by the Commission located at 100 F Street, N.E., Washington D.C. 20549, U.S.A. The Depositary shall make available during normal business hours on any Business Day for inspection by Holders at its Corporate Trust Office any reports and communications, including any proxy soliciting materials, received from the Company which are both</w:t>
      </w:r>
    </w:p>
    <w:p>
      <w:pPr>
        <w:spacing w:after="0" w:line="3" w:lineRule="exact"/>
        <w:rPr>
          <w:rFonts w:ascii="Times New Roman" w:cs="Times New Roman" w:eastAsia="Times New Roman" w:hAnsi="Times New Roman"/>
          <w:sz w:val="18"/>
          <w:szCs w:val="18"/>
          <w:color w:val="auto"/>
        </w:rPr>
      </w:pPr>
    </w:p>
    <w:p>
      <w:pPr>
        <w:ind w:left="4" w:right="7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received by the Depositary, the Custodian, or the nominee of either of them as the holder of the Deposited Securities and (b) made generally available to the holders of such Deposited Securities by the Company.</w:t>
      </w:r>
    </w:p>
    <w:p>
      <w:pPr>
        <w:spacing w:after="0" w:line="181" w:lineRule="exact"/>
        <w:rPr>
          <w:sz w:val="20"/>
          <w:szCs w:val="20"/>
          <w:color w:val="auto"/>
        </w:rPr>
      </w:pPr>
    </w:p>
    <w:p>
      <w:pPr>
        <w:jc w:val="both"/>
        <w:ind w:left="4" w:right="80"/>
        <w:spacing w:after="0" w:line="261" w:lineRule="auto"/>
        <w:rPr>
          <w:sz w:val="20"/>
          <w:szCs w:val="20"/>
          <w:color w:val="auto"/>
        </w:rPr>
      </w:pPr>
      <w:r>
        <w:rPr>
          <w:rFonts w:ascii="Times New Roman" w:cs="Times New Roman" w:eastAsia="Times New Roman" w:hAnsi="Times New Roman"/>
          <w:sz w:val="18"/>
          <w:szCs w:val="18"/>
          <w:color w:val="auto"/>
        </w:rPr>
        <w:t>The Depositary or the Registrar, as applicable, shall keep books for the registration of Receipts and transfers of Receipts which at all reasonable times shall be open for inspection by the Company and by the Holders of such Receipts, provided that such inspection shall not be, to the Depositary’s or the Registrar’s knowledge, for the purpose of communicating with Holders of such Receipts in the interest of a business or object other than the business of the Company or other than a matter related to the Deposit Agreement or the Receipts.</w:t>
      </w:r>
    </w:p>
    <w:p>
      <w:pPr>
        <w:spacing w:after="0" w:line="180"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The Depositary or the Registrar, as applicable, may close the transfer books with respect to the Receipts, at any time or from time to time, when deemed necessary or advisable by it in good faith in connection with the performance of its duties hereunder, or at the reasonable written request of the Company subject, in all cases, to Article (22) hereof.</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24"/>
          </w:cols>
          <w:pgMar w:left="436" w:top="270" w:right="439" w:bottom="1440" w:gutter="0" w:footer="0" w:header="0"/>
        </w:sectPr>
      </w:pPr>
    </w:p>
    <w:bookmarkStart w:id="297" w:name="page298"/>
    <w:bookmarkEnd w:id="297"/>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7960" w:type="dxa"/>
            <w:vAlign w:val="bottom"/>
            <w:gridSpan w:val="2"/>
          </w:tcPr>
          <w:p>
            <w:pPr>
              <w:ind w:left="2560"/>
              <w:spacing w:after="0"/>
              <w:rPr>
                <w:sz w:val="20"/>
                <w:szCs w:val="20"/>
                <w:color w:val="auto"/>
              </w:rPr>
            </w:pPr>
            <w:r>
              <w:rPr>
                <w:rFonts w:ascii="Times New Roman" w:cs="Times New Roman" w:eastAsia="Times New Roman" w:hAnsi="Times New Roman"/>
                <w:sz w:val="18"/>
                <w:szCs w:val="18"/>
                <w:b w:val="1"/>
                <w:bCs w:val="1"/>
                <w:color w:val="auto"/>
              </w:rPr>
              <w:t>DEUTSCHE BANK TRUST</w:t>
            </w:r>
          </w:p>
        </w:tc>
      </w:tr>
      <w:tr>
        <w:trPr>
          <w:trHeight w:val="238"/>
        </w:trPr>
        <w:tc>
          <w:tcPr>
            <w:tcW w:w="3060" w:type="dxa"/>
            <w:vAlign w:val="bottom"/>
          </w:tcPr>
          <w:p>
            <w:pPr>
              <w:spacing w:after="0"/>
              <w:rPr>
                <w:sz w:val="20"/>
                <w:szCs w:val="20"/>
                <w:color w:val="auto"/>
              </w:rPr>
            </w:pPr>
          </w:p>
        </w:tc>
        <w:tc>
          <w:tcPr>
            <w:tcW w:w="7960" w:type="dxa"/>
            <w:vAlign w:val="bottom"/>
            <w:gridSpan w:val="2"/>
          </w:tcPr>
          <w:p>
            <w:pPr>
              <w:ind w:left="2560"/>
              <w:spacing w:after="0"/>
              <w:rPr>
                <w:sz w:val="20"/>
                <w:szCs w:val="20"/>
                <w:color w:val="auto"/>
              </w:rPr>
            </w:pPr>
            <w:r>
              <w:rPr>
                <w:rFonts w:ascii="Times New Roman" w:cs="Times New Roman" w:eastAsia="Times New Roman" w:hAnsi="Times New Roman"/>
                <w:sz w:val="18"/>
                <w:szCs w:val="18"/>
                <w:b w:val="1"/>
                <w:bCs w:val="1"/>
                <w:color w:val="auto"/>
              </w:rPr>
              <w:t>COMPANY AMERICAS, as Depositary</w:t>
            </w:r>
          </w:p>
        </w:tc>
      </w:tr>
      <w:tr>
        <w:trPr>
          <w:trHeight w:val="445"/>
        </w:trPr>
        <w:tc>
          <w:tcPr>
            <w:tcW w:w="3060" w:type="dxa"/>
            <w:vAlign w:val="bottom"/>
          </w:tcPr>
          <w:p>
            <w:pPr>
              <w:spacing w:after="0"/>
              <w:rPr>
                <w:sz w:val="24"/>
                <w:szCs w:val="24"/>
                <w:color w:val="auto"/>
              </w:rPr>
            </w:pPr>
          </w:p>
        </w:tc>
        <w:tc>
          <w:tcPr>
            <w:tcW w:w="288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4"/>
                <w:szCs w:val="24"/>
                <w:color w:val="auto"/>
              </w:rPr>
            </w:pPr>
          </w:p>
        </w:tc>
      </w:tr>
      <w:tr>
        <w:trPr>
          <w:trHeight w:val="412"/>
        </w:trPr>
        <w:tc>
          <w:tcPr>
            <w:tcW w:w="3060" w:type="dxa"/>
            <w:vAlign w:val="bottom"/>
          </w:tcPr>
          <w:p>
            <w:pPr>
              <w:spacing w:after="0"/>
              <w:rPr>
                <w:sz w:val="24"/>
                <w:szCs w:val="24"/>
                <w:color w:val="auto"/>
              </w:rPr>
            </w:pPr>
          </w:p>
        </w:tc>
        <w:tc>
          <w:tcPr>
            <w:tcW w:w="288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4"/>
                <w:szCs w:val="24"/>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The address of the Corporate Trust Office of the Depositary is 1 Columbus Circle, New York, NY 10019, U.S.A.</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20"/>
          </w:cols>
          <w:pgMar w:left="440" w:top="266" w:right="439" w:bottom="1440" w:gutter="0" w:footer="0" w:header="0"/>
        </w:sectPr>
      </w:pPr>
    </w:p>
    <w:bookmarkStart w:id="298" w:name="page299"/>
    <w:bookmarkEnd w:id="29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REVERSE OF RECEIPT]</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SUMMARY OF CERTAIN ADDITIONAL PROVISIONS</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OF THE DEPOSIT AGREEMENT</w:t>
      </w:r>
    </w:p>
    <w:p>
      <w:pPr>
        <w:spacing w:after="0" w:line="207" w:lineRule="exact"/>
        <w:rPr>
          <w:sz w:val="20"/>
          <w:szCs w:val="20"/>
          <w:color w:val="auto"/>
        </w:rPr>
      </w:pPr>
    </w:p>
    <w:p>
      <w:pPr>
        <w:ind w:left="4" w:right="60" w:hanging="4"/>
        <w:spacing w:after="0" w:line="252" w:lineRule="auto"/>
        <w:tabs>
          <w:tab w:leader="none" w:pos="349"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Distributions in Cash, Shares, etc</w:t>
      </w:r>
      <w:r>
        <w:rPr>
          <w:rFonts w:ascii="Times New Roman" w:cs="Times New Roman" w:eastAsia="Times New Roman" w:hAnsi="Times New Roman"/>
          <w:sz w:val="18"/>
          <w:szCs w:val="18"/>
          <w:color w:val="auto"/>
        </w:rPr>
        <w:t>. Whenever the Depositary receives confirmation from the Custodian of receipt of any cash dividend or other cash distribution on any Deposited Securities, or receives proceeds from the sale of any Shares, rights securities or other entitlements under the Deposit Agreement, the Depositary will, if at the time of receipt thereof any amounts received in a Foreign Currency can, in the judgment of the Depositary (upon the terms of the Deposit Agreement), be converted on a practicable basis, into Dollars transferable to the United States, promptly convert or cause to be converted such dividend, distribution or proceeds into Dollars and will distribute promptly the amount thus received (net of applicable fees and charges of, and expenses incurred by, the Depositary and/or a division or Affiliate(s) of the Depositary and taxes and/or governmental charges) to the Holders of record as of the ADS Record Date in proportion to the number of ADSs representing such Deposited Securities held by such Holders respectively as of the ADS Record Date. The Depositary shall distribute only such amount, however, as can be distributed without attributing to any Holder a fraction of one cent. Any such fractional amounts shall be rounded down to the nearest whole cent and so distributed to Holders entitled thereto. Holders and Beneficial Owners understand that in converting Foreign Currency, amounts received on conversion are calculated at a rate which exceeds the number of decimal places used by the Depositary to report distribution rates. The excess amount may be retained by the Depositary as an additional cost of conversion, irrespective of any other fees and expenses payable or owing hereunder and shall not be subject to escheatment. If the Company, the Custodian or the Depositary is required to withhold and does withhold from any cash dividend or other cash distribution in respect of any Deposited Securities an amount on account of taxes, duties or other governmental charges, the amount distributed to Holders on the ADSs representing such Deposited Securities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shall forward to the Company or its agent such information from its records as the Company may reasonably request to enable the Company or its agent to file with governmental agencies such reports as are necessary to obtain benefits under the applicable tax treaties for the Holders and Beneficial Owners of Receipts.</w:t>
      </w:r>
    </w:p>
    <w:p>
      <w:pPr>
        <w:spacing w:after="0" w:line="191" w:lineRule="exact"/>
        <w:rPr>
          <w:sz w:val="20"/>
          <w:szCs w:val="20"/>
          <w:color w:val="auto"/>
        </w:rPr>
      </w:pPr>
    </w:p>
    <w:p>
      <w:pPr>
        <w:ind w:left="4" w:right="140"/>
        <w:spacing w:after="0" w:line="272" w:lineRule="auto"/>
        <w:rPr>
          <w:sz w:val="20"/>
          <w:szCs w:val="20"/>
          <w:color w:val="auto"/>
        </w:rPr>
      </w:pPr>
      <w:r>
        <w:rPr>
          <w:rFonts w:ascii="Times New Roman" w:cs="Times New Roman" w:eastAsia="Times New Roman" w:hAnsi="Times New Roman"/>
          <w:sz w:val="17"/>
          <w:szCs w:val="17"/>
          <w:color w:val="auto"/>
        </w:rPr>
        <w:t>If any distribution upon any Deposited Securities consists of a dividend in, or free distribution of, Shares, the Company shall cause such Shares to be deposited with the Custodian and registered, as the case may be, in the name of the Depositary, the Custodian or their nominees. Upon receipt of confirmation of such deposit, the Depositary shall, subject to and in accordance with the Deposit Agreement, establish the ADS Record Date and either</w:t>
      </w:r>
    </w:p>
    <w:p>
      <w:pPr>
        <w:spacing w:after="0" w:line="2" w:lineRule="exact"/>
        <w:rPr>
          <w:sz w:val="20"/>
          <w:szCs w:val="20"/>
          <w:color w:val="auto"/>
        </w:rPr>
      </w:pPr>
    </w:p>
    <w:p>
      <w:pPr>
        <w:ind w:left="4" w:right="100" w:hanging="4"/>
        <w:spacing w:after="0" w:line="251" w:lineRule="auto"/>
        <w:tabs>
          <w:tab w:leader="none" w:pos="219"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to the Holders as of the ADS Record Date in proportion to the number of ADSs held by such Holders as of the ADS Record Date, additional ADSs, which represent in aggregate the number of Shares received as such dividend, or free distribution, subject to the terms of the Deposit Agreement (including, without limitation, the applicable fees and charges of, and expenses incurred by, the Depositary, and taxes and/or governmental charges), or (ii) if additional ADSs are not so distributed, each ADS issued and outstanding after the ADS Record Date shall, to the extent permissible by law, thenceforth also represent rights and interests in the additional Shares distributed upon the Deposited Securities represented thereby (net of the applicable fees and charges of, and the expenses incurred by, the Depositary, and taxes and/or governmental charges). In lieu of delivering fractional ADSs, the Depositary shall sell the number of Shares represented by the aggregate of such fractions and distribute the proceeds upon the terms set forth in the Deposit Agreement.</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24"/>
          </w:cols>
          <w:pgMar w:left="436" w:top="266" w:right="439" w:bottom="1440" w:gutter="0" w:footer="0" w:header="0"/>
        </w:sectPr>
      </w:pPr>
    </w:p>
    <w:bookmarkStart w:id="299" w:name="page300"/>
    <w:bookmarkEnd w:id="299"/>
    <w:p>
      <w:pPr>
        <w:ind w:left="4" w:right="2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(x) the Depositary determines that any distribution in property (including Shares) is subject to any tax or other governmental charges which the Depositary is obligated to withhold, or, (y) if the Company, in the fulfillment of its obligations under the Deposit Agreement, has either</w:t>
      </w:r>
    </w:p>
    <w:p>
      <w:pPr>
        <w:spacing w:after="0" w:line="1" w:lineRule="exact"/>
        <w:rPr>
          <w:sz w:val="20"/>
          <w:szCs w:val="20"/>
          <w:color w:val="auto"/>
        </w:rPr>
      </w:pPr>
    </w:p>
    <w:p>
      <w:pPr>
        <w:ind w:left="4" w:right="40" w:hanging="4"/>
        <w:spacing w:after="0" w:line="252" w:lineRule="auto"/>
        <w:tabs>
          <w:tab w:leader="none" w:pos="249"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an opinion of U.S. counsel determining that Shares must be registered under the Securities Act or other laws in order to be distributed to Holders (and no such registration statement has been declared effective), or (b) fails to timely deliver the documentation contemplated in the Deposit Agreement,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taxes and/or governmental charges, and fees and charges of, and expenses incurred by, the Depositary and/or a division or Affiliate(s) of the Depositary) to Holders entitled thereto upon the terms of the Deposit Agreement. The Depositary shall hold and/or distribute any unsold balance of such property in accordance with the provisions of the Deposit Agreement.</w:t>
      </w:r>
    </w:p>
    <w:p>
      <w:pPr>
        <w:spacing w:after="0" w:line="188" w:lineRule="exact"/>
        <w:rPr>
          <w:sz w:val="20"/>
          <w:szCs w:val="20"/>
          <w:color w:val="auto"/>
        </w:rPr>
      </w:pPr>
    </w:p>
    <w:p>
      <w:pPr>
        <w:jc w:val="both"/>
        <w:ind w:left="4" w:right="20"/>
        <w:spacing w:after="0" w:line="272" w:lineRule="auto"/>
        <w:rPr>
          <w:sz w:val="20"/>
          <w:szCs w:val="20"/>
          <w:color w:val="auto"/>
        </w:rPr>
      </w:pPr>
      <w:r>
        <w:rPr>
          <w:rFonts w:ascii="Times New Roman" w:cs="Times New Roman" w:eastAsia="Times New Roman" w:hAnsi="Times New Roman"/>
          <w:sz w:val="17"/>
          <w:szCs w:val="17"/>
          <w:color w:val="auto"/>
        </w:rPr>
        <w:t>Upon timely receipt of a notice indicating that the Company wishes an elective distribution to be made available to Holders upon the terms described in the Deposit Agreement, the Depositary shall, upon provision of all documentation required under the Deposit Agreement, (including, without limitation, any legal opinions the Depositary may request under the Deposit Agreement) determine whether such distribution is lawful and reasonably practicable.</w:t>
      </w:r>
    </w:p>
    <w:p>
      <w:pPr>
        <w:spacing w:after="0" w:line="2" w:lineRule="exact"/>
        <w:rPr>
          <w:sz w:val="20"/>
          <w:szCs w:val="20"/>
          <w:color w:val="auto"/>
        </w:rPr>
      </w:pPr>
    </w:p>
    <w:p>
      <w:pPr>
        <w:ind w:left="4"/>
        <w:spacing w:after="0" w:line="251" w:lineRule="auto"/>
        <w:rPr>
          <w:sz w:val="20"/>
          <w:szCs w:val="20"/>
          <w:color w:val="auto"/>
        </w:rPr>
      </w:pPr>
      <w:r>
        <w:rPr>
          <w:rFonts w:ascii="Times New Roman" w:cs="Times New Roman" w:eastAsia="Times New Roman" w:hAnsi="Times New Roman"/>
          <w:sz w:val="18"/>
          <w:szCs w:val="18"/>
          <w:color w:val="auto"/>
        </w:rPr>
        <w:t>If so, the Depositary shall, subject to the terms and conditions of the Deposit Agreement, establish an ADS Record Date according to Article (14) hereof and establish procedures to enable the Holder hereof to elect to receive the proposed distribution in cash or in additional ADSs. If a Holder elects to receive the distribution in cash, the dividend shall be distributed as in the case of a distribution in cash. If the Holder hereof elects to receive the distribution in additional ADSs, the distribution shall be distributed as in the case of a distribution in Shares upon the terms described in the Deposit Agreement. If such elective distribution is not lawful or reasonably practicable or if the Depositary did not receive satisfactory documentation set forth in the Deposit Agreement, the Depositary shall, to the extent permitted by law, distribute to Holders, on the basis of the same determination as is made in the Cayman Islands, in respect of the Shares for which no election is made, either (x) cash or (y) additional ADSs representing such additional Shares, in each case, upon the terms described in the Deposit Agreement. Nothing herein shall obligate the Depositary to make available to the Holder hereof a method to receive the elective dividend in Shares (rather than ADSs). There can be no assurance that the Holder hereof will be given the opportunity to receive elective distributions on the same terms and conditions as the holders of Shares.</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4"/>
          </w:cols>
          <w:pgMar w:left="436" w:top="270" w:right="459" w:bottom="1440" w:gutter="0" w:footer="0" w:header="0"/>
        </w:sectPr>
      </w:pPr>
    </w:p>
    <w:bookmarkStart w:id="300" w:name="page301"/>
    <w:bookmarkEnd w:id="300"/>
    <w:p>
      <w:pPr>
        <w:ind w:left="4"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Whenever the Company intends to distribute to the holders of the Deposited Securities rights to subscribe for additional Shares, the Company shall give notice thereof to the Depositary at least 60 days prior to the proposed distribution stating whether or not it wishes such rights to be made available to Holders of ADSs. Upon timely receipt by the Depositary of a notice indicating that the Company wishes such rights to be made available to Holders of ADSs, the Company shall determine whether it is lawful and reasonably practicable to make such rights available to the Holders. The Depositary shall make such rights available to any Holders only if the Company shall have timely requested that such rights be made available to Holders, the Depositary shall have received the documentation required by the Deposit Agreement, and the Depositary shall have determined that such distribution of rights is lawful and reasonably practicable. If such conditions are not satisfied, the Depositary shall sell the rights as described below. In the event all conditions set forth above are satisfied, the Depositary shall establish an ADS Record Date and establish procedures (x) to distribute such rights (by means of warrants or otherwise) and (y) to enable the Holders to exercise the rights (upon payment of the applicable fees and charges of, and expenses incurred by, the Depositary and/or a division or Affiliate(s) of the Depositary and taxes and/or governmental charges). Nothing herein or in the Deposit Agreement shall obligate the Depositary to make available to the Holders a method to exercise such rights to subscribe for Shares (rather than ADSs). If</w:t>
      </w:r>
    </w:p>
    <w:p>
      <w:pPr>
        <w:spacing w:after="0" w:line="4" w:lineRule="exact"/>
        <w:rPr>
          <w:sz w:val="20"/>
          <w:szCs w:val="20"/>
          <w:color w:val="auto"/>
        </w:rPr>
      </w:pPr>
    </w:p>
    <w:p>
      <w:pPr>
        <w:ind w:left="4" w:hanging="4"/>
        <w:spacing w:after="0" w:line="251" w:lineRule="auto"/>
        <w:tabs>
          <w:tab w:leader="none" w:pos="219"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timely request the Depositary to make the rights available to Holders or if the Company requests that the rights not be made available to Holders, (ii) the Depositary fails to receive the documentation required by the Deposit Agreement or determines it is not lawful or reasonably practicable to make the rights available to Holders, or (iii) any rights made available are not exercised and appear to be about to lapse, the Depositary shall determine whether it is lawful and reasonably practicable to sell such rights, and if it so determines that it is lawful and reasonably practicable, endeavour to sell such rights in a riskless principal capacity or otherwise, at such place and upon such terms (including public and/or private sale) as it may deem proper. The Depositary shall, upon such sale, convert and distribute proceeds of such sale (net of applicable fees and charges of, and expenses incurred by, the Depositary and/or a division or Affiliate(s) of the Depositary and taxes and/or governmental charges) upon the terms hereof and in the Deposit Agreement. If the Depositary is unable to make any rights available to Holders or to arrange for the sale of the rights upon the terms described above, the Depositary shall allow such rights to lapse. The Depositary shall not be responsible for (i) any failure to determine that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92"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Notwithstanding anything herein to the contrary, if registration (under the Securities Act and/or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covering such offering is in effect or (ii) unless the Company furnishes to the Depositary opinion(s) of counsel for the Company in the United States and counsel to the Company in any other applicable country in which rights would be distributed, in each case satisfactorily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property (including rights) an amount on account of taxes and/or other governmental charges, the amount distributed to the Holders shall be reduced accordingly. In the event that the Depositary determines that any distribution in property (including Shares and rights to subscribe therefor) is subject to any tax or other governmental charges which the Depositary is obligated to withhold, the Depositary may dispose of all or a portion of such property (including Shares and rights to subscribe therefor) in such amounts and in such manner, including by public or private sale, as the Depositary deems necessary and practicable to pay any such taxes and/or charges.</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4"/>
          </w:cols>
          <w:pgMar w:left="436" w:top="270" w:right="459" w:bottom="1440" w:gutter="0" w:footer="0" w:header="0"/>
        </w:sectPr>
      </w:pPr>
    </w:p>
    <w:bookmarkStart w:id="301" w:name="page302"/>
    <w:bookmarkEnd w:id="301"/>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can be no assurance that Holders generally, or any Holder in particular, will be given the opportunity to exercise rights on the same terms and conditions as the holders of Shares or to exercise such rights. Nothing herein shall obligate the Company to file any registration statement in respect of any rights or Shares or other securities to be acquired upon the exercise of such rights or otherwise to register or qualify the offer or sale of such rights or securities under the applicable law of any other jurisdiction for any purpose.</w:t>
      </w:r>
    </w:p>
    <w:p>
      <w:pPr>
        <w:spacing w:after="0" w:line="180" w:lineRule="exact"/>
        <w:rPr>
          <w:sz w:val="20"/>
          <w:szCs w:val="20"/>
          <w:color w:val="auto"/>
        </w:rPr>
      </w:pPr>
    </w:p>
    <w:p>
      <w:pPr>
        <w:ind w:left="4" w:right="360"/>
        <w:spacing w:after="0" w:line="272" w:lineRule="auto"/>
        <w:rPr>
          <w:sz w:val="20"/>
          <w:szCs w:val="20"/>
          <w:color w:val="auto"/>
        </w:rPr>
      </w:pPr>
      <w:r>
        <w:rPr>
          <w:rFonts w:ascii="Times New Roman" w:cs="Times New Roman" w:eastAsia="Times New Roman" w:hAnsi="Times New Roman"/>
          <w:sz w:val="17"/>
          <w:szCs w:val="17"/>
          <w:color w:val="auto"/>
        </w:rPr>
        <w:t>Upon receipt of a notice regarding property other than cash, Shares or rights to purchase additional Shares, to be made to Holders of ADSs, the Depositary shall determine, after consultation with the Company, whether such distribution to Holders is lawful and reasonably practicable. The Depositary shall not make such distribution unless (i) the Company shall have timely requested the Depositary to make such distribution to Holders,</w:t>
      </w:r>
    </w:p>
    <w:p>
      <w:pPr>
        <w:spacing w:after="0" w:line="2" w:lineRule="exact"/>
        <w:rPr>
          <w:sz w:val="20"/>
          <w:szCs w:val="20"/>
          <w:color w:val="auto"/>
        </w:rPr>
      </w:pPr>
    </w:p>
    <w:p>
      <w:pPr>
        <w:ind w:left="4" w:right="140" w:hanging="4"/>
        <w:spacing w:after="0" w:line="252" w:lineRule="auto"/>
        <w:tabs>
          <w:tab w:leader="none" w:pos="269"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shall have received the documentation required by the Deposit Agreement, and (iii) the Depositary shall have determined that such distribution is lawful and reasonably practicable. Upon satisfaction of such conditions, the Depositary shall distribute the property so received to the Holders of record as of the ADS Record Date, in proportion to the number of ADSs held by such Holders respectively and in such manner as the Depositary may deem practicable for accomplishing such distribution (i) upon receipt of payment or net of the applicable fees and charges of, and expenses incurred by, the Depositary, and (ii) net of any taxes and/or governmental charges.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88"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If the conditions above are not satisfied, the Depositary shall sell or cause such property to be sold in a public or private sale, at such place or places and upon such terms as it may deem proper and shall distribute the proceeds of such sale received by the Depositary (net of (a) applicable fees and charges of, and expenses incurred by, the Depositary and/or a division or Affiliate(s) of the Depositary and (b) taxes and/or governmental charges) to the Holders upon the terms hereof and of the Deposit Agreement. If the Depositary is unable to sell such property, the Depositary may dispose of such property in any way it deems reasonably practicable under the circumstances.</w:t>
      </w:r>
    </w:p>
    <w:p>
      <w:pPr>
        <w:spacing w:after="0" w:line="183" w:lineRule="exact"/>
        <w:rPr>
          <w:sz w:val="20"/>
          <w:szCs w:val="20"/>
          <w:color w:val="auto"/>
        </w:rPr>
      </w:pPr>
    </w:p>
    <w:p>
      <w:pPr>
        <w:ind w:left="4" w:right="100" w:hanging="4"/>
        <w:spacing w:after="0" w:line="253" w:lineRule="auto"/>
        <w:tabs>
          <w:tab w:leader="none" w:pos="349"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Fixing of Record Date</w:t>
      </w:r>
      <w:r>
        <w:rPr>
          <w:rFonts w:ascii="Times New Roman" w:cs="Times New Roman" w:eastAsia="Times New Roman" w:hAnsi="Times New Roman"/>
          <w:sz w:val="18"/>
          <w:szCs w:val="18"/>
          <w:color w:val="auto"/>
        </w:rPr>
        <w:t>. Whenever necessary in connection with any distribution (whether in cash, Shares, rights or other distribution), or whenever for any reason the Depositary causes a change in the number of Shares that are represented by each ADS, or whenever the Depositary shall receive notice of any meeting of or solicitation of holders of Shares or other Deposited Securities, or whenever the Depositary shall find it necessary or convenient in connection with the giving of any notice, or any other matter, the Depositary shall fix a record date (the “ADS Record Date”), as close as practicable to the record date fixed by the Company with respect to the Shares (if applicable), for the determination of the Holders who shall be entitled to receive such distribution, to give instructions for the exercise of voting rights at any such meeting, or to give or withhold such consent, or to receive such notice or solicitation or to otherwise take action, or to exercise the rights of Holders with respect to such changed number of Shares represented by each ADS or for any other reason. Subject to applicable law and the terms and conditions of this Receipt and the Deposit Agreement, only the Holders of record at the close of business in New York on such ADS Record Date shall be entitled to receive such distributions, to give such voting instructions, to receive such notice or solicitation, or otherwise take action.</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24"/>
          </w:cols>
          <w:pgMar w:left="436" w:top="270" w:right="439" w:bottom="1440" w:gutter="0" w:footer="0" w:header="0"/>
        </w:sectPr>
      </w:pPr>
    </w:p>
    <w:bookmarkStart w:id="302" w:name="page303"/>
    <w:bookmarkEnd w:id="302"/>
    <w:p>
      <w:pPr>
        <w:ind w:left="4" w:right="80" w:hanging="4"/>
        <w:spacing w:after="0" w:line="252" w:lineRule="auto"/>
        <w:tabs>
          <w:tab w:leader="none" w:pos="349"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Voting of Deposited Securities</w:t>
      </w:r>
      <w:r>
        <w:rPr>
          <w:rFonts w:ascii="Times New Roman" w:cs="Times New Roman" w:eastAsia="Times New Roman" w:hAnsi="Times New Roman"/>
          <w:sz w:val="18"/>
          <w:szCs w:val="18"/>
          <w:color w:val="auto"/>
        </w:rPr>
        <w:t>. Subject to the next sentence, as soon as practicable after receipt of notice of any meeting at which the holders of Deposited Securities are entitled to vote, or of solicitation of consents or proxies from holders of Deposited Securities, the Depositary shall fix the ADS Record Date in respect of such meeting or such solicitation of consents or proxies. The Depositary shall, if requested by the Company in writing in a timely manner (the Depositary having no obligation to take any further action if the request shall not have been received by the Depositary at least 30 Business Days prior to the date of such vote or meeting) and at the Company’s expense, and provided no U.S. legal prohibitions exist, mail by regular, ordinary mail delivery (or by electronic mail or as otherwise may be agreed between the Company and the Depositary in writing from time to time) or otherwise distribute as soon as practicable after receipt thereof to Holders as of the ADS Record Date: (a) such notice of meeting or solicitation of consent or proxy; (b) a statement that the Holders at the close of business on the ADS Record Date will be entitled, subject to any applicable law, the provisions of the Deposit Agreement, the Company’s Memorandum and Articles of Association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American Depositary Shares; and (c) a brief statement as to the manner in which such voting instructions may be given to the Depositary, or in which instructions may be deemed to have been given in accordance with this Article (15), including an express indication that instructions may be given (or be deemed to have been given in accordance with the immediately following paragraph of this section if no instruction is received) to the Depositary to give a discretionary proxy to a person or persons designated by the Company. Voting instructions may be given only in respect of a number of American Depositary Shares representing an integral number of Deposited Securities. Upon the timely receipt of voting instructions of a Holder on the ADS Record Date in the manner specified by the Depositary, the Depositary shall endeavor, insofar as practicable and permitted under applicable law, the provisions of the Deposit Agreement, the Company’s Memorandum and Articles of Association and the provisions of or governing the Deposited Securities, to vote or cause the Custodian to vote the Deposited Securities (in person or by proxy) represented by American Depositary Shares evidenced by such Receipt in accordance with such voting instructions.</w:t>
      </w:r>
    </w:p>
    <w:p>
      <w:pPr>
        <w:spacing w:after="0" w:line="189"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In the event that (i) the Depositary timely receives voting instructions from a Holder which fail to specify the manner in which the Depositary is to vote the Deposited Securities represented by such Holder’s ADSs or (ii) no timely instructions are received by the Depositary from a Holder with respect to any of the Deposited Securities represented by the ADSs held by such Holder on the ADS Record Date, the Depositary shall (unless otherwise specified in the notice distributed to Holders) deem such Holder to have instructed the Depositary to give a discretionary proxy to a person designated by the Company with respect to such Deposited Securities and the Depositary shall give a discretionary proxy to a person designated by the Company to vote such Deposited Securities, provided, however, that no such instruction shall be deemed to have been given and no such discretionary proxy shall be given with respect to any matter as to which the Company informs the Depositary (and the Company agrees to provide such information as promptly as practicable in writing, if applicable) that (x) the Company does not wish to give such proxy, (y) the Company is aware or should reasonably be aware that substantial opposition exists from Holders against the outcome for which the person designated by the Company would otherwise vote or (z) the outcome for which the person designated by the Company would otherwise vote would materially and adversely affect the rights of holders of Deposited Securities, provided, further, that the Company will have no liability to any Holder or Beneficial Owner resulting from such notification.</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4"/>
          </w:cols>
          <w:pgMar w:left="436" w:top="270" w:right="459" w:bottom="1440" w:gutter="0" w:footer="0" w:header="0"/>
        </w:sectPr>
      </w:pPr>
    </w:p>
    <w:bookmarkStart w:id="303" w:name="page304"/>
    <w:bookmarkEnd w:id="303"/>
    <w:p>
      <w:pPr>
        <w:ind w:left="4" w:right="2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voting on any resolution or matter is conducted on a show of hands basis in accordance with the Memorandum and Articles of Association, the Depositary will refrain from voting and the voting instructions (or the deemed voting instructions, as set out above) received by the Depositary from Holders shall lapse. The Depositary will have no obligation to demand voting on a poll basis with respect to any resolution and shall have no liability to any Holder or Beneficial Owner for not having demanded voting on a poll basis.</w:t>
      </w:r>
    </w:p>
    <w:p>
      <w:pPr>
        <w:spacing w:after="0" w:line="180" w:lineRule="exact"/>
        <w:rPr>
          <w:sz w:val="20"/>
          <w:szCs w:val="20"/>
          <w:color w:val="auto"/>
        </w:rPr>
      </w:pPr>
    </w:p>
    <w:p>
      <w:pPr>
        <w:ind w:left="4" w:right="80"/>
        <w:spacing w:after="0" w:line="253" w:lineRule="auto"/>
        <w:rPr>
          <w:sz w:val="20"/>
          <w:szCs w:val="20"/>
          <w:color w:val="auto"/>
        </w:rPr>
      </w:pPr>
      <w:r>
        <w:rPr>
          <w:rFonts w:ascii="Times New Roman" w:cs="Times New Roman" w:eastAsia="Times New Roman" w:hAnsi="Times New Roman"/>
          <w:sz w:val="18"/>
          <w:szCs w:val="18"/>
          <w:color w:val="auto"/>
        </w:rPr>
        <w:t>Neither the Depositary nor the Custodian shall, under any circumstances exercise any discretion as to voting, and neither the Depositary nor the Custodian shall vote, attempt to exercise the right to vote, or in any way make use of for purposes of establishing a quorum or otherwise, Deposited Securities represented by ADSs except pursuant to and in accordance with such written instructions from Holders, including the deemed instruction to the Depositary to give a discretionary proxy to a person designated by the Company. Deposited Securities represented by ADSs for which (i) no timely voting instructions are received by the Depositary from the Holder, or (ii) timely voting instructions are received by the Depositary from the Holder but such voting instructions fail to specify the manner in which the Depositary is to vote the Deposited Securities represented by such Holder’s ADSs, shall be voted in the manner provided in this Article (15). Notwithstanding anything else contained herein, and subject to applicable law, regulation and the Memorandum and Articles of Association, the Depositary shall, if so requested in writing by the Company, represent all Deposited Securities (whether or not voting instructions have been received in respect of such Deposited Securities from Holders as of the ADS Record Date) for the purpose of establishing quorum at a meeting of shareholders.</w:t>
      </w:r>
    </w:p>
    <w:p>
      <w:pPr>
        <w:spacing w:after="0" w:line="194"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There can be no assurance that Holders or Beneficial Owners generally or any Holder or Beneficial Owner in particular will receive the notice described above with sufficient time to enable the Holder to return voting instructions to the Depositary in a timely manner.</w:t>
      </w:r>
    </w:p>
    <w:p>
      <w:pPr>
        <w:spacing w:after="0" w:line="162"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Notwithstanding the above, save for applicable provisions of the law of the Cayman Islands, and in accordance with the terms of Section 5.3 of the Deposit Agreement, the Depositary shall not be liable for any failure to carry out any instructions to vote any of the Deposited Securities or the manner in which such vote is cast or the effect of such vote.</w:t>
      </w:r>
    </w:p>
    <w:p>
      <w:pPr>
        <w:spacing w:after="0" w:line="176" w:lineRule="exact"/>
        <w:rPr>
          <w:sz w:val="20"/>
          <w:szCs w:val="20"/>
          <w:color w:val="auto"/>
        </w:rPr>
      </w:pPr>
    </w:p>
    <w:p>
      <w:pPr>
        <w:ind w:left="4" w:hanging="4"/>
        <w:spacing w:after="0" w:line="252" w:lineRule="auto"/>
        <w:tabs>
          <w:tab w:leader="none" w:pos="349"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Affecting Deposited Securities</w:t>
      </w:r>
      <w:r>
        <w:rPr>
          <w:rFonts w:ascii="Times New Roman" w:cs="Times New Roman" w:eastAsia="Times New Roman" w:hAnsi="Times New Roman"/>
          <w:sz w:val="18"/>
          <w:szCs w:val="18"/>
          <w:color w:val="auto"/>
        </w:rPr>
        <w:t>. Upon any change in par value, split-up, subdivision, cancellation, consolidation or any other reclassification of Deposited Securities, or upon any recapitalization, reorganization, merger, amalgamation or consolidation or sale of assets affecting the Company or to which it otherwise is a party, any securities which shall be received by the Depositary or a Custodian in exchange for, or in conversion of or replacement or otherwise in respect of, such Deposited Securities shall, to the extent permitted by law, be treated as new Deposited Securities under the Deposit Agreement, and the Receipts shall, subject to the provisions of the Deposit Agreement and applicable law, evidence ADSs representing the right to receive such additional securities. Alternatively, the Depositary may, with the Company’s approval, and shall, if the Company shall so requests, subject to the terms of the Deposit Agreement and receipt of satisfactory documentation contemplated by the Deposit Agreement, execute and deliver additional Receipts as in the case of a stock dividend on the Shares, or call for the surrender of outstanding Receipts to be exchanged for new Receipts, in either case, as well as in the event of newly deposited Shares, with necessary modifications to this form of Receipt specifically describing such new Deposited Securities and/or corporate change. Notwithstanding the foregoing, in the event that any security so received may not be lawfully distributed to some or all Holders, the Depositary may, with the Company’s approval, and shall if the Company requests, subject to receipt of satisfactory legal documentation contemplated in the Deposit Agreement, sell such securities at public or private sale, at such place or places and upon such terms as it may deem proper and may allocate the net proceeds of such sales (net of fees and charges of, and expenses incurred by, the Depositary and/or a division or Affiliate(s) of the Depositary and taxes and/or governmental charges) for the account of the Holders otherwise entitled to such securities and distribute the net proceeds so allocated to the extent practicable as in the case of a distribution received in cash pursuant to the Deposit Agreement. The Depositary shall not be responsible for (i) any failure to determine that it may be lawful or feasible to make such securities available to Holders in general or any Holder in particular, (ii) any foreign exchange exposure or loss incurred in connection with such sale, or (iii) any liability to the purchaser of such securities.</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4"/>
          </w:cols>
          <w:pgMar w:left="436" w:top="270" w:right="459" w:bottom="1440" w:gutter="0" w:footer="0" w:header="0"/>
        </w:sectPr>
      </w:pPr>
    </w:p>
    <w:bookmarkStart w:id="304" w:name="page305"/>
    <w:bookmarkEnd w:id="304"/>
    <w:p>
      <w:pPr>
        <w:ind w:left="4" w:hanging="4"/>
        <w:spacing w:after="0" w:line="252" w:lineRule="auto"/>
        <w:tabs>
          <w:tab w:leader="none" w:pos="349"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Exoneration</w:t>
      </w:r>
      <w:r>
        <w:rPr>
          <w:rFonts w:ascii="Times New Roman" w:cs="Times New Roman" w:eastAsia="Times New Roman" w:hAnsi="Times New Roman"/>
          <w:sz w:val="18"/>
          <w:szCs w:val="18"/>
          <w:color w:val="auto"/>
        </w:rPr>
        <w:t>. None of the Depositary, the Custodian or the Company shall be obligated to do or perform any act which is inconsistent with the provisions of the Deposit Agreement or shall incur any liability to Holders, Beneficial Owners or any third parties (i) if the Depositary, the Custodian or the Company or their respective controlling persons or agents shall be prevented or forbidden from, or subjected to any civil or criminal penalty or restraint on account of, or delayed in, doing or performing any act or thing required by the terms of the Deposit Agreement and this Receipt, by reason of any provision of any present or future law or regulation of the United States, the Cayman Islands or any other country, or of any other governmental authority or regulatory authority or stock exchange, or by reason of any provision, present or future of the Memorandum and Articles of Association or any provision of or governing any Deposited Securities, or by reason of any act of God or war or other circumstances beyond its control, (including, without limitation, nationalization, expropriation, currency restrictions, work stoppage, strikes, civil unrest, revolutions, rebellions, explosions and computer failure), (ii) by reason of any exercise of, or failure to exercise, any discretion provided for in the Deposit Agreement or in the Memorandum and Articles of Association or provisions of or governing Deposited Securities, (iii) for any action or inaction of the Depositary, the Custodian or the Company or their respective controlling persons or agents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any inability by a Holder or Beneficial Owner to benefit from any distribution, offering, right or other benefit which is made available to holders of Deposited Securities but is not, under the terms of the Deposit Agreement, made available to Holders of ADS or (v) for any special, consequential, indirect or punitive damages for any breach of the terms of the Deposit Agreement or otherwise. The Depositary, its controlling persons, its agents (including without limitation, the Agents), any Custodian and the Company, its controlling persons and its agents may rely and shall be protected in acting upon any written notice, request, opinion or other document believed by it to be genuine and to have been signed or presented by the proper party or parties. No disclaimer of liability under the Securities Act or the Exchange Act is intended by any provision of the Deposit Agreement.</w:t>
      </w:r>
    </w:p>
    <w:p>
      <w:pPr>
        <w:spacing w:after="0" w:line="123"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44"/>
          </w:cols>
          <w:pgMar w:left="436" w:top="270" w:right="519" w:bottom="1440" w:gutter="0" w:footer="0" w:header="0"/>
        </w:sectPr>
      </w:pPr>
    </w:p>
    <w:bookmarkStart w:id="305" w:name="page306"/>
    <w:bookmarkEnd w:id="305"/>
    <w:p>
      <w:pPr>
        <w:ind w:left="4" w:right="20" w:hanging="4"/>
        <w:spacing w:after="0" w:line="252" w:lineRule="auto"/>
        <w:tabs>
          <w:tab w:leader="none" w:pos="349"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Standard of Care</w:t>
      </w:r>
      <w:r>
        <w:rPr>
          <w:rFonts w:ascii="Times New Roman" w:cs="Times New Roman" w:eastAsia="Times New Roman" w:hAnsi="Times New Roman"/>
          <w:sz w:val="18"/>
          <w:szCs w:val="18"/>
          <w:color w:val="auto"/>
        </w:rPr>
        <w:t>. The Company and the Depositary and their respective directors, officers, Affiliates, employees and agents (including without limitation, the Agents) assume no obligation and shall not be subject to any liability under the Deposit Agreement or the Receipts to Holders or Beneficial Owners or other persons, except in accordance with Section 5.8 of the Deposit Agreement, provided, that the Company and the Depositary and their respective directors, officers, Affiliates, employees and agents (including without limitation, the Agents) agree to perform their respective obligations specifically set forth in the Deposit Agreement without gross negligence or wilful misconduct. The Depositary and its directors, officers, Affiliates, employees and agents (including without limitation, the Agents) shall not be liable for any failure to carry out any instructions to vote any of the Deposited Securities, or for the manner in which any vote is cast or the effect of any vote. The Depositary shall not incur any liability for any failure to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Securities, for the validity or worth of the Deposited Securities or for any tax consequences that may result from the ownership of ADSs, Shares or Deposited Securities, for the credit-worthiness of any third party, for allowing any rights to lapse upon the terms of the Deposit Agreement or for the failure or timeliness of any notice from the Company or for any action or non action by it in reliance upon the opinion, advice of or information from legal counsel, accountants, any person presenting Shares for deposit, any Holder or any other person believed by it in good faith to be competent to give such advice or information. The Depositary and its agents (including without limitation, the Agents)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gross negligence or willful misconduct while it acted as Depositary.</w:t>
      </w:r>
    </w:p>
    <w:p>
      <w:pPr>
        <w:spacing w:after="0" w:line="193" w:lineRule="exact"/>
        <w:rPr>
          <w:rFonts w:ascii="Times New Roman" w:cs="Times New Roman" w:eastAsia="Times New Roman" w:hAnsi="Times New Roman"/>
          <w:sz w:val="18"/>
          <w:szCs w:val="18"/>
          <w:color w:val="auto"/>
        </w:rPr>
      </w:pPr>
    </w:p>
    <w:p>
      <w:pPr>
        <w:ind w:left="4" w:hanging="4"/>
        <w:spacing w:after="0" w:line="251" w:lineRule="auto"/>
        <w:tabs>
          <w:tab w:leader="none" w:pos="349"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and Removal of the Depositary; Appointment of Successor Depositary</w:t>
      </w:r>
      <w:r>
        <w:rPr>
          <w:rFonts w:ascii="Times New Roman" w:cs="Times New Roman" w:eastAsia="Times New Roman" w:hAnsi="Times New Roman"/>
          <w:sz w:val="18"/>
          <w:szCs w:val="18"/>
          <w:color w:val="auto"/>
        </w:rPr>
        <w:t>. The Depositary may at any time resign as Depositary under the Deposit Agreement by written notice of resignation delivered to the Company, such resignation to be effective on the earlier of (i) the 90th day after delivery thereof to the Company (whereupon the Depositary shall, in the event no successor depositary has been appointed by the Company, be entitled to take the actions contemplated in the Deposit Agreement), or (ii) the appointment of a successor depositary and its acceptance of such appointment as provided in the Deposit Agreement, save that, any amounts, fees, costs or expenses owed to the Depositary under the Deposit Agreement or in accordance with any other agreements otherwise agreed in writing between the Company and the Depositary from time to time shall be paid to the Depositary prior to such resignation. The Company shall use reasonable efforts to appoint such successor depositary, and give notice to the Depositary of such appointment, not more than 90 days after delivery by the Depositary of written notice of resignation as provided in the Deposit Agreement. The Depositary may at any time be removed by the Company by written notice of such removal which notice shall be effective on the later of (i) the 90th day after delivery thereof to the Depositary (whereupon the Depositary shall be entitled to take the actions contemplated in the Deposit Agreement if a successor depositary has not been appointed), or (ii) the appointment of a successor depositary and its acceptance of such appointment as provided in the Deposit Agreement save that, any amounts, fees, costs or expenses owed to the Depositary under the Deposit Agreement or in accordance with any other agreements otherwise agreed in writing between the Company and the Depositary from time to time shall be paid to the Depositary prior to such removal. In case at any time the Depositary acting hereunder shall resign or be removed, the Company shall use its best efforts to appoint a successor depositary which shall be a bank or trust company having an office in the Borough of Manhattan, the City of New York and if it shall have not appointed a successor depositary the provisions referred to in Article (21) hereof and correspondingly in the Deposit Agreement shall apply. Every successor depositary shall be required by the Company to execute and deliver to its predecessor and to the Company an instrument in writing accepting its appointment hereunder, and thereupon such successor depositary, without any further act or deed, shall become fully vested with all the rights, powers, duties and obligations of its predecessor. The predecessor depositary, upon payment of all sums due to it and on the written request of the Company, shall (i) execute and deliver an instrument transferring to such successor all rights and powers of such predecessor hereunder (other than as contemplated in the Deposit Agreement), (ii) duly assign, transfer and deliver all right, title and interest to the Deposited Securities to such successor, and (iii) deliver to such successor a list of the Holders of all outstanding Receipts and such other information relating to Receipts and Holders thereof as the successor may reasonably request. Any such successor depositary shall promptly mail notice of its appointment to such Holders. Any corporation into or with which the Depositary may be merged or consolidated shall be the successor of the Depositary without the execution or filing of any document or any further act and, notwithstanding anything to the contrary in the Deposit Agreement, the Depositary may assign or otherwise transfer all or any of its rights and benefits under the Deposit Agreement (including any cause of action arising in connection with it) to Deutsche Bank AG or any branch thereof or any entity which is a direct or indirect subsidiary or other affiliate of Deutsche Bank AG.</w:t>
      </w:r>
    </w:p>
    <w:p>
      <w:pPr>
        <w:spacing w:after="0" w:line="13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4"/>
          </w:cols>
          <w:pgMar w:left="436" w:top="270" w:right="459" w:bottom="1440" w:gutter="0" w:footer="0" w:header="0"/>
        </w:sectPr>
      </w:pPr>
    </w:p>
    <w:bookmarkStart w:id="306" w:name="page307"/>
    <w:bookmarkEnd w:id="306"/>
    <w:p>
      <w:pPr>
        <w:ind w:left="4" w:hanging="4"/>
        <w:spacing w:after="0" w:line="251" w:lineRule="auto"/>
        <w:tabs>
          <w:tab w:leader="none" w:pos="349"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Amendment/Supplement</w:t>
      </w:r>
      <w:r>
        <w:rPr>
          <w:rFonts w:ascii="Times New Roman" w:cs="Times New Roman" w:eastAsia="Times New Roman" w:hAnsi="Times New Roman"/>
          <w:sz w:val="18"/>
          <w:szCs w:val="18"/>
          <w:color w:val="auto"/>
        </w:rPr>
        <w:t>. Subject to the terms and conditions of this Article (20), and applicable law, this Receipt and any provisions of the Deposit Agreement may at any time and from time to time be amended or supplemented by written agreement between the Company and the Depositary in any respect which they may deem necessary or desirable without the consent of the Holders or Beneficial Owners. Any amendment or supplement which shall impose or increase any fees or charges (other than the charges of the Depositary in connection with foreign exchange control regulations, and taxes and/or other governmental charges, delivery and other such expenses), or which shall otherwise materially prejudice any substantial existing right of Holders or Beneficial Owners, shall not, however, become effective as to outstanding Receipts until 30 days after notice of such amendment or supplement shall have been given to the Holders of outstanding Receipts. Notice of any amendment to the Deposit Agreement or form of Receipts shall not need to describe in detail the specific amendments effectuated thereby, and failure to describe the specific amendments in any such notice shall not render such notice invalid, provided, however, that, in each such case, the notice given to the Holders identifies a means for Holders and Beneficial Owners to retrieve or receive the text of such amendment (i.e.,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or Shares to be traded solely in electronic book-entry form and (ii) do not in either such case impose or increase any fees or charges to be borne by Holders, shall be deemed not to materially prejudice any substantial rights of Holders or Beneficial Owners. Every Holder and Beneficial Owner at the time any amendment or supplement so becomes effective shall be deemed, by continuing to hold such ADS, to consent and agree to such amendment or supplement and to be bound by the Deposit Agreement as amended or supplemented thereby. In no event shall any amendment or supplement impair the right of the Holder to surrender such Receipt and receive therefor the Deposited Securities represented thereby, except in order to comply with mandatory provisions of applicable law. Notwithstanding the foregoing, if any governmental body should adopt new laws, rules or regulations which would require amendment or supplement of the Deposit Agreement to ensure compliance therewith, the Company and the Depositary may amend or supplement the Deposit Agreement and the Receipt at any time in accordance with such changed laws, rules or regulations. Such amendment or supplement to the Deposit Agreement in such circumstances may become effective before a notice of such amendment or supplement is given to Holders or within any other period of time as required for compliance with such laws, or rules or regulations.</w:t>
      </w:r>
    </w:p>
    <w:p>
      <w:pPr>
        <w:spacing w:after="0" w:line="13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4"/>
          </w:cols>
          <w:pgMar w:left="436" w:top="270" w:right="459" w:bottom="1440" w:gutter="0" w:footer="0" w:header="0"/>
        </w:sectPr>
      </w:pPr>
    </w:p>
    <w:bookmarkStart w:id="307" w:name="page308"/>
    <w:bookmarkEnd w:id="307"/>
    <w:p>
      <w:pPr>
        <w:ind w:left="4" w:right="80" w:hanging="4"/>
        <w:spacing w:after="0" w:line="252" w:lineRule="auto"/>
        <w:tabs>
          <w:tab w:leader="none" w:pos="349"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Termination</w:t>
      </w:r>
      <w:r>
        <w:rPr>
          <w:rFonts w:ascii="Times New Roman" w:cs="Times New Roman" w:eastAsia="Times New Roman" w:hAnsi="Times New Roman"/>
          <w:sz w:val="18"/>
          <w:szCs w:val="18"/>
          <w:color w:val="auto"/>
        </w:rPr>
        <w:t>. The Depositary shall, at any time at the written direction of the Company, terminate the Deposit Agreement by mailing notice of such termination to the Holders of all Receipts then outstanding at least 90 days prior to the date fixed in such notice for such termination provided that, the Depositary shall be reimbursed for any amounts, fees, costs or expenses owed to it in accordance with the terms of the Deposit Agreement and in accordance with any other agreements as otherwise agreed in writing between the Company and the Depositary from time to time, prior to such termination shall take effect. If 90 days shall have expired after (i) the Depositary shall have delivered to the Company a written notice of its election to resign, or (ii) the Company shall have delivered to the Depositary a written notice of the removal of the Depositary, and in either case a successor depositary shall not have been appointed and accepted its appointment as provided herein and in the Deposit Agreement, the Depositary may terminate the Deposit Agreement by mailing notice of such termination to the Holders of all Receipts then outstanding at least 30 days prior to the date fixed for such termination. On and after the date of termination of the Deposit Agreement, each Holder will, upon surrender of such Holder’s Receipt at the Corporate Trust Office of the Depositary, upon the payment of the charges of the Depositary for the surrender of Receipts referred to in Article</w:t>
      </w:r>
    </w:p>
    <w:p>
      <w:pPr>
        <w:spacing w:after="0" w:line="5" w:lineRule="exact"/>
        <w:rPr>
          <w:rFonts w:ascii="Times New Roman" w:cs="Times New Roman" w:eastAsia="Times New Roman" w:hAnsi="Times New Roman"/>
          <w:sz w:val="18"/>
          <w:szCs w:val="18"/>
          <w:color w:val="auto"/>
        </w:rPr>
      </w:pPr>
    </w:p>
    <w:p>
      <w:pPr>
        <w:ind w:left="4" w:hanging="4"/>
        <w:spacing w:after="0" w:line="250" w:lineRule="auto"/>
        <w:tabs>
          <w:tab w:leader="none" w:pos="259"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 and in the Deposit Agreement and subject to the conditions and restrictions therein set forth, and upon payment of any applicable taxes and/or governmental charges, be entitled to delivery, to him or upon his order, of the amount of Deposited Securities represented by such Receipt. If any Receipts shall remain outstanding after the date of termination of the Deposit Agreement, the Registrar thereafter shall discontinue the registration of transfers of Receipts, and the Depositary shall suspend the distribution of dividends to the Holders thereof, and shall not give any further notices or perform any further acts under the Deposit Agreement, except that the Depositary shall continue to collect dividends and other distributions pertaining to Deposited Securities, shall sell rights or other property as provided in the Deposit Agreement, and shall continue to deliver Deposited Securities, subject to the conditions and restrictions set forth in the Deposit Agreement, together with any dividends or other distributions received with respect thereto and the net proceeds of the sale of any rights or other property, in exchange for Receipts surrendered to the Depositary (after deducting, or charging, as the case may be, in each case the charges of the Depositary for the surrender of a Receipt, any expenses for the account of the Holder in accordance with the terms and conditions of the Deposit Agreement and any applicable taxes and/or governmental charges or assessments). At any time after the expiration of six months from the date of termination of the Deposit Agreement, the Depositary may sell the Deposited Securities then held hereunder and may thereafter hold uninvested the net proceeds of any such sale, together with any other cash then held by it hereunder, in an unsegregated account, without liability for interest for the pro rata benefit of the Holders of Receipts whose Receipts have not theretofore been surrendered. After making such sale, the Depositary shall be discharged from all obligations under the Deposit Agreement with respect to the Receipts and the Shares, Deposited Securities and ADSs, except to account for such net proceeds and other cash (after deducting, or charging, as the case may be, in each case the charges of the Depositary for the surrender of a Receipt, any expenses for the account of the Holder in accordance with the terms and conditions of the Deposit Agreement and any applicable taxes and/or governmental charges or assessments) and except as set forth in the Deposit Agreement. Upon the termination of the Deposit Agreement, the Company shall be discharged from all obligations under the Deposit Agreement except as set forth in the Deposit Agreement. The obligations under the terms of the Deposit Agreement and Receipts of Holders and Beneficial Owners of ADSs outstanding as of the effective date of any termination shall survive such effective date of termination and shall be discharged only when the applicable ADSs are presented by their Holders to the Depositary for cancellation under the terms of the Deposit Agreement and the Holders have each satisfied any and all of their obligations hereunder (including, but not limited to, any payment and/or reimbursement obligations which relate to prior to the effective date of termination but which payment and/or reimbursement is claimed after such effective date of termination).</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4"/>
          </w:cols>
          <w:pgMar w:left="436" w:top="270" w:right="459" w:bottom="1440" w:gutter="0" w:footer="0" w:header="0"/>
        </w:sectPr>
      </w:pPr>
    </w:p>
    <w:bookmarkStart w:id="308" w:name="page309"/>
    <w:bookmarkEnd w:id="308"/>
    <w:p>
      <w:pPr>
        <w:ind w:left="4" w:right="120" w:hanging="4"/>
        <w:spacing w:after="0" w:line="266" w:lineRule="auto"/>
        <w:tabs>
          <w:tab w:leader="none" w:pos="349"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Compliance with U.S. Securities Laws; Regulatory Compliance</w:t>
      </w:r>
      <w:r>
        <w:rPr>
          <w:rFonts w:ascii="Times New Roman" w:cs="Times New Roman" w:eastAsia="Times New Roman" w:hAnsi="Times New Roman"/>
          <w:sz w:val="18"/>
          <w:szCs w:val="18"/>
          <w:color w:val="auto"/>
        </w:rPr>
        <w:t>. Notwithstanding any provisions in this Receipt or the Deposit Agreement to the contrary, the withdrawal or Delivery of Deposited Securities will not be suspended by the Company or the Depositary except as would be permitted by Section I.A.(1) of the General Instructions to Form F-6 Registration Statement, as amended from time to time, under the Securities Act.</w:t>
      </w:r>
    </w:p>
    <w:p>
      <w:pPr>
        <w:spacing w:after="0" w:line="175" w:lineRule="exact"/>
        <w:rPr>
          <w:rFonts w:ascii="Times New Roman" w:cs="Times New Roman" w:eastAsia="Times New Roman" w:hAnsi="Times New Roman"/>
          <w:sz w:val="18"/>
          <w:szCs w:val="18"/>
          <w:color w:val="auto"/>
        </w:rPr>
      </w:pPr>
    </w:p>
    <w:p>
      <w:pPr>
        <w:jc w:val="both"/>
        <w:ind w:left="4" w:right="40" w:hanging="4"/>
        <w:spacing w:after="0" w:line="261" w:lineRule="auto"/>
        <w:tabs>
          <w:tab w:leader="none" w:pos="349"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Rights of the Depositary</w:t>
      </w:r>
      <w:r>
        <w:rPr>
          <w:rFonts w:ascii="Times New Roman" w:cs="Times New Roman" w:eastAsia="Times New Roman" w:hAnsi="Times New Roman"/>
          <w:sz w:val="18"/>
          <w:szCs w:val="18"/>
          <w:color w:val="auto"/>
        </w:rPr>
        <w:t>. The Depositary, its Affiliates and their agents, on their own behalf, may own and deal in any class of securities of the Company and its Affiliates and in ADSs. The Depositary may issue ADSs against evidence of rights to receive Shares from the Company, any agent of the Company or any custodian, registrar, transfer agent, clearing agency or other entity involved in ownership or transaction records in respect of the Shares.</w:t>
      </w:r>
    </w:p>
    <w:p>
      <w:pPr>
        <w:spacing w:after="0" w:line="179" w:lineRule="exact"/>
        <w:rPr>
          <w:rFonts w:ascii="Times New Roman" w:cs="Times New Roman" w:eastAsia="Times New Roman" w:hAnsi="Times New Roman"/>
          <w:sz w:val="18"/>
          <w:szCs w:val="18"/>
          <w:color w:val="auto"/>
        </w:rPr>
      </w:pPr>
    </w:p>
    <w:p>
      <w:pPr>
        <w:ind w:left="4" w:right="320" w:hanging="4"/>
        <w:spacing w:after="0" w:line="266" w:lineRule="auto"/>
        <w:tabs>
          <w:tab w:leader="none" w:pos="349"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Restrictions</w:t>
      </w:r>
      <w:r>
        <w:rPr>
          <w:rFonts w:ascii="Times New Roman" w:cs="Times New Roman" w:eastAsia="Times New Roman" w:hAnsi="Times New Roman"/>
          <w:sz w:val="18"/>
          <w:szCs w:val="18"/>
          <w:color w:val="auto"/>
        </w:rPr>
        <w:t>. Owners and Beneficial Owners shall comply with any limitations on ownership of Shares under the Memorandum and Articles of Association or applicable Cayman Islands law as if they held the number of Shares their American Depositary Shares represent. The Company shall inform the Owners, Beneficial Owners and the Depositary of any such ownership restrictions in place from time to time.</w:t>
      </w:r>
    </w:p>
    <w:p>
      <w:pPr>
        <w:spacing w:after="0" w:line="175" w:lineRule="exact"/>
        <w:rPr>
          <w:rFonts w:ascii="Times New Roman" w:cs="Times New Roman" w:eastAsia="Times New Roman" w:hAnsi="Times New Roman"/>
          <w:sz w:val="18"/>
          <w:szCs w:val="18"/>
          <w:color w:val="auto"/>
        </w:rPr>
      </w:pPr>
    </w:p>
    <w:p>
      <w:pPr>
        <w:ind w:left="4" w:hanging="4"/>
        <w:spacing w:after="0" w:line="255" w:lineRule="auto"/>
        <w:tabs>
          <w:tab w:leader="none" w:pos="349"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xml:space="preserve"> EACH PARTY TO THE DEPOSIT AGREEMENT (INCLUDING, FOR AVOIDANCE OF DOUBT, EACH HOLDER AND BENEFICIAL OWNER AND/OR HOLDER OF INTERESTS IN ANY ADRs) HEREBY IRREVOCABLY WAIVES, TO THE FULLEST EXTENT PERMITTED BY APPLICABLE LAW, ANY RIGHT IT MAY HAVE TO A TRIAL BY JURY IN ANY SUIT, ACTION OR PROCEEDING AGAINST THE DEPOSITARY AND/OR THE COMPANY DIRECTLY OR INDIRECTLY ARISING OUT OF OR RELATING TO THE SHARES OR OTHER DEPOSITED SECURITIES, THE ADSs OR THE ADRs, THE DEPOSIT AGREEMENT OR ANY TRANSACTION CONTEMPLATED HEREIN OR THEREIN, OR THE BREACH HEREOF OR THEREOF (WHETHER BASED ON CONTRACT, TORT, COMMON LAW OR ANY OTHER THEORY).</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84"/>
          </w:cols>
          <w:pgMar w:left="436" w:top="270" w:right="47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AND TRANSFER SIGNATURE LINES)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the undersigned Holder hereby sell(s), assign(s) and transfer(s) unto ______________________________ whose taxpayer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identification number is _______________________ and whose address including postal zip code is ____________________________, the within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Receipt and all rights thereunder, hereby irrevocably constituting and appointing ________________________ attorney-in-fact to transfer said Receipt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books of the Depositary with full power of substitution in the premises.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w:t>
            </w:r>
          </w:p>
        </w:tc>
        <w:tc>
          <w:tcPr>
            <w:tcW w:w="69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Name: ________________________________</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9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234"/>
        </w:trPr>
        <w:tc>
          <w:tcPr>
            <w:tcW w:w="2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9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414"/>
        </w:trPr>
        <w:tc>
          <w:tcPr>
            <w:tcW w:w="2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9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NOTICE: The signature of the Holder to this assignment must</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9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correspond with the name as written upon the face of the within</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9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instrument in every particular, without alteration or enlargement or</w:t>
            </w:r>
          </w:p>
        </w:tc>
        <w:tc>
          <w:tcPr>
            <w:tcW w:w="0" w:type="dxa"/>
            <w:vAlign w:val="bottom"/>
          </w:tcPr>
          <w:p>
            <w:pPr>
              <w:spacing w:after="0"/>
              <w:rPr>
                <w:sz w:val="1"/>
                <w:szCs w:val="1"/>
                <w:color w:val="auto"/>
              </w:rPr>
            </w:pPr>
          </w:p>
        </w:tc>
      </w:tr>
      <w:tr>
        <w:trPr>
          <w:trHeight w:val="234"/>
        </w:trPr>
        <w:tc>
          <w:tcPr>
            <w:tcW w:w="2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9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any change whatsoever.</w:t>
            </w:r>
          </w:p>
        </w:tc>
        <w:tc>
          <w:tcPr>
            <w:tcW w:w="0" w:type="dxa"/>
            <w:vAlign w:val="bottom"/>
          </w:tcPr>
          <w:p>
            <w:pPr>
              <w:spacing w:after="0"/>
              <w:rPr>
                <w:sz w:val="1"/>
                <w:szCs w:val="1"/>
                <w:color w:val="auto"/>
              </w:rPr>
            </w:pPr>
          </w:p>
        </w:tc>
      </w:tr>
      <w:tr>
        <w:trPr>
          <w:trHeight w:val="414"/>
        </w:trPr>
        <w:tc>
          <w:tcPr>
            <w:tcW w:w="2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9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If the endorsement be executed by an attorney, executor,</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9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administrator, trustee or guardian, the person executing the</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960" w:type="dxa"/>
            <w:vAlign w:val="bottom"/>
          </w:tcPr>
          <w:p>
            <w:pPr>
              <w:ind w:left="2100"/>
              <w:spacing w:after="0"/>
              <w:rPr>
                <w:sz w:val="20"/>
                <w:szCs w:val="20"/>
                <w:color w:val="auto"/>
              </w:rPr>
            </w:pPr>
            <w:r>
              <w:rPr>
                <w:rFonts w:ascii="Times New Roman" w:cs="Times New Roman" w:eastAsia="Times New Roman" w:hAnsi="Times New Roman"/>
                <w:sz w:val="18"/>
                <w:szCs w:val="18"/>
                <w:color w:val="auto"/>
                <w:w w:val="99"/>
              </w:rPr>
              <w:t>endorsement must give his/her full title in such capacity and proper</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9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evidence of authority to act in such capacity, if not on file with the</w:t>
            </w:r>
          </w:p>
        </w:tc>
        <w:tc>
          <w:tcPr>
            <w:tcW w:w="0" w:type="dxa"/>
            <w:vAlign w:val="bottom"/>
          </w:tcPr>
          <w:p>
            <w:pPr>
              <w:spacing w:after="0"/>
              <w:rPr>
                <w:sz w:val="1"/>
                <w:szCs w:val="1"/>
                <w:color w:val="auto"/>
              </w:rPr>
            </w:pPr>
          </w:p>
        </w:tc>
      </w:tr>
      <w:tr>
        <w:trPr>
          <w:trHeight w:val="234"/>
        </w:trPr>
        <w:tc>
          <w:tcPr>
            <w:tcW w:w="2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9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Depositary, must be forwarded with this Receipt.</w:t>
            </w:r>
          </w:p>
        </w:tc>
        <w:tc>
          <w:tcPr>
            <w:tcW w:w="0" w:type="dxa"/>
            <w:vAlign w:val="bottom"/>
          </w:tcPr>
          <w:p>
            <w:pPr>
              <w:spacing w:after="0"/>
              <w:rPr>
                <w:sz w:val="1"/>
                <w:szCs w:val="1"/>
                <w:color w:val="auto"/>
              </w:rPr>
            </w:pPr>
          </w:p>
        </w:tc>
      </w:tr>
      <w:tr>
        <w:trPr>
          <w:trHeight w:val="540"/>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 GUARANTEED</w:t>
            </w:r>
          </w:p>
        </w:tc>
        <w:tc>
          <w:tcPr>
            <w:tcW w:w="6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200" w:type="dxa"/>
            <w:vAlign w:val="bottom"/>
            <w:tcBorders>
              <w:bottom w:val="single" w:sz="8" w:color="auto"/>
            </w:tcBorders>
          </w:tcPr>
          <w:p>
            <w:pPr>
              <w:spacing w:after="0"/>
              <w:rPr>
                <w:sz w:val="24"/>
                <w:szCs w:val="24"/>
                <w:color w:val="auto"/>
              </w:rPr>
            </w:pPr>
          </w:p>
        </w:tc>
        <w:tc>
          <w:tcPr>
            <w:tcW w:w="1640" w:type="dxa"/>
            <w:vAlign w:val="bottom"/>
          </w:tcPr>
          <w:p>
            <w:pPr>
              <w:spacing w:after="0"/>
              <w:rPr>
                <w:sz w:val="24"/>
                <w:szCs w:val="24"/>
                <w:color w:val="auto"/>
              </w:rPr>
            </w:pPr>
          </w:p>
        </w:tc>
        <w:tc>
          <w:tcPr>
            <w:tcW w:w="6960" w:type="dxa"/>
            <w:vAlign w:val="bottom"/>
            <w:vMerge w:val="restart"/>
          </w:tcPr>
          <w:p>
            <w:pPr>
              <w:ind w:left="158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358"/>
        </w:trPr>
        <w:tc>
          <w:tcPr>
            <w:tcW w:w="2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440" w:top="266" w:right="579" w:bottom="1440" w:gutter="0" w:footer="0" w:header="0"/>
        </w:sectPr>
      </w:pPr>
    </w:p>
    <w:bookmarkStart w:id="310" w:name="page311"/>
    <w:bookmarkEnd w:id="3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82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2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SECTION 1.1 </w:t>
            </w: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“Affiliate”</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SECTION 1.2 </w:t>
            </w: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“Agent”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SECTION 1.3 </w:t>
            </w: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“American Depositary Share(s)” and “ADS(s)”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SECTION 1.4 </w:t>
            </w: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“Article”</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SECTION 1.5 </w:t>
            </w: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“Articles of Association”</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SECTION 1.6 </w:t>
            </w: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“ADS Record Date”</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SECTION 1.7 </w:t>
            </w: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“Beneficial Owner”</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SECTION 1.8 </w:t>
            </w: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“Business Day”</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SECTION 1.9 </w:t>
            </w: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“Commission”</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SECTION 1.10</w:t>
            </w: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5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SECTION 1.11</w:t>
            </w: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Trust Office”</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SECTION 1.12</w:t>
            </w: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“Custodian”</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SECTION 1.13</w:t>
            </w: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“Deliver”, “Deliverable” and “Delivery”</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SECTION 1.14</w:t>
            </w: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“Deposit Agreement”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SECTION 1.15</w:t>
            </w: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“Depositary”</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SECTION 1.16</w:t>
            </w: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“Deposited Securities”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SECTION 1.17</w:t>
            </w: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“Dollars” and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SECTION 1.18</w:t>
            </w: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“DRS/Profile”</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SECTION 1.19</w:t>
            </w: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“DTC”</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SECTION 1.20</w:t>
            </w: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“DTC Participants”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SECTION 1.21</w:t>
            </w: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“Exchange Act”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SECTION 1.22</w:t>
            </w: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SECTION 1.23</w:t>
            </w: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Registrar”</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SECTION 1.24</w:t>
            </w: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“Holder”</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SECTION 1.25</w:t>
            </w: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“Indemnified Person” and “Indemnifying Person”</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SECTION 1.26</w:t>
            </w: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“Losses”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SECTION 1.27</w:t>
            </w: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“Memorandum”</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SECTION 1.28</w:t>
            </w: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“Opinion of Counsel”</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SECTION 1.29</w:t>
            </w: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“Receipt(s); “American Depositary Receipt(s)”; and “ADR(s)”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SECTION 1.30</w:t>
            </w: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“Registrar”</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SECTION 1.31</w:t>
            </w: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ADRs”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SECTION 1.32</w:t>
            </w: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ADSs”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SECTION 1.33</w:t>
            </w: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Securities”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SECTION 1.34</w:t>
            </w: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Shares”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SECTION 1.35</w:t>
            </w: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“Securities Act”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SECTION 1.36</w:t>
            </w: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2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SECTION 1.37</w:t>
            </w: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 or “U.S.”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06"/>
        </w:trPr>
        <w:tc>
          <w:tcPr>
            <w:tcW w:w="10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APPOINTMENT OF DEPOSITARY; FORM OF RECEIPT; DEPOSIT OF SHARES; EXECUTION AND DELIVERY, TRANSFER</w:t>
            </w:r>
          </w:p>
        </w:tc>
        <w:tc>
          <w:tcPr>
            <w:tcW w:w="240" w:type="dxa"/>
            <w:vAlign w:val="bottom"/>
          </w:tcPr>
          <w:p>
            <w:pPr>
              <w:spacing w:after="0"/>
              <w:rPr>
                <w:sz w:val="24"/>
                <w:szCs w:val="24"/>
                <w:color w:val="auto"/>
              </w:rPr>
            </w:pPr>
          </w:p>
        </w:tc>
      </w:tr>
      <w:tr>
        <w:trPr>
          <w:trHeight w:val="234"/>
        </w:trPr>
        <w:tc>
          <w:tcPr>
            <w:tcW w:w="10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SURRENDER OF RECEIPTS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06"/>
        </w:trPr>
        <w:tc>
          <w:tcPr>
            <w:tcW w:w="2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SECTION 2.1 </w:t>
            </w: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Appointment of Depositary</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2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SECTION 2.2 </w:t>
            </w: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and Transferability of Receipts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2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SECTION 2.3 </w:t>
            </w: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Deposits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2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SECTION 2.4 </w:t>
            </w: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Execution and Delivery of Receipts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2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SECTION 2.5 </w:t>
            </w: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Transfer of Receipts; Combination and Split-up of Receipts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65"/>
        </w:trPr>
        <w:tc>
          <w:tcPr>
            <w:tcW w:w="2540" w:type="dxa"/>
            <w:vAlign w:val="bottom"/>
          </w:tcPr>
          <w:p>
            <w:pPr>
              <w:spacing w:after="0"/>
              <w:rPr>
                <w:sz w:val="24"/>
                <w:szCs w:val="24"/>
                <w:color w:val="auto"/>
              </w:rPr>
            </w:pPr>
          </w:p>
        </w:tc>
        <w:tc>
          <w:tcPr>
            <w:tcW w:w="824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311" w:name="page312"/>
    <w:bookmarkEnd w:id="3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SECTION 2.6 </w:t>
            </w:r>
          </w:p>
        </w:tc>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Surrender of Receipts and Withdrawal of Deposited Securities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2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SECTION 2.7 </w:t>
            </w:r>
          </w:p>
        </w:tc>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Limitations on Execution and Delivery, Transfer, etc. of Receipts; Suspension of Delivery, Transfer, etc.</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2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SECTION 2.8 </w:t>
            </w:r>
          </w:p>
        </w:tc>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Lost Receipts, etc.</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SECTION 2.9 </w:t>
            </w:r>
          </w:p>
        </w:tc>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Cancellation and Destruction of Surrendered Receipts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SECTION 2.10</w:t>
            </w:r>
          </w:p>
        </w:tc>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Maintenance of Records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2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SECTION 2.11</w:t>
            </w:r>
          </w:p>
        </w:tc>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ADSs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10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CERTAIN OBLIGATIONS OF HOLDERS AND BENEFICIAL OWNERS OF RECEIPTS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06"/>
        </w:trPr>
        <w:tc>
          <w:tcPr>
            <w:tcW w:w="2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SECTION 3.1 </w:t>
            </w:r>
          </w:p>
        </w:tc>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Proofs, Certificates and Other Information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2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SECTION 3.2 </w:t>
            </w:r>
          </w:p>
        </w:tc>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Liability for Taxes and Other Charges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2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SECTION 3.3 </w:t>
            </w:r>
          </w:p>
        </w:tc>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Representations and Warranties on Deposit of Shares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2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SECTION 3.4 </w:t>
            </w:r>
          </w:p>
        </w:tc>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Compliance with Information Requests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10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THE DEPOSITED SECURITIES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06"/>
        </w:trPr>
        <w:tc>
          <w:tcPr>
            <w:tcW w:w="2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SECTION 4.1 </w:t>
            </w:r>
          </w:p>
        </w:tc>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Distributions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2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SECTION 4.2 </w:t>
            </w:r>
          </w:p>
        </w:tc>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 in Shares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2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SECTION 4.3 </w:t>
            </w:r>
          </w:p>
        </w:tc>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Elective Distributions in Cash or Shares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2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SECTION 4.4 </w:t>
            </w:r>
          </w:p>
        </w:tc>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 of Rights to Purchase Shares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2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SECTION 4.5 </w:t>
            </w:r>
          </w:p>
        </w:tc>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 Other Than Cash, Shares or Rights to Purchase Shares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2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SECTION 4.6 </w:t>
            </w:r>
          </w:p>
        </w:tc>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Foreign Currency</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2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SECTION 4.7 </w:t>
            </w:r>
          </w:p>
        </w:tc>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Fixing of Record Date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2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SECTION 4.8 </w:t>
            </w:r>
          </w:p>
        </w:tc>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Voting of Deposited Securities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2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SECTION 4.9 </w:t>
            </w:r>
          </w:p>
        </w:tc>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Affecting Deposited Securities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2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SECTION 4.10</w:t>
            </w:r>
          </w:p>
        </w:tc>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Available Information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2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SECTION 4.11</w:t>
            </w:r>
          </w:p>
        </w:tc>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Reports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2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SECTION 4.12</w:t>
            </w:r>
          </w:p>
        </w:tc>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List of Holders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2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SECTION 4.13</w:t>
            </w:r>
          </w:p>
        </w:tc>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Taxation; Withholding</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10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THE DEPOSITARY, THE CUSTODIAN AND THE COMPANY</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06"/>
        </w:trPr>
        <w:tc>
          <w:tcPr>
            <w:tcW w:w="2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SECTION 5.1 </w:t>
            </w:r>
          </w:p>
        </w:tc>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Maintenance of Office and Transfer Books by the Registrar</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2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SECTION 5.2 </w:t>
            </w:r>
          </w:p>
        </w:tc>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Exoneration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2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SECTION 5.3 </w:t>
            </w:r>
          </w:p>
        </w:tc>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Standard of Care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2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SECTION 5.4 </w:t>
            </w:r>
          </w:p>
        </w:tc>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Resignation and Removal of the Depositary; Appointment of Successor Depositary</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2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SECTION 5.5 </w:t>
            </w:r>
          </w:p>
        </w:tc>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Custodian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2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SECTION 5.6 </w:t>
            </w:r>
          </w:p>
        </w:tc>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Notices and Reports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2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SECTION 5.7 </w:t>
            </w:r>
          </w:p>
        </w:tc>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Additional Shares, ADSs etc.</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2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SECTION 5.8 </w:t>
            </w:r>
          </w:p>
        </w:tc>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Indemnification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2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SECTION 5.9 </w:t>
            </w:r>
          </w:p>
        </w:tc>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Fees and Charges of Depositary</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2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SECTION 5.10</w:t>
            </w:r>
          </w:p>
        </w:tc>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Securities Owners/Ownership Restrictions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24"/>
        </w:trPr>
        <w:tc>
          <w:tcPr>
            <w:tcW w:w="10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AMENDMENT AND TERMINATION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06"/>
        </w:trPr>
        <w:tc>
          <w:tcPr>
            <w:tcW w:w="2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SECTION 6.1 </w:t>
            </w:r>
          </w:p>
        </w:tc>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Amendment/Supplement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4"/>
        </w:trPr>
        <w:tc>
          <w:tcPr>
            <w:tcW w:w="2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SECTION 6.2 </w:t>
            </w:r>
          </w:p>
        </w:tc>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Termination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65"/>
        </w:trPr>
        <w:tc>
          <w:tcPr>
            <w:tcW w:w="2480" w:type="dxa"/>
            <w:vAlign w:val="bottom"/>
          </w:tcPr>
          <w:p>
            <w:pPr>
              <w:spacing w:after="0"/>
              <w:rPr>
                <w:sz w:val="24"/>
                <w:szCs w:val="24"/>
                <w:color w:val="auto"/>
              </w:rPr>
            </w:pPr>
          </w:p>
        </w:tc>
        <w:tc>
          <w:tcPr>
            <w:tcW w:w="800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63</w:t>
            </w:r>
          </w:p>
        </w:tc>
        <w:tc>
          <w:tcPr>
            <w:tcW w:w="54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312" w:name="page313"/>
    <w:bookmarkEnd w:id="3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w w:val="99"/>
              </w:rPr>
              <w:t>ARTICLE VII. MISCELLANEOUS</w:t>
            </w:r>
          </w:p>
        </w:tc>
        <w:tc>
          <w:tcPr>
            <w:tcW w:w="618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06"/>
        </w:trPr>
        <w:tc>
          <w:tcPr>
            <w:tcW w:w="26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SECTION 7.1 </w:t>
            </w: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Counterparts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26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SECTION 7.2 </w:t>
            </w: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Third-Party Beneficiaries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26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SECTION 7.3 </w:t>
            </w: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Severability</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26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SECTION 7.4 </w:t>
            </w: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Holders and Beneficial Owners as Parties; Binding Effect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26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SECTION 7.5 </w:t>
            </w: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Notices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26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SECTION 7.6 </w:t>
            </w: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Governing Law and Jurisdiction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26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SECTION 7.7 </w:t>
            </w: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Assignment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26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SECTION 7.8 </w:t>
            </w: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Agents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26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SECTION 7.9 </w:t>
            </w: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Affiliates etc.</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26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SECTION 7.10</w:t>
            </w: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Exclusivity</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26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SECTION 7.11</w:t>
            </w: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Compliance with U.S. Securities Laws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2"/>
        </w:trPr>
        <w:tc>
          <w:tcPr>
            <w:tcW w:w="26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SECTION 7.12</w:t>
            </w: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8"/>
        </w:trPr>
        <w:tc>
          <w:tcPr>
            <w:tcW w:w="2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A</w:t>
            </w:r>
          </w:p>
        </w:tc>
        <w:tc>
          <w:tcPr>
            <w:tcW w:w="618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2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B</w:t>
            </w:r>
          </w:p>
        </w:tc>
        <w:tc>
          <w:tcPr>
            <w:tcW w:w="618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65"/>
        </w:trPr>
        <w:tc>
          <w:tcPr>
            <w:tcW w:w="2640" w:type="dxa"/>
            <w:vAlign w:val="bottom"/>
          </w:tcPr>
          <w:p>
            <w:pPr>
              <w:spacing w:after="0"/>
              <w:rPr>
                <w:sz w:val="24"/>
                <w:szCs w:val="24"/>
                <w:color w:val="auto"/>
              </w:rPr>
            </w:pPr>
          </w:p>
        </w:tc>
        <w:tc>
          <w:tcPr>
            <w:tcW w:w="618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64</w:t>
            </w:r>
          </w:p>
        </w:tc>
        <w:tc>
          <w:tcPr>
            <w:tcW w:w="2200" w:type="dxa"/>
            <w:vAlign w:val="bottom"/>
          </w:tcPr>
          <w:p>
            <w:pPr>
              <w:spacing w:after="0"/>
              <w:rPr>
                <w:sz w:val="24"/>
                <w:szCs w:val="24"/>
                <w:color w:val="auto"/>
              </w:rPr>
            </w:pPr>
          </w:p>
        </w:tc>
      </w:tr>
    </w:tbl>
    <w:p>
      <w:pPr>
        <w:sectPr>
          <w:pgSz w:w="11900" w:h="16838" w:orient="portrait"/>
          <w:cols w:equalWidth="0" w:num="1">
            <w:col w:w="11020"/>
          </w:cols>
          <w:pgMar w:left="440" w:top="378" w:right="439" w:bottom="1440" w:gutter="0" w:footer="0" w:header="0"/>
        </w:sectPr>
      </w:pPr>
    </w:p>
    <w:bookmarkStart w:id="313" w:name="page314"/>
    <w:bookmarkEnd w:id="313"/>
    <w:p>
      <w:pPr>
        <w:jc w:val="right"/>
        <w:spacing w:after="0"/>
        <w:rPr>
          <w:sz w:val="20"/>
          <w:szCs w:val="20"/>
          <w:color w:val="auto"/>
        </w:rPr>
      </w:pPr>
      <w:r>
        <w:rPr>
          <w:rFonts w:ascii="Times New Roman" w:cs="Times New Roman" w:eastAsia="Times New Roman" w:hAnsi="Times New Roman"/>
          <w:sz w:val="18"/>
          <w:szCs w:val="18"/>
          <w:b w:val="1"/>
          <w:bCs w:val="1"/>
          <w:color w:val="auto"/>
        </w:rPr>
        <w:t>Exhibit 2.5</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Description of Rights of Each Class of Securities Registered under Section 12 of the</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Exchange Act of 1934 (the “Exchange Act”)</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As of December 31, 2024, WeRide Inc. (or “we,” “us,” “our company” and “our”) had the following series of securities registered pursuant to</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12(b) of the Securities Exchange Act of 1934, as amended:</w:t>
      </w:r>
    </w:p>
    <w:p>
      <w:pPr>
        <w:spacing w:after="0" w:line="21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vMerge w:val="continue"/>
          </w:tcPr>
          <w:p>
            <w:pPr>
              <w:spacing w:after="0"/>
              <w:rPr>
                <w:sz w:val="16"/>
                <w:szCs w:val="16"/>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American Depositary Shares, each</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WRD</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representing three Class A ordinary shares par</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value US$0.00001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 ordinary shares, par value</w:t>
            </w: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US$0.0000001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right="80" w:hanging="424"/>
        <w:spacing w:after="0" w:line="282" w:lineRule="auto"/>
        <w:tabs>
          <w:tab w:leader="none" w:pos="424"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for trading, but only in connection with the listing on The Nasdaq Global Select Market of our American depositary shares, each representing three Class A ordinary shares.</w:t>
      </w:r>
    </w:p>
    <w:p>
      <w:pPr>
        <w:spacing w:after="0" w:line="162" w:lineRule="exact"/>
        <w:rPr>
          <w:sz w:val="20"/>
          <w:szCs w:val="20"/>
          <w:color w:val="auto"/>
        </w:rPr>
      </w:pPr>
    </w:p>
    <w:p>
      <w:pPr>
        <w:ind w:left="4" w:right="500" w:firstLine="440"/>
        <w:spacing w:after="0" w:line="282" w:lineRule="auto"/>
        <w:rPr>
          <w:sz w:val="20"/>
          <w:szCs w:val="20"/>
          <w:color w:val="auto"/>
        </w:rPr>
      </w:pPr>
      <w:r>
        <w:rPr>
          <w:rFonts w:ascii="Times New Roman" w:cs="Times New Roman" w:eastAsia="Times New Roman" w:hAnsi="Times New Roman"/>
          <w:sz w:val="18"/>
          <w:szCs w:val="18"/>
          <w:color w:val="auto"/>
        </w:rPr>
        <w:t>This exhibit contains a description of the rights of (i) the holders of share(s) and (ii) ADS holder(s). Shares underlying the ADSs are held by Deutsche Bank Trust Company Americas, as depositary, and holders of ADSs will not be treated as holders of the shares.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 (Item 9.A.3 of Form 20-F)</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Our shareholders do not have preemptive rights.</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Type and Class of Securities (Item 9.A.5 of Form 20-F)</w:t>
      </w:r>
    </w:p>
    <w:p>
      <w:pPr>
        <w:spacing w:after="0" w:line="121"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Our ordinary shares are divided into Class A ordinary shares and Class B ordinary shares, each of par value US$0.00001 per share. The respective number of Class A ordinary shares and Class B ordinary shares issued and outstanding as of the last day of our company’s respective fiscal year is provided on the cover of the annual report on Form 20-F (the “</w:t>
      </w:r>
      <w:r>
        <w:rPr>
          <w:rFonts w:ascii="Times New Roman" w:cs="Times New Roman" w:eastAsia="Times New Roman" w:hAnsi="Times New Roman"/>
          <w:sz w:val="18"/>
          <w:szCs w:val="18"/>
          <w:b w:val="1"/>
          <w:bCs w:val="1"/>
          <w:color w:val="auto"/>
        </w:rPr>
        <w:t>Form 20-F</w:t>
      </w:r>
      <w:r>
        <w:rPr>
          <w:rFonts w:ascii="Times New Roman" w:cs="Times New Roman" w:eastAsia="Times New Roman" w:hAnsi="Times New Roman"/>
          <w:sz w:val="18"/>
          <w:szCs w:val="18"/>
          <w:color w:val="auto"/>
        </w:rPr>
        <w:t>”) of our company. Certificates representing the ordinary shares are issued in registered form. We will issue only non-negotiable shares, and will not issue bearer or negotiable shares.</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Limitations or Qualifications (Item 9.A.6 of Form 20-F)</w:t>
      </w:r>
    </w:p>
    <w:p>
      <w:pPr>
        <w:spacing w:after="0" w:line="121"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We keep and intend to maintain a dual-class voting structure. Holders of Class A ordinary shares are entitled to one vote per share, while holders of Class B ordinary shares are entitled to forty (40) votes per share.</w:t>
      </w:r>
    </w:p>
    <w:p>
      <w:pPr>
        <w:spacing w:after="0" w:line="162" w:lineRule="exact"/>
        <w:rPr>
          <w:sz w:val="20"/>
          <w:szCs w:val="20"/>
          <w:color w:val="auto"/>
        </w:rPr>
      </w:pPr>
    </w:p>
    <w:p>
      <w:pPr>
        <w:ind w:left="4" w:right="80" w:firstLine="440"/>
        <w:spacing w:after="0" w:line="255" w:lineRule="auto"/>
        <w:rPr>
          <w:sz w:val="20"/>
          <w:szCs w:val="20"/>
          <w:color w:val="auto"/>
        </w:rPr>
      </w:pPr>
      <w:r>
        <w:rPr>
          <w:rFonts w:ascii="Times New Roman" w:cs="Times New Roman" w:eastAsia="Times New Roman" w:hAnsi="Times New Roman"/>
          <w:sz w:val="18"/>
          <w:szCs w:val="18"/>
          <w:color w:val="auto"/>
        </w:rPr>
        <w:t>As a result of the dual-class share structure and the concentration of ownership, holders of Class B ordinary shares will have considerable influence over matters such as decisions regarding mergers, consolidations and the sale of all or substantially all of our assets, election of directors and other significant corporate actions. Such holders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sectPr>
          <w:pgSz w:w="11900" w:h="16838" w:orient="portrait"/>
          <w:cols w:equalWidth="0" w:num="1">
            <w:col w:w="11024"/>
          </w:cols>
          <w:pgMar w:left="436" w:top="117" w:right="439" w:bottom="1440" w:gutter="0" w:footer="0" w:header="0"/>
        </w:sectPr>
      </w:pPr>
    </w:p>
    <w:bookmarkStart w:id="314" w:name="page315"/>
    <w:bookmarkEnd w:id="314"/>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description of the differences between Class A ordinary shares and Class B ordinary shares is provided in “Part I—Item 10. Additional Information—B. Memorandum and Articles of Association—Ordinary Shares” of the Form 20-F.</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 Other Types of Securities (Item 9.A.7 of Form 20-F)</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 the Shares (Item 10.B.3 of Form 20-F)</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“Item 10. Additional Information—B. Memorandum and Articles of Association” of the Form 20-F.</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Amendments (Item 10.B.4 of Form 20-F)</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“Item 10. Additional Information—B. Memorandum and Articles of Association” of the Form 20-F.</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Rights to Own Shares (Item 10.B.6 of Form 20-F)</w:t>
      </w:r>
    </w:p>
    <w:p>
      <w:pPr>
        <w:spacing w:after="0" w:line="121"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There are no limitations imposed by the laws of the Cayman Islands or our memorandum and articles of association on the rights of non-resident or foreign shareholders to hold or exercise voting rights on its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Affecting Any Change of Control (Item 10.B.7 of Form 20-F)</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“Item 10. Additional Information—B. Memorandum and Articles of Association” of the Form 20-F.</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Ownership Threshold (Item 10.B.8 of Form 20-F)</w:t>
      </w:r>
    </w:p>
    <w:p>
      <w:pPr>
        <w:spacing w:after="0" w:line="121"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There are no provisions in our memorandum and articles of association that require our company to disclose shareholder ownership above any particular ownership threshold. However, our shareholders may be required to disclose shareholder ownership in accordance with applicable laws and regulations.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Differences Between the Law of Different Jurisdictions (Item 10.B.9 of Form 20-F)</w:t>
      </w:r>
    </w:p>
    <w:p>
      <w:pPr>
        <w:spacing w:after="0" w:line="121" w:lineRule="exact"/>
        <w:rPr>
          <w:sz w:val="20"/>
          <w:szCs w:val="20"/>
          <w:color w:val="auto"/>
        </w:rPr>
      </w:pPr>
    </w:p>
    <w:p>
      <w:pPr>
        <w:ind w:right="340" w:firstLine="440"/>
        <w:spacing w:after="0" w:line="258" w:lineRule="auto"/>
        <w:rPr>
          <w:sz w:val="20"/>
          <w:szCs w:val="20"/>
          <w:color w:val="auto"/>
        </w:rPr>
      </w:pPr>
      <w:r>
        <w:rPr>
          <w:rFonts w:ascii="Times New Roman" w:cs="Times New Roman" w:eastAsia="Times New Roman" w:hAnsi="Times New Roman"/>
          <w:sz w:val="18"/>
          <w:szCs w:val="18"/>
          <w:color w:val="auto"/>
        </w:rPr>
        <w:t>The Companies Act of the Cayman Islands is derived, to a large extent, from the older Companies Acts of England but does not follow recent English statutory enactments and, accordingly, there are significant differences between the Companies Act of the Cayman Islands and the current Companies Act of England. In addition, the Companies Act of the Cayman Islands differs from laws applicable to U.S. corporations and their shareholders. Set forth below is a summary of certain significant differences between the provisions of the Companies Act of the Cayman Islands applicable to us and the laws applicable to companies incorporated in the United States and their shareholders.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Mergers and Similar Arrangements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Companies Act permits mergers and consolidations between Cayman Islands companies and between Cayman Islands companies</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surviving or consolidated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315" w:name="page316"/>
    <w:bookmarkEnd w:id="315"/>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 of the votes at a general meeting of the subsidiary.</w:t>
      </w:r>
    </w:p>
    <w:p>
      <w:pPr>
        <w:spacing w:after="0" w:line="180"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that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83"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75% in value of the shareholders or class of shareholders, or (b) a majority in number representing 75% in value of the creditors or class of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93" w:lineRule="exact"/>
        <w:rPr>
          <w:sz w:val="20"/>
          <w:szCs w:val="20"/>
          <w:color w:val="auto"/>
        </w:rPr>
      </w:pPr>
    </w:p>
    <w:p>
      <w:pPr>
        <w:ind w:left="960" w:hanging="424"/>
        <w:spacing w:after="0"/>
        <w:tabs>
          <w:tab w:leader="none" w:pos="96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130"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225"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which may facilitate the “squeeze out” of dissentient minority shareholder(s)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83"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Shareholders’ Suits</w:t>
      </w:r>
    </w:p>
    <w:p>
      <w:pPr>
        <w:spacing w:after="0" w:line="119"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p>
      <w:pPr>
        <w:spacing w:after="0" w:line="89" w:lineRule="exact"/>
        <w:rPr>
          <w:sz w:val="20"/>
          <w:szCs w:val="20"/>
          <w:color w:val="auto"/>
        </w:rPr>
      </w:pPr>
    </w:p>
    <w:p>
      <w:pPr>
        <w:ind w:left="960" w:hanging="424"/>
        <w:spacing w:after="0"/>
        <w:tabs>
          <w:tab w:leader="none" w:pos="96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 (and is therefore incapable of ratification by the shareholder);</w:t>
      </w:r>
    </w:p>
    <w:p>
      <w:pPr>
        <w:spacing w:after="0" w:line="130"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of Directors and Executive Officers and Limitation of Liability</w:t>
      </w:r>
    </w:p>
    <w:p>
      <w:pPr>
        <w:spacing w:after="0" w:line="119"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provide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88"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memorandum and articles of association.</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Directors’ Fiduciary Duties</w:t>
      </w:r>
    </w:p>
    <w:p>
      <w:pPr>
        <w:spacing w:after="0" w:line="11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68" w:right="479" w:bottom="1440" w:gutter="0" w:footer="0" w:header="0"/>
        </w:sectPr>
      </w:pPr>
    </w:p>
    <w:bookmarkStart w:id="317" w:name="page318"/>
    <w:bookmarkEnd w:id="317"/>
    <w:p>
      <w:pPr>
        <w:ind w:right="16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third-party, and a duty to exercise powers for the purpose for which such powers were intended. A director of a Cayman Islands company owes to the company a duty to exercise the skill they actually possess and such care and diligence that a reasonably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Action by Written Consent</w:t>
      </w:r>
    </w:p>
    <w:p>
      <w:pPr>
        <w:spacing w:after="0" w:line="11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eliminate the right of shareholders to act by written consent by amendment to its certificate of incorporation. Cayman Islands law and our memorandum and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Proposals</w:t>
      </w:r>
    </w:p>
    <w:p>
      <w:pPr>
        <w:spacing w:after="0" w:line="119"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a shareholder has the right to put any proposal before the annual meeting of shareholders; provided that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76"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Companies Act does not provide shareholders with the right to requisition a general meeting, and does not provide shareholders with any right to put any proposal before a general meeting. However, these rights may be provided in a company’s articles of association. Our memorandum and articles of association allow any one or more of our shareholders who together hold shares which carry in aggregate not less than a majority of all votes attaching to all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memorandum and articles of association do not provide our shareholders with any other right to put proposals before annual general meetings or extraordinary general meetings. As a Cayman Islands exempted company, we are not obliged by law to call shareholders’ annual general meetings.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Cumulative Voting</w:t>
      </w:r>
    </w:p>
    <w:p>
      <w:pPr>
        <w:spacing w:after="0" w:line="119"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memorandum and articles of association do not provide for cumulative voting. As a result, our shareholders are not afforded any less protections or rights on this issue than shareholders of a Delaware corporation.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318" w:name="page319"/>
    <w:bookmarkEnd w:id="318"/>
    <w:p>
      <w:pPr>
        <w:ind w:left="4"/>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Removal of Directors</w:t>
      </w:r>
    </w:p>
    <w:p>
      <w:pPr>
        <w:spacing w:after="0" w:line="119" w:lineRule="exact"/>
        <w:rPr>
          <w:sz w:val="20"/>
          <w:szCs w:val="20"/>
          <w:color w:val="auto"/>
        </w:rPr>
      </w:pPr>
    </w:p>
    <w:p>
      <w:pPr>
        <w:ind w:left="4" w:right="240" w:firstLine="440"/>
        <w:spacing w:after="0" w:line="255" w:lineRule="auto"/>
        <w:rPr>
          <w:sz w:val="20"/>
          <w:szCs w:val="20"/>
          <w:color w:val="auto"/>
        </w:rPr>
      </w:pPr>
      <w:r>
        <w:rPr>
          <w:rFonts w:ascii="Times New Roman" w:cs="Times New Roman" w:eastAsia="Times New Roman" w:hAnsi="Times New Roman"/>
          <w:sz w:val="18"/>
          <w:szCs w:val="18"/>
          <w:color w:val="auto"/>
        </w:rPr>
        <w:t>Under the Delaware General Corporation Law, a director of a corporation with a classified board may be removed only for cause with the approval of a majority of the issued and outstanding shares entitled to vote, unless the certificate of incorporation provides otherwise. Under our memorandum and articles of association, directors may be removed with or without cause, by an ordinary resolution of our shareholders (other than a Founder Entity Appointed Director as defined in the memorandum and articles of association). A director will also cease to be a director if he</w:t>
      </w:r>
    </w:p>
    <w:p>
      <w:pPr>
        <w:spacing w:after="0" w:line="3" w:lineRule="exact"/>
        <w:rPr>
          <w:sz w:val="20"/>
          <w:szCs w:val="20"/>
          <w:color w:val="auto"/>
        </w:rPr>
      </w:pPr>
    </w:p>
    <w:p>
      <w:pPr>
        <w:ind w:left="224" w:hanging="224"/>
        <w:spacing w:after="0"/>
        <w:tabs>
          <w:tab w:leader="none" w:pos="224"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prohibited by applicable law from being a director; (ii) becomes bankrupt or makes any arrangement or composition with his creditors;</w:t>
      </w:r>
    </w:p>
    <w:p>
      <w:pPr>
        <w:spacing w:after="0" w:line="9" w:lineRule="exact"/>
        <w:rPr>
          <w:rFonts w:ascii="Times New Roman" w:cs="Times New Roman" w:eastAsia="Times New Roman" w:hAnsi="Times New Roman"/>
          <w:sz w:val="18"/>
          <w:szCs w:val="18"/>
          <w:color w:val="auto"/>
        </w:rPr>
      </w:pPr>
    </w:p>
    <w:p>
      <w:pPr>
        <w:ind w:left="4" w:right="100" w:hanging="4"/>
        <w:spacing w:after="0" w:line="255" w:lineRule="auto"/>
        <w:tabs>
          <w:tab w:leader="none" w:pos="319"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dies or is found to be or becomes of unsound mind; (iv) resigns his office by notice in writing; (v) without special leave of absence from our board, is absent from meetings of our board for three consecutive meetings and our board resolves that his office be vacated; or (vi) is removed from office pursuant to any other provision of our articles of association.</w:t>
      </w:r>
    </w:p>
    <w:p>
      <w:pPr>
        <w:spacing w:after="0" w:line="2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Transactions with Interested Shareholders</w:t>
      </w:r>
    </w:p>
    <w:p>
      <w:pPr>
        <w:spacing w:after="0" w:line="119"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92"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2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Dissolution; Winding up</w:t>
      </w:r>
    </w:p>
    <w:p>
      <w:pPr>
        <w:spacing w:after="0" w:line="119"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either an order of the courts of the Cayman Islands or by the board of directors.</w:t>
      </w:r>
    </w:p>
    <w:p>
      <w:pPr>
        <w:spacing w:after="0" w:line="183"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2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119"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A company may present a petition to the Grand Court of the Cayman Islands for the appointment of a restructuring officer on the grounds that the company:</w:t>
      </w:r>
    </w:p>
    <w:p>
      <w:pPr>
        <w:spacing w:after="0" w:line="67" w:lineRule="exact"/>
        <w:rPr>
          <w:sz w:val="20"/>
          <w:szCs w:val="20"/>
          <w:color w:val="auto"/>
        </w:rPr>
      </w:pPr>
    </w:p>
    <w:p>
      <w:pPr>
        <w:ind w:left="964" w:hanging="532"/>
        <w:spacing w:after="0"/>
        <w:tabs>
          <w:tab w:leader="none" w:pos="964"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is likely to become unable to pay its debts; and</w:t>
      </w:r>
    </w:p>
    <w:p>
      <w:pPr>
        <w:spacing w:after="0" w:line="130" w:lineRule="exact"/>
        <w:rPr>
          <w:rFonts w:ascii="Times New Roman" w:cs="Times New Roman" w:eastAsia="Times New Roman" w:hAnsi="Times New Roman"/>
          <w:sz w:val="18"/>
          <w:szCs w:val="18"/>
          <w:color w:val="auto"/>
        </w:rPr>
      </w:pPr>
    </w:p>
    <w:p>
      <w:pPr>
        <w:ind w:left="964" w:right="420" w:hanging="532"/>
        <w:spacing w:after="0" w:line="282" w:lineRule="auto"/>
        <w:tabs>
          <w:tab w:leader="none" w:pos="964"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intends to present a compromise or arrangement to its creditors (or classes thereof) either pursuant to the Companies Act, the law of a foreign country or by way of a consensual restructuring.</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68" w:right="459" w:bottom="1440" w:gutter="0" w:footer="0" w:header="0"/>
        </w:sectPr>
      </w:pPr>
    </w:p>
    <w:bookmarkStart w:id="319" w:name="page320"/>
    <w:bookmarkEnd w:id="319"/>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Variation of Rights of Shares</w:t>
      </w:r>
    </w:p>
    <w:p>
      <w:pPr>
        <w:spacing w:after="0" w:line="11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Under the Delaware General Corporation Law, a corporation may vary the rights of a class of shares with the approval of a majority of the outstanding shares of such class, unless the certificate of incorporation provides otherwise. Under our memorandum and articles of association, if at any time our share capital is divided into different classes or series of shares, the rights attached to any class or series of shares (unless otherwise provided by the terms of issue of the shares of that class or series), whether or not our company is being wound-up, may be varied with the consent in writing of the holders of at least two-thirds of the issued shares of that class or series or with the sanction of a resolution passed by a majority of the votes cast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or subsequent to such existing class of shares, or the redemption or purchase of any shares of any class by our company. The rights of the holders of shares shall not be deemed to be varied by the creation or issue of shares with preferred or other rights including, without limitation, the creation of shares with enhanced or weighted voting rights.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of Governing Documents</w:t>
      </w:r>
    </w:p>
    <w:p>
      <w:pPr>
        <w:spacing w:after="0" w:line="119" w:lineRule="exact"/>
        <w:rPr>
          <w:sz w:val="20"/>
          <w:szCs w:val="20"/>
          <w:color w:val="auto"/>
        </w:rPr>
      </w:pPr>
    </w:p>
    <w:p>
      <w:pPr>
        <w:jc w:val="both"/>
        <w:ind w:right="480" w:firstLine="440"/>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a corporation’s governing documents may be amended with the approval of a majority of the outstanding shares entitled to vote, unless the certificate of incorporation provides otherwise. Under the Companies Act and our memorandum and articles of association, our memorandum and articles of association may only be amended by a special resolution of our shareholders.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of Non-resident or Foreign Shareholders</w:t>
      </w:r>
    </w:p>
    <w:p>
      <w:pPr>
        <w:spacing w:after="0" w:line="119"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There are no limitations imposed by our memorandum and articles of association on the rights of nonresident or foreign shareholders to hold or exercise voting rights on our shares. In addition, there are no provisions in our memorandum and articles of association governing the ownership threshold above which shareholder ownership must be disclosed.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Capital (Item 10.B.10 of Form 20-F)</w:t>
      </w:r>
    </w:p>
    <w:p>
      <w:pPr>
        <w:spacing w:after="0" w:line="121"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Our shareholders may from time to time by ordinary resolution increase the share capital by such sum, to be divided into shares of such classes and amount, as the resolution shall prescribe.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shareholders may by special resolution:</w:t>
      </w:r>
    </w:p>
    <w:p>
      <w:pPr>
        <w:spacing w:after="0" w:line="131" w:lineRule="exact"/>
        <w:rPr>
          <w:sz w:val="20"/>
          <w:szCs w:val="20"/>
          <w:color w:val="auto"/>
        </w:rPr>
      </w:pPr>
    </w:p>
    <w:p>
      <w:pPr>
        <w:ind w:left="960" w:hanging="424"/>
        <w:spacing w:after="0"/>
        <w:tabs>
          <w:tab w:leader="none" w:pos="96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share capital by new shares of such amount as we thinks expedient;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our share capital into shares of a larger amount than our existing shares;</w:t>
      </w:r>
    </w:p>
    <w:p>
      <w:pPr>
        <w:spacing w:after="0" w:line="130" w:lineRule="exact"/>
        <w:rPr>
          <w:rFonts w:ascii="Times New Roman" w:cs="Times New Roman" w:eastAsia="Times New Roman" w:hAnsi="Times New Roman"/>
          <w:sz w:val="18"/>
          <w:szCs w:val="18"/>
          <w:color w:val="auto"/>
        </w:rPr>
      </w:pPr>
    </w:p>
    <w:p>
      <w:pPr>
        <w:ind w:left="960" w:right="160" w:hanging="424"/>
        <w:spacing w:after="0" w:line="266" w:lineRule="auto"/>
        <w:tabs>
          <w:tab w:leader="none" w:pos="96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our shares, or any of them, into shares of a smaller amount than that fixed by our third amended and restated memorandum and articles of association, provided that in the subdivision the proportion between the amount paid and the amount, if any, unpaid on each reduced share shall be the same as it was in case of the share from which the reduced share is derived;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320" w:name="page321"/>
    <w:bookmarkEnd w:id="320"/>
    <w:p>
      <w:pPr>
        <w:ind w:left="960" w:right="220" w:hanging="424"/>
        <w:spacing w:after="0" w:line="282" w:lineRule="auto"/>
        <w:tabs>
          <w:tab w:leader="none" w:pos="96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cancel any shares that, at the date of the passing of the resolution, have not been taken or agreed to be taken by any person and diminish the amount of our share capital by the amount of the shares so cancelled.</w:t>
      </w:r>
    </w:p>
    <w:p>
      <w:pPr>
        <w:spacing w:after="0" w:line="162" w:lineRule="exact"/>
        <w:rPr>
          <w:sz w:val="20"/>
          <w:szCs w:val="20"/>
          <w:color w:val="auto"/>
        </w:rPr>
      </w:pPr>
    </w:p>
    <w:p>
      <w:pPr>
        <w:ind w:right="740" w:firstLine="440"/>
        <w:spacing w:after="0" w:line="282" w:lineRule="auto"/>
        <w:rPr>
          <w:sz w:val="20"/>
          <w:szCs w:val="20"/>
          <w:color w:val="auto"/>
        </w:rPr>
      </w:pPr>
      <w:r>
        <w:rPr>
          <w:rFonts w:ascii="Times New Roman" w:cs="Times New Roman" w:eastAsia="Times New Roman" w:hAnsi="Times New Roman"/>
          <w:sz w:val="18"/>
          <w:szCs w:val="18"/>
          <w:color w:val="auto"/>
        </w:rPr>
        <w:t>Our shareholders may by special resolution reduce our share capital and any capital redemption reserve in any manner authorized by the Companies Act.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Securities (Item 12.A of Form 20-F)</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and Rights (Item 12.B of Form 20-F)</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Securities (Item 12.C of Form 20-F)</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American Depositary Shares (Items 12.D.1 and 12.D.2 of Form 20-F)</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Deutsche Bank Trust Company Americas, as depositary, registers and delivers the ADSs. Each ADS represents ownership of three Class A ordinary shares, deposited with Deutsche Bank AG, Hong Kong Branch, as custodian for the depositary. Each ADS will also represent ownership of any other securities, cash or other property which may be held by the depositary. The depositary’s corporate trust office at which the ADSs are administered is located at 1 Columbus Circle, New York, NY 10019, USA. The principal executive office of the depositary is located at 1 Columbus Circle, New York, NY 10019, USA.</w:t>
      </w:r>
    </w:p>
    <w:p>
      <w:pPr>
        <w:spacing w:after="0" w:line="183"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The Direct Registration System, or DRS, is a system administered by The Depository Trust Company, or DTC, pursuant to which the depositary may register the ownership of uncertificated ADSs, which ownership shall be evidenced by periodic statements issued by the depositary to the ADS holders entitled thereto.</w:t>
      </w:r>
    </w:p>
    <w:p>
      <w:pPr>
        <w:spacing w:after="0" w:line="176"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We do not treat ADS holders as our shareholders and accordingly, you, as an ADS holder, do not have shareholder rights. Cayman Islands law governs shareholder rights. The depositary is the holder of the Class A ordinary shares underlying your ADSs. As a holder of ADSs, you have ADS holder rights. A deposit agreement among us, the depositary and you, as an ADS holder, and the beneficial owners of ADSs sets out ADS holder rights as well as the rights and obligations of the depositary. The laws of the State of New York govern the deposit agreement and the ADSs.</w:t>
      </w:r>
    </w:p>
    <w:p>
      <w:pPr>
        <w:spacing w:after="0" w:line="180"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material provisions of the deposit agreement. For more complete information, you should read the entire deposit agreement and the form of American Depositary Receipt.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the ADSs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 you hold your ADSs?</w:t>
      </w:r>
    </w:p>
    <w:p>
      <w:pPr>
        <w:spacing w:after="0" w:line="121"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You may hold ADSs either (1) directly (a) by having an American Depositary Receipt, or ADR, which is a certificate evidencing a specific number of ADSs, registered in your name, or (b) by holding ADSs in DRS, or (2) indirectly through your broker or other financial institution. If you hold ADSs directly, you are an ADS holder. This description assumes you hold your ADSs directly. ADSs are issued through DRS, unless you specifically request certificated ADRs.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Dividends and Other Distributions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will you receive dividends and other distributions on the shares?</w:t>
      </w:r>
    </w:p>
    <w:p>
      <w:pPr>
        <w:spacing w:after="0" w:line="121"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The depositary has agreed to pay to you the cash dividends or other distributions it or the custodian receives on Class A ordinary shares or other deposited securities, after deducting its fees and expenses. You will receive these distributions in proportion to the number of Class A ordinary shares your ADSs represent as of the record date (which will be as close as practicable to the record date for our Class A ordinary shares) set by the depositary with respect to the ADSs.</w:t>
      </w:r>
    </w:p>
    <w:p>
      <w:pPr>
        <w:spacing w:after="0" w:line="81" w:lineRule="exact"/>
        <w:rPr>
          <w:sz w:val="20"/>
          <w:szCs w:val="20"/>
          <w:color w:val="auto"/>
        </w:rPr>
      </w:pPr>
    </w:p>
    <w:p>
      <w:pPr>
        <w:ind w:left="960" w:right="200" w:hanging="424"/>
        <w:spacing w:after="0" w:line="254" w:lineRule="auto"/>
        <w:tabs>
          <w:tab w:leader="none" w:pos="96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Cash. </w:t>
      </w:r>
      <w:r>
        <w:rPr>
          <w:rFonts w:ascii="Times New Roman" w:cs="Times New Roman" w:eastAsia="Times New Roman" w:hAnsi="Times New Roman"/>
          <w:sz w:val="18"/>
          <w:szCs w:val="18"/>
          <w:color w:val="auto"/>
        </w:rPr>
        <w:t>The depositary will convert or cause to be converted any cash dividend or other cash distribution we pay on the Class A ordinary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or any net proceeds from the sale of any Class A ordinary shares, rights, securities or other entitlements under the terms of the deposit agreement into U.S. dollars if it can do so on a practicable basis and can transfer the U.S. dollars to the United States, and will distribute promptly the amount thus received. If the depositary shall determine in its judgment that such conversions or transfers are not practical or lawful or if any government approval or license is needed and cannot be obtained at a reasonable cost within a reasonable period or otherwise sought, the deposit agreement allows the depositary to distribute the foreign currency only to those ADS holders to whom it is possible to do so. It will hold or cause the custodian to hold the foreign currency it cannot convert for the account of the ADS holders who have not been paid and such funds will be held for the respective accounts of the ADS holders. It will not invest the foreign currency and it will not be liable for any interest for the respective accounts of the ADS holders.</w:t>
      </w:r>
    </w:p>
    <w:p>
      <w:pPr>
        <w:spacing w:after="0" w:line="84" w:lineRule="exact"/>
        <w:rPr>
          <w:rFonts w:ascii="Times New Roman" w:cs="Times New Roman" w:eastAsia="Times New Roman" w:hAnsi="Times New Roman"/>
          <w:sz w:val="18"/>
          <w:szCs w:val="18"/>
          <w:color w:val="auto"/>
        </w:rPr>
      </w:pPr>
    </w:p>
    <w:p>
      <w:pPr>
        <w:ind w:left="980" w:right="1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Before making a distribution, any taxes or other governmental charges, together with fees and expenses of the depositary, that must be paid, will be deducted. </w:t>
      </w:r>
      <w:r>
        <w:rPr>
          <w:rFonts w:ascii="Times New Roman" w:cs="Times New Roman" w:eastAsia="Times New Roman" w:hAnsi="Times New Roman"/>
          <w:sz w:val="18"/>
          <w:szCs w:val="18"/>
          <w:i w:val="1"/>
          <w:iCs w:val="1"/>
          <w:color w:val="auto"/>
        </w:rPr>
        <w:t>It will distribute only whole U.S. dollars and cents and will round down fractional cents to the nearest whole cent.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If the exchange rates fluctuate during a time when the depositary cannot convert the foreign currency, you may lose some or all of the value of the distribution.</w:t>
      </w:r>
    </w:p>
    <w:p>
      <w:pPr>
        <w:spacing w:after="0" w:line="81" w:lineRule="exact"/>
        <w:rPr>
          <w:rFonts w:ascii="Times New Roman" w:cs="Times New Roman" w:eastAsia="Times New Roman" w:hAnsi="Times New Roman"/>
          <w:sz w:val="18"/>
          <w:szCs w:val="18"/>
          <w:color w:val="auto"/>
        </w:rPr>
      </w:pPr>
    </w:p>
    <w:p>
      <w:pPr>
        <w:ind w:left="960" w:hanging="424"/>
        <w:spacing w:after="0" w:line="256" w:lineRule="auto"/>
        <w:tabs>
          <w:tab w:leader="none" w:pos="96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any Class A ordinary shares we distribute as a dividend or free distribution, either (1) the depositary will distribute additional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ADSs representing such Class A ordinary shares or (2) existing ADSs as of the applicable record date will represent rights and interests in the additional Class A ordinary shares distributed, to the extent reasonably practicable and permissible under law, in either case, net of applicable fees, charges and expenses incurred by the depositary and taxes and/or other governmental charges. The depositary will only distribute whole ADSs. It will try to sell Class A ordinary shares which would require it to deliver a fractional ADS and distribute the net proceeds in the same way as it does with cash. The depositary may sell a portion of the distributed Class A ordinary shares sufficient to pay its fees and expenses, and any taxes and governmental charges, in connection with that distribution.</w:t>
      </w:r>
    </w:p>
    <w:p>
      <w:pPr>
        <w:spacing w:after="0" w:line="88" w:lineRule="exact"/>
        <w:rPr>
          <w:rFonts w:ascii="Times New Roman" w:cs="Times New Roman" w:eastAsia="Times New Roman" w:hAnsi="Times New Roman"/>
          <w:sz w:val="18"/>
          <w:szCs w:val="18"/>
          <w:color w:val="auto"/>
        </w:rPr>
      </w:pPr>
    </w:p>
    <w:p>
      <w:pPr>
        <w:ind w:left="960" w:right="20" w:hanging="424"/>
        <w:spacing w:after="0" w:line="254" w:lineRule="auto"/>
        <w:tabs>
          <w:tab w:leader="none" w:pos="96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Elective Distributions in Cash or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we offer holders of our Class A ordinary shares the option to receive dividends in either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shares, the depositary, after consultation with us and having received timely notice as described in the deposit agreement of such elective distribution by us, has discretion to determine to what extent such elective distribution will be made available to you as a holder of the ADSs. We must timely first instruct the depositary to make such elective distribution available to you and furnish it with satisfactory evidence that it is legal to do so. The depositary could decide it is not legal or reasonably practicable to make such elective distribution available to you. In such case, the depositary shall, on the basis of the same determination as is made in respect of the Class A ordinary shares for which no election is made, distribute either cash in the same way as it does in a cash distribution, or additional ADSs representing Class A ordinary shares in the same way as it does in a share distribution. The depositary is not obligated to make available to you a method to receive the elective dividend in shares rather than in ADSs. There can be no assurance that you will be given the opportunity to receive elective distributions on the same terms and conditions as the holders of Class A ordinary shares.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322" w:name="page323"/>
    <w:bookmarkEnd w:id="322"/>
    <w:p>
      <w:pPr>
        <w:ind w:left="960" w:right="80" w:hanging="424"/>
        <w:spacing w:after="0" w:line="255" w:lineRule="auto"/>
        <w:tabs>
          <w:tab w:leader="none" w:pos="96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Rights to Purchase Additional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we offer holders of our Class A ordinary shares any rights to subscribe for additional shares,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depositary shall, having received timely notice as described in the deposit agreement of such distribution by us, consult with us, and we must determine whether it is lawful and reasonably practicable to make these rights available to you. We must first instruct the depositary to make such rights available to you and furnish the depositary with satisfactory evidence that it is legal to do so. If the depositary decides it is not legal or reasonably practicable to make the rights available but that it is lawful and reasonably practicable to sell the rights, the depositary will endeavor to sell the rights and in a riskless principal capacity or otherwise, at such place and upon such terms (including public or private sale) as it may deem proper, distribute the net proceeds in the same way as it does with cash. The depositary will allow rights that are not distributed or sold to lapse. In that case, you will receive no value for them.</w:t>
      </w:r>
    </w:p>
    <w:p>
      <w:pPr>
        <w:spacing w:after="0" w:line="80" w:lineRule="exact"/>
        <w:rPr>
          <w:rFonts w:ascii="Times New Roman" w:cs="Times New Roman" w:eastAsia="Times New Roman" w:hAnsi="Times New Roman"/>
          <w:sz w:val="18"/>
          <w:szCs w:val="18"/>
          <w:color w:val="auto"/>
        </w:rPr>
      </w:pPr>
    </w:p>
    <w:p>
      <w:pPr>
        <w:ind w:left="980" w:right="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makes rights available to you, it will establish procedures to distribute such rights and enable you to exercise the rights upon your payment of applicable fees, charges and expenses incurred by the depositary and taxes and/or other governmental charges. The Depositary shall not be obliged to make available to you a method to exercise such rights to subscribe for Class A ordinary shares (rather than ADSs).</w:t>
      </w:r>
    </w:p>
    <w:p>
      <w:pPr>
        <w:spacing w:after="0" w:line="71" w:lineRule="exact"/>
        <w:rPr>
          <w:rFonts w:ascii="Times New Roman" w:cs="Times New Roman" w:eastAsia="Times New Roman" w:hAnsi="Times New Roman"/>
          <w:sz w:val="18"/>
          <w:szCs w:val="18"/>
          <w:color w:val="auto"/>
        </w:rPr>
      </w:pPr>
    </w:p>
    <w:p>
      <w:pPr>
        <w:ind w:left="9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securities laws may restrict transfers and cancellation of the ADSs represented by Class A ordinary shares purchased upon exercise of rights. For example, you may not be able to trade these ADSs freely in the United States. In this case, the depositary may deliver restricted depositary shares that have the same terms as the ADSs described in this section except for changes needed to put the necessary restrictions in place.</w:t>
      </w:r>
    </w:p>
    <w:p>
      <w:pPr>
        <w:spacing w:after="0" w:line="71" w:lineRule="exact"/>
        <w:rPr>
          <w:rFonts w:ascii="Times New Roman" w:cs="Times New Roman" w:eastAsia="Times New Roman" w:hAnsi="Times New Roman"/>
          <w:sz w:val="18"/>
          <w:szCs w:val="18"/>
          <w:color w:val="auto"/>
        </w:rPr>
      </w:pPr>
    </w:p>
    <w:p>
      <w:pPr>
        <w:ind w:left="980" w:right="3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you will be given the opportunity to exercise rights on the same terms and conditions as the holders of Class A ordinary shares or be able to exercise such rights.</w:t>
      </w:r>
    </w:p>
    <w:p>
      <w:pPr>
        <w:spacing w:after="0" w:line="63" w:lineRule="exact"/>
        <w:rPr>
          <w:rFonts w:ascii="Times New Roman" w:cs="Times New Roman" w:eastAsia="Times New Roman" w:hAnsi="Times New Roman"/>
          <w:sz w:val="18"/>
          <w:szCs w:val="18"/>
          <w:color w:val="auto"/>
        </w:rPr>
      </w:pPr>
    </w:p>
    <w:p>
      <w:pPr>
        <w:ind w:left="960" w:right="40" w:hanging="424"/>
        <w:spacing w:after="0" w:line="255" w:lineRule="auto"/>
        <w:tabs>
          <w:tab w:leader="none" w:pos="96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Distributions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receipt of timely notice, as described in the deposit agreement, from us with the request to make any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available to you, and provided the depositary has determined such distribution is lawful and reasonably practicable and feasible and in accordance with the terms of the deposit agreement, the depositary will distribute to you anything else we distribute on deposited securities by any means it may deem practicable, upon your payment of applicable fees, charges and expenses incurred by the depositary and taxes and/or other governmental charges. If any of the conditions above are not met, the depositary will endeavor to sell, or cause to be sold, what we distributed and distribute the net proceeds in the same way as it does with cash; or, if it is unable to sell such property, the depositary may dispose of such property in any way it deems reasonably practicable under the circumstances for nominal or no consideration, such that you may have no rights to or arising from such property.</w:t>
      </w:r>
    </w:p>
    <w:p>
      <w:pPr>
        <w:spacing w:after="0" w:line="189"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on our shares or any value for them if we and/or the depositary determines that it is illegal or not practicable for us or the depositary to make them available to you.</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 Withdrawal and Cancellation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are ADSs issued?</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depositary will deliver ADSs if you or your broker deposit Class A ordinary shares or evidence of rights to receive Class A ordinary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entitled thereto.</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66" w:right="47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How do ADS holders cancel an American Depositary Share?</w:t>
      </w:r>
    </w:p>
    <w:p>
      <w:pPr>
        <w:spacing w:after="0" w:line="12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You may turn in your ADSs at the depositary’s corporate trust office or by providing appropriate instructions to your broker. Upon payment of its fees and expenses and of any taxes or charges, such as stamp taxes or stock transfer taxes or fees, the depositary will deliver the Class A ordinary shares and any other deposited securities underlying the ADSs to you or a person you designate at the office of the custodian. Or, at your request, risk and expense, the depositary will deliver the deposited securities at its corporate trust office, to the extent permitted by law.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 ADS holders interchange between Certificated ADSs and Uncertificated ADSs?</w:t>
      </w:r>
    </w:p>
    <w:p>
      <w:pPr>
        <w:spacing w:after="0" w:line="121" w:lineRule="exact"/>
        <w:rPr>
          <w:sz w:val="20"/>
          <w:szCs w:val="20"/>
          <w:color w:val="auto"/>
        </w:rPr>
      </w:pPr>
    </w:p>
    <w:p>
      <w:pPr>
        <w:jc w:val="both"/>
        <w:ind w:right="80" w:firstLine="440"/>
        <w:spacing w:after="0" w:line="261" w:lineRule="auto"/>
        <w:rPr>
          <w:sz w:val="20"/>
          <w:szCs w:val="20"/>
          <w:color w:val="auto"/>
        </w:rPr>
      </w:pPr>
      <w:r>
        <w:rPr>
          <w:rFonts w:ascii="Times New Roman" w:cs="Times New Roman" w:eastAsia="Times New Roman" w:hAnsi="Times New Roman"/>
          <w:sz w:val="18"/>
          <w:szCs w:val="18"/>
          <w:color w:val="auto"/>
        </w:rPr>
        <w:t>You may surrender your ADR to the depositary for the purpose of exchanging your ADR for uncertificated ADSs. The depositary will cancel that ADR and will send you a statement confirming that you are the owner of uncertificated ADSs. Alternatively, upon receipt by the depositary of a proper instruction from a holder of uncertificated ADSs requesting the exchange of uncertificated ADSs for certificated ADSs, the depositary will execute and deliver to you an ADR evidencing those ADSs.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 you vote?</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You may instruct the depositary to vote the Class A ordinary shares or other deposited securities underlying your ADSs at any meeting at which you are entitled to vote pursuant to any applicable law, the provisions of our memorandum and articles of association, and the provisions of or governing the deposited securities. </w:t>
      </w:r>
      <w:r>
        <w:rPr>
          <w:rFonts w:ascii="Times New Roman" w:cs="Times New Roman" w:eastAsia="Times New Roman" w:hAnsi="Times New Roman"/>
          <w:sz w:val="18"/>
          <w:szCs w:val="18"/>
          <w:i w:val="1"/>
          <w:iCs w:val="1"/>
          <w:color w:val="auto"/>
        </w:rPr>
        <w:t>Otherwise, you could exercise your right to vote directly if you withdraw the Class A ordinary shares. However, you may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know about the meeting sufficiently enough in advance to withdraw the Class A ordinary shares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If we ask for your instructions and upon timely notice from us by regular, ordinary mail delivery, or by electronic transmission, as described in the deposit agreement, the depositary will notify you of the upcoming meeting at which you are entitled to vote pursuant to any applicable law, the provisions of our memorandum and articles of association, and the provisions of or governing the deposited securities, and arrange to deliver our voting materials to you. The materials will include or reproduce (a) such notice of meeting or solicitation of consents or proxies; (b) a statement that the ADS holders at the close of business on the ADS record date will be entitled, subject to any applicable law, the provisions of our memorandum and articles of association, and the provisions of or governing the deposited securities, to instruct the depositary as to the exercise of the voting rights, if any, pertaining to the Class A ordinary shares or other deposited securities represented by such holder’s ADSs; and (c) a brief statement as to the manner in which such instructions may be given to the depositary or deemed given in accordance with the second to last sentence of this paragraph if no instruction is received by the depositary to give a discretionary proxy to a person designated by us. Voting instructions may be given only in respect of a number of ADSs representing an integral number of Class A ordinary shares or other deposited securities. For instructions to be valid, the depositary must receive them in writing on or before the date specified. The depositary will try, as far as practical, subject to applicable law and the provisions of our memorandum and articles of association, to vote or to have its agents vote the Class A ordinary shares or other deposited securities (in person or by proxy) as you instruct. The depositary will only vote or attempt to vote as you instruct.</w:t>
      </w:r>
    </w:p>
    <w:p>
      <w:pPr>
        <w:spacing w:after="0" w:line="18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We cannot assure you that you will receive the voting materials in time to ensure that you can instruct the depositary to vote the Class A ordinary shares underlying your ADSs. In addition, there can be no assurance that ADS holders and beneficial owners generally, or any holder or beneficial owner in particular, will be given the opportunity to vote or cause the custodian to vote on the same terms and conditions as the holders of our Class A ordinary shares. If we timely requested the depositary to solicit your instructions but no instructions are received by the depositary from an owner with respect to any of the deposited securities represented by the ADSs of that owner on or before the date established by the depositary for such purpose, the depositary shall deem that owner to have instructed the depositary to give a discretionary proxy to a person designated by us with respect to such deposited securities, and the depositary shall give a discretionary proxy to a person designated by us to vote such deposited securities. However, no such instruction shall be deemed given and no such discretionary proxy shall be given with respect to any matter if we inform the depositary we do not wish such proxy given, substantial opposition exists or the matter materially and adversely affects the rights of holders of the Class A ordinary shares.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6" w:right="459" w:bottom="1440" w:gutter="0" w:footer="0" w:header="0"/>
        </w:sectPr>
      </w:pPr>
    </w:p>
    <w:bookmarkStart w:id="324" w:name="page325"/>
    <w:bookmarkEnd w:id="32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depositary and its agents are not responsible for failing to carry out voting instructions or for the manner of carrying out voting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instructions. </w:t>
      </w:r>
      <w:r>
        <w:rPr>
          <w:rFonts w:ascii="Times New Roman" w:cs="Times New Roman" w:eastAsia="Times New Roman" w:hAnsi="Times New Roman"/>
          <w:sz w:val="18"/>
          <w:szCs w:val="18"/>
          <w:i w:val="1"/>
          <w:iCs w:val="1"/>
          <w:color w:val="auto"/>
        </w:rPr>
        <w:t>This means that you may not be able to exercise your right to vote and you may have no recourse if the Class A ordinary shares underlying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your ADSs are not voted as you requested.</w:t>
      </w:r>
    </w:p>
    <w:p>
      <w:pPr>
        <w:spacing w:after="0" w:line="207"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In order to give you a reasonable opportunity to instruct the depositary as to the exercise of voting rights relating to deposited securities, if we request the depositary to act, we will give the depositary notice of any such meeting and details concerning the matters to be voted at least 30 business days in advance of the meeting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Regulations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Requests</w:t>
      </w:r>
    </w:p>
    <w:p>
      <w:pPr>
        <w:spacing w:after="0" w:line="12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Each ADS holder and beneficial owner shall (a) provide such information as we or the depositary may request pursuant to law, including, without limitation, relevant Cayman Islands law, any applicable law of the United States of America, our memorandum and articles of association, any resolutions of our Board of Directors adopted pursuant to such memorandum and articles of association, the requirements of any markets or exchanges upon which the Class A ordinary shares, ADSs or ADRs are listed or traded, or to any requirements of any electronic book-entry system by which the ADSs or ADRs may be transferred, regarding the capacity in which they own or owned ADRs, the identity of any other persons then or previously interested in such ADRs and the nature of such interest, and any other applicable matters, and (b) be bound by and subject to applicable provisions of the laws of the Cayman Islands, our memorandum and articles of association, and the requirements of any markets or exchanges upon which the ADSs, ADRs or Class A ordinary shares are listed or traded, or pursuant to any requirements of any electronic book-entry system by which the ADSs, ADRs or Class A ordinary shares may be transferred, to the same extent as if such ADS holder or beneficial owner held Class A ordinary shares directly, in each case irrespective of whether or not they are ADS holders or beneficial owners at the time such request is made.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Interests</w:t>
      </w:r>
    </w:p>
    <w:p>
      <w:pPr>
        <w:spacing w:after="0" w:line="121"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Each ADS holder and beneficial owner shall comply with our requests pursuant to Cayman Islands law, the rules and requirements of the Nasdaq and any other stock exchange on which the Class A ordinary shares are, or will be, registered, traded or listed or our memorandum and articles of association, which requests are made to provide information, inter alia, as to the capacity in which such ADS holder or beneficial owner owns ADS and regarding the identity of any other person interested in such ADS and the nature of such interest and various other matters, whether or not they are ADS holders or beneficial owners at the time of such requests.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21" w:lineRule="exact"/>
        <w:rPr>
          <w:sz w:val="20"/>
          <w:szCs w:val="20"/>
          <w:color w:val="auto"/>
        </w:rPr>
      </w:pPr>
    </w:p>
    <w:p>
      <w:pPr>
        <w:ind w:right="160" w:firstLine="440"/>
        <w:spacing w:after="0" w:line="312" w:lineRule="auto"/>
        <w:rPr>
          <w:sz w:val="20"/>
          <w:szCs w:val="20"/>
          <w:color w:val="auto"/>
        </w:rPr>
      </w:pPr>
      <w:r>
        <w:rPr>
          <w:rFonts w:ascii="Times New Roman" w:cs="Times New Roman" w:eastAsia="Times New Roman" w:hAnsi="Times New Roman"/>
          <w:sz w:val="17"/>
          <w:szCs w:val="17"/>
          <w:color w:val="auto"/>
        </w:rPr>
        <w:t>As an ADS holder, you are required to pay the following service fees to the depositary bank and certain taxes and governmental charges (in addition to any applicable fees, expenses, taxes and other governmental charges payable on the deposited securities represented by any of your ADSs):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20" w:type="dxa"/>
            <w:vAlign w:val="bottom"/>
            <w:tcBorders>
              <w:bottom w:val="single" w:sz="8" w:color="auto"/>
            </w:tcBorders>
          </w:tcPr>
          <w:p>
            <w:pPr>
              <w:ind w:left="2600"/>
              <w:spacing w:after="0"/>
              <w:rPr>
                <w:sz w:val="20"/>
                <w:szCs w:val="20"/>
                <w:color w:val="auto"/>
              </w:rPr>
            </w:pPr>
            <w:r>
              <w:rPr>
                <w:rFonts w:ascii="Times New Roman" w:cs="Times New Roman" w:eastAsia="Times New Roman" w:hAnsi="Times New Roman"/>
                <w:sz w:val="14"/>
                <w:szCs w:val="14"/>
                <w:color w:val="auto"/>
              </w:rPr>
              <w:t>Service</w:t>
            </w:r>
          </w:p>
        </w:tc>
        <w:tc>
          <w:tcPr>
            <w:tcW w:w="120" w:type="dxa"/>
            <w:vAlign w:val="bottom"/>
          </w:tcPr>
          <w:p>
            <w:pPr>
              <w:spacing w:after="0"/>
              <w:rPr>
                <w:sz w:val="16"/>
                <w:szCs w:val="16"/>
                <w:color w:val="auto"/>
              </w:rPr>
            </w:pPr>
          </w:p>
        </w:tc>
        <w:tc>
          <w:tcPr>
            <w:tcW w:w="528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4"/>
                <w:szCs w:val="14"/>
                <w:color w:val="auto"/>
              </w:rPr>
              <w:t>Fees</w:t>
            </w:r>
          </w:p>
        </w:tc>
      </w:tr>
      <w:tr>
        <w:trPr>
          <w:trHeight w:val="191"/>
        </w:trPr>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To any person to which ADSs are issued or to any person to which a</w:t>
            </w:r>
          </w:p>
        </w:tc>
        <w:tc>
          <w:tcPr>
            <w:tcW w:w="120" w:type="dxa"/>
            <w:vAlign w:val="bottom"/>
          </w:tcPr>
          <w:p>
            <w:pPr>
              <w:spacing w:after="0"/>
              <w:rPr>
                <w:sz w:val="16"/>
                <w:szCs w:val="16"/>
                <w:color w:val="auto"/>
              </w:rPr>
            </w:pPr>
          </w:p>
        </w:tc>
        <w:tc>
          <w:tcPr>
            <w:tcW w:w="5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Up to US$0.05 per ADS issued</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is made in respect of ADS distributions pursuant to stock</w:t>
            </w:r>
          </w:p>
        </w:tc>
        <w:tc>
          <w:tcPr>
            <w:tcW w:w="120" w:type="dxa"/>
            <w:vAlign w:val="bottom"/>
          </w:tcPr>
          <w:p>
            <w:pPr>
              <w:spacing w:after="0"/>
              <w:rPr>
                <w:sz w:val="18"/>
                <w:szCs w:val="18"/>
                <w:color w:val="auto"/>
              </w:rPr>
            </w:pPr>
          </w:p>
        </w:tc>
        <w:tc>
          <w:tcPr>
            <w:tcW w:w="528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dividends or other free distributions of stock, bonus distributions, stock splits</w:t>
            </w:r>
          </w:p>
        </w:tc>
        <w:tc>
          <w:tcPr>
            <w:tcW w:w="120" w:type="dxa"/>
            <w:vAlign w:val="bottom"/>
          </w:tcPr>
          <w:p>
            <w:pPr>
              <w:spacing w:after="0"/>
              <w:rPr>
                <w:sz w:val="18"/>
                <w:szCs w:val="18"/>
                <w:color w:val="auto"/>
              </w:rPr>
            </w:pPr>
          </w:p>
        </w:tc>
        <w:tc>
          <w:tcPr>
            <w:tcW w:w="528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or other distributions (except where converted to cash)</w:t>
            </w: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30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Cancellation of ADSs, including in the case of termination of the deposit</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Up to US$0.05 per ADS cancelled</w:t>
            </w: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32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of cash dividends</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365"/>
        </w:trPr>
        <w:tc>
          <w:tcPr>
            <w:tcW w:w="5620" w:type="dxa"/>
            <w:vAlign w:val="bottom"/>
          </w:tcPr>
          <w:p>
            <w:pPr>
              <w:ind w:left="5420"/>
              <w:spacing w:after="0"/>
              <w:rPr>
                <w:sz w:val="20"/>
                <w:szCs w:val="20"/>
                <w:color w:val="auto"/>
              </w:rPr>
            </w:pPr>
            <w:r>
              <w:rPr>
                <w:rFonts w:ascii="Times New Roman" w:cs="Times New Roman" w:eastAsia="Times New Roman" w:hAnsi="Times New Roman"/>
                <w:sz w:val="18"/>
                <w:szCs w:val="18"/>
                <w:color w:val="auto"/>
                <w:w w:val="99"/>
              </w:rPr>
              <w:t>12</w:t>
            </w:r>
          </w:p>
        </w:tc>
        <w:tc>
          <w:tcPr>
            <w:tcW w:w="120" w:type="dxa"/>
            <w:vAlign w:val="bottom"/>
          </w:tcPr>
          <w:p>
            <w:pPr>
              <w:spacing w:after="0"/>
              <w:rPr>
                <w:sz w:val="24"/>
                <w:szCs w:val="24"/>
                <w:color w:val="auto"/>
              </w:rPr>
            </w:pPr>
          </w:p>
        </w:tc>
        <w:tc>
          <w:tcPr>
            <w:tcW w:w="528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325" w:name="page326"/>
    <w:bookmarkEnd w:id="325"/>
    <w:p>
      <w:pPr>
        <w:ind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Distribution of cash entitlements (other than cash dividends) and/or cash proceeds from the sale of rights, securities and other entitlements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of ADSs pursuant to exercise of rights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Distribution of securities other than ADSs or rights to purchase additional ADSs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Depositary services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Up to US$0.05 per ADS held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US$0.05 per ADS held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US$0.05 per ADS held</w:t>
      </w: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Up to US$0.05 per ADS held on the applicable record date(s) established by the depositary bank</w:t>
      </w:r>
    </w:p>
    <w:p>
      <w:pPr>
        <w:spacing w:after="0" w:line="162" w:lineRule="exact"/>
        <w:rPr>
          <w:sz w:val="20"/>
          <w:szCs w:val="20"/>
          <w:color w:val="auto"/>
        </w:rPr>
      </w:pPr>
    </w:p>
    <w:p>
      <w:pPr>
        <w:sectPr>
          <w:pgSz w:w="11900" w:h="16838" w:orient="portrait"/>
          <w:cols w:equalWidth="0" w:num="2">
            <w:col w:w="5320" w:space="420"/>
            <w:col w:w="5280"/>
          </w:cols>
          <w:pgMar w:left="440" w:top="270" w:right="439" w:bottom="1440" w:gutter="0" w:footer="0" w:header="0"/>
        </w:sectPr>
      </w:pPr>
    </w:p>
    <w:p>
      <w:pPr>
        <w:ind w:right="680" w:firstLine="440"/>
        <w:spacing w:after="0" w:line="266" w:lineRule="auto"/>
        <w:rPr>
          <w:sz w:val="20"/>
          <w:szCs w:val="20"/>
          <w:color w:val="auto"/>
        </w:rPr>
      </w:pPr>
      <w:r>
        <w:rPr>
          <w:rFonts w:ascii="Times New Roman" w:cs="Times New Roman" w:eastAsia="Times New Roman" w:hAnsi="Times New Roman"/>
          <w:sz w:val="18"/>
          <w:szCs w:val="18"/>
          <w:color w:val="auto"/>
        </w:rPr>
        <w:t>As an ADS holder, you are also be responsible for paying certain fees and expenses incurred by the depositary bank and certain taxes and governmental charges (in addition to any applicable fees, expenses, taxes and other governmental charges payable on the deposited securities represented by any of your ADSs) such as:</w:t>
      </w:r>
    </w:p>
    <w:p>
      <w:pPr>
        <w:spacing w:after="0" w:line="81" w:lineRule="exact"/>
        <w:rPr>
          <w:sz w:val="20"/>
          <w:szCs w:val="20"/>
          <w:color w:val="auto"/>
        </w:rPr>
      </w:pPr>
    </w:p>
    <w:p>
      <w:pPr>
        <w:ind w:left="960" w:right="140" w:hanging="424"/>
        <w:spacing w:after="0" w:line="282" w:lineRule="auto"/>
        <w:tabs>
          <w:tab w:leader="none" w:pos="96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for the transfer and registration of Class A ordinary shares charged by the registrar and transfer agent for the Class A ordinary shares in the Cayman Islands (i.e., upon deposit and withdrawal of Class A ordinary shares).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for converting foreign currency into U.S. dollars.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for cable, telex and fax transmissions and for delivery of securities.</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and duties upon the transfer of securities, including any applicable stamp duties, any stock transfer charges or withholding taxes (i.e., when Class A ordinary shares are deposited or withdrawn from deposit).</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the delivery or servicing of Class A ordinary shares on deposit.</w:t>
      </w:r>
    </w:p>
    <w:p>
      <w:pPr>
        <w:spacing w:after="0" w:line="130" w:lineRule="exact"/>
        <w:rPr>
          <w:rFonts w:ascii="Times New Roman" w:cs="Times New Roman" w:eastAsia="Times New Roman" w:hAnsi="Times New Roman"/>
          <w:sz w:val="18"/>
          <w:szCs w:val="18"/>
          <w:color w:val="auto"/>
        </w:rPr>
      </w:pPr>
    </w:p>
    <w:p>
      <w:pPr>
        <w:ind w:left="960" w:right="120" w:hanging="424"/>
        <w:spacing w:after="0" w:line="282" w:lineRule="auto"/>
        <w:tabs>
          <w:tab w:leader="none" w:pos="96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complying with exchange control regulations and other regulatory requirements applicable to Class A ordinary shares, deposited securities, ADSs and ADRs.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fees and penalties thereon.</w:t>
      </w:r>
    </w:p>
    <w:p>
      <w:pPr>
        <w:spacing w:after="0" w:line="225"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spacing w:after="0" w:line="183"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spacing w:after="0" w:line="189"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70" w:right="439" w:bottom="1440" w:gutter="0" w:footer="0" w:header="0"/>
          <w:type w:val="continuous"/>
        </w:sectPr>
      </w:pPr>
    </w:p>
    <w:bookmarkStart w:id="326" w:name="page327"/>
    <w:bookmarkEnd w:id="326"/>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depositary may make payments to us or reimburse us for certain costs and expenses, by making available a portion of the ADS fees collected in respect of the ADR program or otherwise, upon such terms and conditions as we and the depositary bank agree from time to time.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Taxes</w:t>
      </w:r>
    </w:p>
    <w:p>
      <w:pPr>
        <w:spacing w:after="0" w:line="121"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You are responsible for any taxes or other governmental charges payable, or which become payable, on your ADSs or on the deposited securities represented by any of your ADSs. The depositary may refuse to register or transfer your ADSs or allow you to withdraw the deposited securities represented by your ADSs until such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you any net proceeds, or send to you any property, remaining after it has paid the taxes. You agree to indemnify us, the depositary, the custodian and each of our and their respective agents, directors, employees and affiliates for, and hold each of them harmless from, any claims with respect to taxes (including applicable interest and penalties thereon) arising from any refund of taxes, reduced rate of withholding at source or other tax benefit obtained for you. Your obligations under this paragraph shall survive any transfer of ADRs, any surrender of ADRs and withdrawal of deposited securities or the termination of the deposit agreement.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 Recapitalizations and Mergers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20" w:type="dxa"/>
            <w:vAlign w:val="bottom"/>
            <w:tcBorders>
              <w:bottom w:val="single" w:sz="8" w:color="auto"/>
            </w:tcBorders>
          </w:tcPr>
          <w:p>
            <w:pPr>
              <w:ind w:left="2640"/>
              <w:spacing w:after="0"/>
              <w:rPr>
                <w:sz w:val="20"/>
                <w:szCs w:val="20"/>
                <w:color w:val="auto"/>
              </w:rPr>
            </w:pPr>
            <w:r>
              <w:rPr>
                <w:rFonts w:ascii="Times New Roman" w:cs="Times New Roman" w:eastAsia="Times New Roman" w:hAnsi="Times New Roman"/>
                <w:sz w:val="14"/>
                <w:szCs w:val="14"/>
                <w:b w:val="1"/>
                <w:bCs w:val="1"/>
                <w:color w:val="auto"/>
              </w:rPr>
              <w:t>If we:</w:t>
            </w:r>
          </w:p>
        </w:tc>
        <w:tc>
          <w:tcPr>
            <w:tcW w:w="120" w:type="dxa"/>
            <w:vAlign w:val="bottom"/>
          </w:tcPr>
          <w:p>
            <w:pPr>
              <w:spacing w:after="0"/>
              <w:rPr>
                <w:sz w:val="16"/>
                <w:szCs w:val="16"/>
                <w:color w:val="auto"/>
              </w:rPr>
            </w:pPr>
          </w:p>
        </w:tc>
        <w:tc>
          <w:tcPr>
            <w:tcW w:w="5280" w:type="dxa"/>
            <w:vAlign w:val="bottom"/>
            <w:tcBorders>
              <w:bottom w:val="single" w:sz="8" w:color="auto"/>
            </w:tcBorders>
          </w:tcPr>
          <w:p>
            <w:pPr>
              <w:ind w:left="2440"/>
              <w:spacing w:after="0"/>
              <w:rPr>
                <w:sz w:val="20"/>
                <w:szCs w:val="20"/>
                <w:color w:val="auto"/>
              </w:rPr>
            </w:pPr>
            <w:r>
              <w:rPr>
                <w:rFonts w:ascii="Times New Roman" w:cs="Times New Roman" w:eastAsia="Times New Roman" w:hAnsi="Times New Roman"/>
                <w:sz w:val="14"/>
                <w:szCs w:val="14"/>
                <w:b w:val="1"/>
                <w:bCs w:val="1"/>
                <w:color w:val="auto"/>
              </w:rPr>
              <w:t>Then:</w:t>
            </w:r>
          </w:p>
        </w:tc>
      </w:tr>
      <w:tr>
        <w:trPr>
          <w:trHeight w:val="191"/>
        </w:trPr>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Change the nominal or par value of our Class A ordinary shares</w:t>
            </w:r>
          </w:p>
        </w:tc>
        <w:tc>
          <w:tcPr>
            <w:tcW w:w="120" w:type="dxa"/>
            <w:vAlign w:val="bottom"/>
          </w:tcPr>
          <w:p>
            <w:pPr>
              <w:spacing w:after="0"/>
              <w:rPr>
                <w:sz w:val="16"/>
                <w:szCs w:val="16"/>
                <w:color w:val="auto"/>
              </w:rPr>
            </w:pPr>
          </w:p>
        </w:tc>
        <w:tc>
          <w:tcPr>
            <w:tcW w:w="5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The cash, shares or other securities received by the depositary will</w:t>
            </w:r>
          </w:p>
        </w:tc>
      </w:tr>
      <w:tr>
        <w:trPr>
          <w:trHeight w:val="234"/>
        </w:trPr>
        <w:tc>
          <w:tcPr>
            <w:tcW w:w="5620" w:type="dxa"/>
            <w:vAlign w:val="bottom"/>
          </w:tcPr>
          <w:p>
            <w:pPr>
              <w:spacing w:after="0"/>
              <w:rPr>
                <w:sz w:val="20"/>
                <w:szCs w:val="20"/>
                <w:color w:val="auto"/>
              </w:rPr>
            </w:pP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become deposited securities.</w:t>
            </w:r>
          </w:p>
        </w:tc>
      </w:tr>
      <w:tr>
        <w:trPr>
          <w:trHeight w:val="30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Reclassify, split up or consolidate any of the deposited securities</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Each ADS will automatically represent its equal share of the new</w:t>
            </w:r>
          </w:p>
        </w:tc>
      </w:tr>
      <w:tr>
        <w:trPr>
          <w:trHeight w:val="234"/>
        </w:trPr>
        <w:tc>
          <w:tcPr>
            <w:tcW w:w="5620" w:type="dxa"/>
            <w:vAlign w:val="bottom"/>
          </w:tcPr>
          <w:p>
            <w:pPr>
              <w:spacing w:after="0"/>
              <w:rPr>
                <w:sz w:val="20"/>
                <w:szCs w:val="20"/>
                <w:color w:val="auto"/>
              </w:rPr>
            </w:pP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deposited securities.</w:t>
            </w:r>
          </w:p>
        </w:tc>
      </w:tr>
    </w:tbl>
    <w:p>
      <w:pPr>
        <w:spacing w:after="0" w:line="90" w:lineRule="exact"/>
        <w:rPr>
          <w:sz w:val="20"/>
          <w:szCs w:val="20"/>
          <w:color w:val="auto"/>
        </w:rPr>
      </w:pPr>
    </w:p>
    <w:p>
      <w:pPr>
        <w:sectPr>
          <w:pgSz w:w="11900" w:h="16838" w:orient="portrait"/>
          <w:cols w:equalWidth="0" w:num="1">
            <w:col w:w="11020"/>
          </w:cols>
          <w:pgMar w:left="440" w:top="270" w:right="439" w:bottom="1440" w:gutter="0" w:footer="0" w:header="0"/>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Distribute securities on the Class A ordinary shares that are not distributed to you, or recapitalize, reorganize, merge, liquidate, sell all or substantially all of our assets, or take any similar action</w:t>
      </w:r>
    </w:p>
    <w:p>
      <w:pPr>
        <w:spacing w:after="0" w:line="20" w:lineRule="exact"/>
        <w:rPr>
          <w:sz w:val="20"/>
          <w:szCs w:val="20"/>
          <w:color w:val="auto"/>
        </w:rPr>
      </w:pPr>
      <w:r>
        <w:rPr>
          <w:sz w:val="20"/>
          <w:szCs w:val="20"/>
          <w:color w:val="auto"/>
        </w:rPr>
        <w:br w:type="column"/>
      </w:r>
    </w:p>
    <w:p>
      <w:pPr>
        <w:ind w:right="20"/>
        <w:spacing w:after="0" w:line="261" w:lineRule="auto"/>
        <w:rPr>
          <w:sz w:val="20"/>
          <w:szCs w:val="20"/>
          <w:color w:val="auto"/>
        </w:rPr>
      </w:pPr>
      <w:r>
        <w:rPr>
          <w:rFonts w:ascii="Times New Roman" w:cs="Times New Roman" w:eastAsia="Times New Roman" w:hAnsi="Times New Roman"/>
          <w:sz w:val="18"/>
          <w:szCs w:val="18"/>
          <w:color w:val="auto"/>
        </w:rPr>
        <w:t>The depositary may distribute some or all of the cash, shares or other securities it received. It may also deliver new ADSs or ask you to surrender your outstanding ADRs in exchange for new ADRs identifying the new deposited securities.</w:t>
      </w:r>
    </w:p>
    <w:p>
      <w:pPr>
        <w:spacing w:after="0" w:line="200" w:lineRule="exact"/>
        <w:rPr>
          <w:sz w:val="20"/>
          <w:szCs w:val="20"/>
          <w:color w:val="auto"/>
        </w:rPr>
      </w:pPr>
    </w:p>
    <w:p>
      <w:pPr>
        <w:sectPr>
          <w:pgSz w:w="11900" w:h="16838" w:orient="portrait"/>
          <w:cols w:equalWidth="0" w:num="2">
            <w:col w:w="5620" w:space="120"/>
            <w:col w:w="5280"/>
          </w:cols>
          <w:pgMar w:left="440" w:top="270" w:right="439" w:bottom="1440" w:gutter="0" w:footer="0" w:header="0"/>
          <w:type w:val="continuous"/>
        </w:sectPr>
      </w:pP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amended?</w:t>
      </w:r>
    </w:p>
    <w:p>
      <w:pPr>
        <w:spacing w:after="0" w:line="121" w:lineRule="exact"/>
        <w:rPr>
          <w:sz w:val="20"/>
          <w:szCs w:val="20"/>
          <w:color w:val="auto"/>
        </w:rPr>
      </w:pPr>
    </w:p>
    <w:p>
      <w:pPr>
        <w:ind w:right="200" w:firstLine="440"/>
        <w:spacing w:after="0" w:line="272" w:lineRule="auto"/>
        <w:rPr>
          <w:sz w:val="20"/>
          <w:szCs w:val="20"/>
          <w:color w:val="auto"/>
        </w:rPr>
      </w:pPr>
      <w:r>
        <w:rPr>
          <w:rFonts w:ascii="Times New Roman" w:cs="Times New Roman" w:eastAsia="Times New Roman" w:hAnsi="Times New Roman"/>
          <w:sz w:val="17"/>
          <w:szCs w:val="17"/>
          <w:color w:val="auto"/>
        </w:rPr>
        <w:t xml:space="preserve">We may agree with the depositary to amend the deposit agreement and the form of ADR without your consent for any reason. If an amendment adds or increases fees or charges, except for taxes and other governmental charges or expenses of the depositary for registration fees, facsimile costs, delivery charges or similar items, including expenses incurred in connection with foreign exchange control regulations and other charges specifically payable by ADS holders under the deposit agreement, or materially prejudices a substantial existing right of ADS holders, it will not become effective for outstanding ADSs until 30 days after the depositary notifies ADS holders of the amendment. </w:t>
      </w:r>
      <w:r>
        <w:rPr>
          <w:rFonts w:ascii="Times New Roman" w:cs="Times New Roman" w:eastAsia="Times New Roman" w:hAnsi="Times New Roman"/>
          <w:sz w:val="17"/>
          <w:szCs w:val="17"/>
          <w:i w:val="1"/>
          <w:iCs w:val="1"/>
          <w:color w:val="auto"/>
        </w:rPr>
        <w:t>At the time an amendment becomes effective, you are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considered, by continuing to hold your ADSs, to agree to the amendment and to be bound by the ADRs and the deposit agreement as amended</w:t>
      </w:r>
      <w:r>
        <w:rPr>
          <w:rFonts w:ascii="Times New Roman" w:cs="Times New Roman" w:eastAsia="Times New Roman" w:hAnsi="Times New Roman"/>
          <w:sz w:val="17"/>
          <w:szCs w:val="17"/>
          <w:color w:val="auto"/>
        </w:rPr>
        <w:t>. If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new laws are adopted which would require the deposit agreement to be amended in order to comply therewith, we and the depositary may amend the deposit agreement in accordance with such laws and such amendment may become effective before notice thereof is given to ADS holders.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terminated?</w:t>
      </w:r>
    </w:p>
    <w:p>
      <w:pPr>
        <w:spacing w:after="0" w:line="12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depositary will terminate the deposit agreement if we ask it to do so, in which case the depositary will give notice to you at least 90 days prior to termination. The depositary may also terminate the deposit agreement if the depositary has told us that it would like to resign, or if we have removed the depositary, and in either case we have not appointed a new depositary within 90 days. In either such case, the depositary must notify you at least 30 days before termination.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70" w:right="439" w:bottom="1440" w:gutter="0" w:footer="0" w:header="0"/>
          <w:type w:val="continuous"/>
        </w:sectPr>
      </w:pPr>
    </w:p>
    <w:bookmarkStart w:id="327" w:name="page328"/>
    <w:bookmarkEnd w:id="327"/>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After termination, the depositary and its agents will do the following under the deposit agreement but nothing else: collect distributions on the deposited securities, sell rights and other property and deliver Class A ordinary shares and other deposited securities upon cancellation of ADSs after payment of any fees, charges, taxes or other governmental charges. Six months or more after the date of termination, the depositary may sell any remaining deposited securities by public or private sale. After that, the depositary will hold the money it received on the sale, as well as any other cash it is holding under the deposit agreement, for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benefit of the ADS holders that have not surrendered their ADSs. It will not invest the money and has no liability for interest. After such sale, the depositary’s only obligations will be to account for the money and other cash. After termination, we shall be discharged from all obligations under the deposit agreement except for our obligations to the depositary thereunder.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Books of Depositary</w:t>
      </w:r>
    </w:p>
    <w:p>
      <w:pPr>
        <w:spacing w:after="0" w:line="121"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depositary maintains ADS holder records at its depositary office. You may inspect such records at such office during regular business hours but solely for the purpose of communicating with other holders in the interest of business matters relating to the Company, the ADRs and the deposit agreement.</w:t>
      </w:r>
    </w:p>
    <w:p>
      <w:pPr>
        <w:spacing w:after="0" w:line="176" w:lineRule="exact"/>
        <w:rPr>
          <w:sz w:val="20"/>
          <w:szCs w:val="20"/>
          <w:color w:val="auto"/>
        </w:rPr>
      </w:pPr>
    </w:p>
    <w:p>
      <w:pPr>
        <w:ind w:right="720" w:firstLine="440"/>
        <w:spacing w:after="0" w:line="282" w:lineRule="auto"/>
        <w:rPr>
          <w:sz w:val="20"/>
          <w:szCs w:val="20"/>
          <w:color w:val="auto"/>
        </w:rPr>
      </w:pPr>
      <w:r>
        <w:rPr>
          <w:rFonts w:ascii="Times New Roman" w:cs="Times New Roman" w:eastAsia="Times New Roman" w:hAnsi="Times New Roman"/>
          <w:sz w:val="18"/>
          <w:szCs w:val="18"/>
          <w:color w:val="auto"/>
        </w:rPr>
        <w:t>The depositary maintains facilities in the Borough of Manhattan, The City of New York to record and process the issuance, cancellation, combination, split-up and transfer of ADRs.</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These facilities may be closed at any time or from time to time when such action is deemed necessary or advisable by the depositary in connection with the performance of its duties under the deposit agreement or at our reasonable written request.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Obligations and Liability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Limits on our Obligations and the Obligations of the Depositary and the Custodian; Limits on Liability to Holders of ADSs</w:t>
      </w:r>
    </w:p>
    <w:p>
      <w:pPr>
        <w:spacing w:after="0" w:line="121"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 deposit agreement expressly limits our obligations and the obligations of the depositary and the custodian. It also limits our liability and the liability of the depositary. The depositary and the custodian:</w:t>
      </w:r>
    </w:p>
    <w:p>
      <w:pPr>
        <w:spacing w:after="0" w:line="67" w:lineRule="exact"/>
        <w:rPr>
          <w:sz w:val="20"/>
          <w:szCs w:val="20"/>
          <w:color w:val="auto"/>
        </w:rPr>
      </w:pPr>
    </w:p>
    <w:p>
      <w:pPr>
        <w:ind w:left="960" w:hanging="424"/>
        <w:spacing w:after="0"/>
        <w:tabs>
          <w:tab w:leader="none" w:pos="96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only obligated to take the actions specifically set forth in the deposit agreement without gross negligence or willful misconduct;</w:t>
      </w:r>
    </w:p>
    <w:p>
      <w:pPr>
        <w:spacing w:after="0" w:line="130" w:lineRule="exact"/>
        <w:rPr>
          <w:rFonts w:ascii="Times New Roman" w:cs="Times New Roman" w:eastAsia="Times New Roman" w:hAnsi="Times New Roman"/>
          <w:sz w:val="18"/>
          <w:szCs w:val="18"/>
          <w:color w:val="auto"/>
        </w:rPr>
      </w:pPr>
    </w:p>
    <w:p>
      <w:pPr>
        <w:ind w:left="960" w:right="20" w:hanging="424"/>
        <w:spacing w:after="0" w:line="254" w:lineRule="auto"/>
        <w:tabs>
          <w:tab w:leader="none" w:pos="96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if any of us or our respective controlling persons or agents are prevented or forbidden from, or subjected to any civil or criminal penalty or restraint on account of, or delayed in, doing or performing any act or thing required by the terms of the deposit agreement and any ADR, by reason of any provision of any present or future law or regulation of the United States or any state thereof, of the Cayman Islands or any other country, or of any other governmental authority or regulatory authority or stock exchange, or on account of the possible criminal or civil penalties or restraint, or by reason of any provision, present or future, of our memorandum and articles of association or any provision of or governing any deposited securities, or by reason of any act of God or war or other circumstances beyond its control (including, without limitation, nationalization, expropriation, currency restrictions, work stoppage, strikes, civil unrest, revolutions, rebellions, explosions and computer failure);</w:t>
      </w:r>
    </w:p>
    <w:p>
      <w:pPr>
        <w:spacing w:after="0" w:line="97" w:lineRule="exact"/>
        <w:rPr>
          <w:rFonts w:ascii="Times New Roman" w:cs="Times New Roman" w:eastAsia="Times New Roman" w:hAnsi="Times New Roman"/>
          <w:sz w:val="18"/>
          <w:szCs w:val="18"/>
          <w:color w:val="auto"/>
        </w:rPr>
      </w:pPr>
    </w:p>
    <w:p>
      <w:pPr>
        <w:ind w:left="960" w:right="920" w:hanging="424"/>
        <w:spacing w:after="0" w:line="282" w:lineRule="auto"/>
        <w:tabs>
          <w:tab w:leader="none" w:pos="96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by reason of any exercise of, or failure to exercise, any discretion provided for in the deposit agreement or in our memorandum and articles of association or provisions of or governing deposited securities;</w:t>
      </w:r>
    </w:p>
    <w:p>
      <w:pPr>
        <w:spacing w:after="0" w:line="67" w:lineRule="exact"/>
        <w:rPr>
          <w:rFonts w:ascii="Times New Roman" w:cs="Times New Roman" w:eastAsia="Times New Roman" w:hAnsi="Times New Roman"/>
          <w:sz w:val="18"/>
          <w:szCs w:val="18"/>
          <w:color w:val="auto"/>
        </w:rPr>
      </w:pPr>
    </w:p>
    <w:p>
      <w:pPr>
        <w:jc w:val="both"/>
        <w:ind w:left="960" w:right="380" w:hanging="424"/>
        <w:spacing w:after="0" w:line="266" w:lineRule="auto"/>
        <w:tabs>
          <w:tab w:leader="none" w:pos="96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for any action or inaction of the depositary, the custodian or us or their or our respective controlling persons or agents in reliance upon the advice of or information from legal counsel, any person presenting Class A ordinary shares for deposit or any other person believed by it in good faith to be competent to give such advice or information;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328" w:name="page329"/>
    <w:bookmarkEnd w:id="328"/>
    <w:p>
      <w:pPr>
        <w:ind w:left="960" w:right="200" w:hanging="424"/>
        <w:spacing w:after="0" w:line="282" w:lineRule="auto"/>
        <w:tabs>
          <w:tab w:leader="none" w:pos="96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are not liable for the inability of any holder of ADSs to benefit from any distribution on deposited securities that is not made available to holders of ADSs under the terms of the deposit agreement;</w:t>
      </w:r>
    </w:p>
    <w:p>
      <w:pPr>
        <w:spacing w:after="0" w:line="67" w:lineRule="exact"/>
        <w:rPr>
          <w:rFonts w:ascii="Times New Roman" w:cs="Times New Roman" w:eastAsia="Times New Roman" w:hAnsi="Times New Roman"/>
          <w:sz w:val="18"/>
          <w:szCs w:val="18"/>
          <w:color w:val="auto"/>
        </w:rPr>
      </w:pPr>
    </w:p>
    <w:p>
      <w:pPr>
        <w:ind w:left="960" w:right="720" w:hanging="424"/>
        <w:spacing w:after="0" w:line="282" w:lineRule="auto"/>
        <w:tabs>
          <w:tab w:leader="none" w:pos="96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for any special, consequential, indirect or punitive damages for any breach of the terms of the deposit agreement, or otherwise;</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rely upon any documents we believe in good faith to be genuine and to have been signed or presented by the proper party;</w:t>
      </w:r>
    </w:p>
    <w:p>
      <w:pPr>
        <w:spacing w:after="0" w:line="130"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disclaim any liability for any action or inaction of any of us or our respective controlling persons or agents in reliance upon the advice of or information from legal counsel, accountants, any person presenting Class A ordinary shares for deposit, holders and beneficial owners (or authorized representatives) of ADSs, or any person believed in good faith to be competent to give such advice or information; and</w:t>
      </w:r>
    </w:p>
    <w:p>
      <w:pPr>
        <w:spacing w:after="0" w:line="81"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disclaim any liability for inability of any holder to benefit from any distribution, offering, right or other benefit made available to holders of deposited securities but not made available to holders of ADS.</w:t>
      </w:r>
    </w:p>
    <w:p>
      <w:pPr>
        <w:spacing w:after="0" w:line="162"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The depositary and any of its agents also disclaim any liability (i) for any failure to carry out any instructions to vote, the manner in which any vote is cast or the effect of any vote or failure to determine that any distribution or action may be lawful or reasonably practicable or for allowing any rights to lapse in accordance with the provisions of the deposit agreement, (ii) for the failure or timeliness of any notice from us, the content of any information submitted to it by us for distribution to you or for any inaccuracy of any translation thereof, (iii) for any investment risk associated with the acquisition of an interest in the deposited securities, the validity or worth of the deposited securities, the credit-worthiness of any third party, (iv) for any tax consequences that may result from ownership of ADSs, Class A ordinary shares or deposited securities, or (v)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gross negligence or willful misconduct while it acted as depositary.</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the deposit agreement, we and the depositary agree to indemnify each other under certain circumstances.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Jurisdiction and Arbitration</w:t>
      </w:r>
    </w:p>
    <w:p>
      <w:pPr>
        <w:spacing w:after="0" w:line="12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laws of the State of New York govern the deposit agreement and the ADSs and we have agreed with the depositary that the United States District Court for the Southern District of New York (or, if the United States District Court for the Southern District of New York lacks subject matter jurisdiction over a particular dispute, the state courts in New York County, New York) shall have exclusive jurisdiction to hear and determine any dispute arising from or in any way relating to the deposit agreement and that the depositary has the right to refer any claim or dispute arising from the relationship created by the deposit agreement to arbitration in accordance with the Commercial Arbitration Rules of the American Arbitration Association. The arbitration provisions of the deposit agreement do not preclude you from pursuing claims under the Securities Act or the Exchange Act in the United States District Court for the Southern District of New York (or such state courts if the United States District Court for the Southern District of New York lacks subject matter jurisdiction).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Jury Trial Waiver</w:t>
      </w:r>
    </w:p>
    <w:p>
      <w:pPr>
        <w:spacing w:after="0" w:line="121"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The deposit agreement provides that each party to the deposit agreement (including each holder, beneficial owner and holder of interests in the ADRs) irrevocably waives, to the fullest extent permitted by applicable law, any right it may have to a trial by jury in any lawsuit or proceeding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based on the facts and circumstances of that case in accordance with the applicable law.</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Requirements for Depositary Actions</w:t>
      </w:r>
    </w:p>
    <w:p>
      <w:pPr>
        <w:spacing w:after="0" w:line="121"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Before the depositary will issue, deliver or register a transfer of an ADS, split up, subdivide or combine ADSs, make a distribution on an ADS, or permit withdrawal of Class A ordinary shares, the depositary may require:</w:t>
      </w:r>
    </w:p>
    <w:p>
      <w:pPr>
        <w:spacing w:after="0" w:line="67" w:lineRule="exact"/>
        <w:rPr>
          <w:sz w:val="20"/>
          <w:szCs w:val="20"/>
          <w:color w:val="auto"/>
        </w:rPr>
      </w:pPr>
    </w:p>
    <w:p>
      <w:pPr>
        <w:ind w:left="960" w:right="360" w:hanging="424"/>
        <w:spacing w:after="0" w:line="266" w:lineRule="auto"/>
        <w:tabs>
          <w:tab w:leader="none" w:pos="96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stock transfer or other taxes or other governmental charges and transfer or registration fees charged by third parties for the transfer of any Class A ordinary shares or other deposited securities and payment of the applicable fees, expenses and charges of the depositary;</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proof of the identity and genuineness of any signature or any other matters contemplated in the deposit agreement; and</w:t>
      </w:r>
    </w:p>
    <w:p>
      <w:pPr>
        <w:spacing w:after="0" w:line="130"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 any laws or governmental regulations relating to the execution and delivery of ADRs or ADSs or to the withdrawal or delivery of deposited securities and (B) such reasonable regulations and procedures as the depositary may establish, from time to time, consistent with the deposit agreement and applicable laws, including presentation of transfer documents.</w:t>
      </w:r>
    </w:p>
    <w:p>
      <w:pPr>
        <w:spacing w:after="0" w:line="176"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The depositary may refuse to issue and deliver ADSs or register transfers of ADSs generally when the register of the depositary or our transfer books are closed or at any time if the depositary or we determine that it is necessary or advisable to do so.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Your Right to Receive the Shares Underlying Your ADSs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You have the right to cancel your ADSs and withdraw the underlying Class A ordinary shares at any time except:</w:t>
      </w:r>
    </w:p>
    <w:p>
      <w:pPr>
        <w:spacing w:after="0" w:line="131" w:lineRule="exact"/>
        <w:rPr>
          <w:sz w:val="20"/>
          <w:szCs w:val="20"/>
          <w:color w:val="auto"/>
        </w:rPr>
      </w:pPr>
    </w:p>
    <w:p>
      <w:pPr>
        <w:jc w:val="both"/>
        <w:ind w:left="960" w:right="40" w:hanging="424"/>
        <w:spacing w:after="0" w:line="266" w:lineRule="auto"/>
        <w:tabs>
          <w:tab w:leader="none" w:pos="96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temporary delays arise because: (1) the depositary has closed its transfer books or we have closed our transfer books; (2) the transfer of Class A ordinary shares is blocked to permit voting at a shareholders’ meeting; or (3) we are paying a dividend on our Class A ordinary shares;</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you owe money to pay fees, taxes and similar charges;</w:t>
      </w:r>
    </w:p>
    <w:p>
      <w:pPr>
        <w:spacing w:after="0" w:line="130" w:lineRule="exact"/>
        <w:rPr>
          <w:rFonts w:ascii="Times New Roman" w:cs="Times New Roman" w:eastAsia="Times New Roman" w:hAnsi="Times New Roman"/>
          <w:sz w:val="18"/>
          <w:szCs w:val="18"/>
          <w:color w:val="auto"/>
        </w:rPr>
      </w:pPr>
    </w:p>
    <w:p>
      <w:pPr>
        <w:ind w:left="960" w:right="80" w:hanging="424"/>
        <w:spacing w:after="0" w:line="266" w:lineRule="auto"/>
        <w:tabs>
          <w:tab w:leader="none" w:pos="96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it is necessary to prohibit withdrawals in order to comply with any laws or governmental regulations that apply to ADSs or to the withdrawal of Class A ordinary shares or other deposited securities, or other circumstances specifically contemplated by Section I.A.(l) of the General Instructions to Form F-6 (as such General Instructions may be amended from time to time); or</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other reason if the depositary or we determine, in good faith, that it is necessary or advisable to prohibit withdrawals.</w:t>
      </w:r>
    </w:p>
    <w:p>
      <w:pPr>
        <w:spacing w:after="0" w:line="225" w:lineRule="exact"/>
        <w:rPr>
          <w:sz w:val="20"/>
          <w:szCs w:val="20"/>
          <w:color w:val="auto"/>
        </w:rPr>
      </w:pPr>
    </w:p>
    <w:p>
      <w:pPr>
        <w:ind w:right="480" w:firstLine="440"/>
        <w:spacing w:after="0" w:line="312" w:lineRule="auto"/>
        <w:rPr>
          <w:sz w:val="20"/>
          <w:szCs w:val="20"/>
          <w:color w:val="auto"/>
        </w:rPr>
      </w:pPr>
      <w:r>
        <w:rPr>
          <w:rFonts w:ascii="Times New Roman" w:cs="Times New Roman" w:eastAsia="Times New Roman" w:hAnsi="Times New Roman"/>
          <w:sz w:val="17"/>
          <w:szCs w:val="17"/>
          <w:color w:val="auto"/>
        </w:rPr>
        <w:t>The depositary shall not knowingly accept for deposit under the deposit agreement any Class A ordinary shares or other deposited securities required to be registered under the provisions of the Securities Act, unless a registration statement is in effect as to such Class A ordinary shares.</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right of withdrawal may not be limited by any other provision of the deposit agreement.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 Registration System</w:t>
      </w:r>
    </w:p>
    <w:p>
      <w:pPr>
        <w:spacing w:after="0" w:line="121"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In the deposit agreement, all parties to the deposit agreement acknowledge that the DRS and Profile Modification System, or Profile, apply to uncertificated ADSs upon acceptance thereof to DRS by DTC. DRS is the system administered by DTC pursuant to which the depositary may register the ownership of uncertificated ADSs, which ownership shall be evidenced by periodic statements issued by the depositary to the ADS holders entitled thereto. Profile is a required feature of DRS which allows a DTC participant, claiming to act on behalf of an ADS holder, to direct the depositary to register a transfer of those ADSs to DTC or its nominee and to deliver those ADSs to the DTC account of that DTC participant without receipt by the depositary of prior authorization from the ADS holder to register such transfer.</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66" w:right="479" w:bottom="1440" w:gutter="0" w:footer="0" w:header="0"/>
        </w:sectPr>
      </w:pPr>
    </w:p>
    <w:bookmarkStart w:id="330" w:name="page331"/>
    <w:bookmarkEnd w:id="330"/>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20" w:type="dxa"/>
            <w:vAlign w:val="bottom"/>
            <w:gridSpan w:val="3"/>
          </w:tcPr>
          <w:p>
            <w:pPr>
              <w:ind w:left="3800"/>
              <w:spacing w:after="0"/>
              <w:rPr>
                <w:sz w:val="20"/>
                <w:szCs w:val="20"/>
                <w:color w:val="auto"/>
              </w:rPr>
            </w:pPr>
            <w:r>
              <w:rPr>
                <w:rFonts w:ascii="Times New Roman" w:cs="Times New Roman" w:eastAsia="Times New Roman" w:hAnsi="Times New Roman"/>
                <w:sz w:val="18"/>
                <w:szCs w:val="18"/>
                <w:b w:val="1"/>
                <w:bCs w:val="1"/>
                <w:color w:val="auto"/>
              </w:rPr>
              <w:t>List of Principal Subsidiaries of WeRide Inc.</w:t>
            </w:r>
          </w:p>
        </w:tc>
      </w:tr>
      <w:tr>
        <w:trPr>
          <w:trHeight w:val="405"/>
        </w:trPr>
        <w:tc>
          <w:tcPr>
            <w:tcW w:w="5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5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Place of Incorporation</w:t>
            </w:r>
          </w:p>
        </w:tc>
      </w:tr>
      <w:tr>
        <w:trPr>
          <w:trHeight w:val="191"/>
        </w:trPr>
        <w:tc>
          <w:tcPr>
            <w:tcW w:w="5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WeRide (Singapore) Pte. Ltd.</w:t>
            </w:r>
          </w:p>
        </w:tc>
        <w:tc>
          <w:tcPr>
            <w:tcW w:w="1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WeRide Middle East General Trading Ltd.</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Abu Dhabi</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WeRide Corp.</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WeRide HK</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Guangzhou Wenyuan Zhixing Technology Co., Ltd.</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Guangzhou Jingqi Technology Co., Ltd.</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Wenyuan Suxing (Jiangsu) Technology Co., Ltd.</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Wenyuan Yuexing (Guangdong) Travel Technology Co., Ltd.</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Wuxi WeRide Intelligent Technology Co., Ltd.</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Shanghai Wenyuan Zhixing Technology Co., Ltd.</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Shenzhen Wenyuan Zhixing Intelligent Technology Co., Ltd.</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Wenyuan Jingxing (Beijing) Technology Co., Ltd.</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Taizhou Wenyuan Zhixing Intelligent Technology Co., Ltd.</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23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Shanghai Wenyuan Zhixing Automotive Technology Co., Ltd.</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People’s Republic of China</w:t>
            </w:r>
          </w:p>
        </w:tc>
      </w:tr>
    </w:tbl>
    <w:p>
      <w:pPr>
        <w:sectPr>
          <w:pgSz w:w="11900" w:h="16838" w:orient="portrait"/>
          <w:cols w:equalWidth="0" w:num="1">
            <w:col w:w="11020"/>
          </w:cols>
          <w:pgMar w:left="440" w:top="117" w:right="439" w:bottom="1440" w:gutter="0" w:footer="0" w:header="0"/>
        </w:sectPr>
      </w:pPr>
    </w:p>
    <w:bookmarkStart w:id="331" w:name="page332"/>
    <w:bookmarkEnd w:id="331"/>
    <w:p>
      <w:pPr>
        <w:jc w:val="right"/>
        <w:spacing w:after="0"/>
        <w:rPr>
          <w:sz w:val="20"/>
          <w:szCs w:val="20"/>
          <w:color w:val="auto"/>
        </w:rPr>
      </w:pPr>
      <w:r>
        <w:rPr>
          <w:rFonts w:ascii="Times New Roman" w:cs="Times New Roman" w:eastAsia="Times New Roman" w:hAnsi="Times New Roman"/>
          <w:sz w:val="18"/>
          <w:szCs w:val="18"/>
          <w:b w:val="1"/>
          <w:bCs w:val="1"/>
          <w:color w:val="auto"/>
        </w:rPr>
        <w:t>Exhibit 11.2</w:t>
      </w:r>
    </w:p>
    <w:p>
      <w:pPr>
        <w:spacing w:after="0" w:line="2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WERIDE INC.</w:t>
      </w:r>
    </w:p>
    <w:p>
      <w:pPr>
        <w:spacing w:after="0" w:line="11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STATEMENT OF POLICIES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GOVERNING MATERIAL NON-PUBLIC INFORMATION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PREVENTION OF INSIDER TRADING</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BY THE BOARD OF DIRECTORS OF WERIDE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JULY 26, 2024)</w:t>
      </w:r>
    </w:p>
    <w:p>
      <w:pPr>
        <w:spacing w:after="0" w:line="203" w:lineRule="exact"/>
        <w:rPr>
          <w:sz w:val="20"/>
          <w:szCs w:val="20"/>
          <w:color w:val="auto"/>
        </w:rPr>
      </w:pPr>
    </w:p>
    <w:p>
      <w:pPr>
        <w:ind w:right="320" w:firstLine="440"/>
        <w:spacing w:after="0" w:line="268" w:lineRule="auto"/>
        <w:rPr>
          <w:sz w:val="20"/>
          <w:szCs w:val="20"/>
          <w:color w:val="auto"/>
        </w:rPr>
      </w:pPr>
      <w:r>
        <w:rPr>
          <w:rFonts w:ascii="Times New Roman" w:cs="Times New Roman" w:eastAsia="Times New Roman" w:hAnsi="Times New Roman"/>
          <w:sz w:val="18"/>
          <w:szCs w:val="18"/>
          <w:color w:val="auto"/>
        </w:rPr>
        <w:t>This Statement of Policies Governing Material Non-Public Information and the Prevention of Insider Trading (this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applies to all directors, officers, employees and consultants of WeRide Inc. and its subsidiaries and consolidated and affiliated entities, if any (collectively,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This Statement consists of three sections: Section I provides an overview; Section II sets forth the Company’s policies prohibiting insider trading; and Section III explains insider trading.</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07" w:lineRule="exact"/>
        <w:rPr>
          <w:sz w:val="20"/>
          <w:szCs w:val="20"/>
          <w:color w:val="auto"/>
        </w:rPr>
      </w:pPr>
    </w:p>
    <w:p>
      <w:pPr>
        <w:jc w:val="both"/>
        <w:ind w:right="180" w:firstLine="440"/>
        <w:spacing w:after="0" w:line="261" w:lineRule="auto"/>
        <w:rPr>
          <w:sz w:val="20"/>
          <w:szCs w:val="20"/>
          <w:color w:val="auto"/>
        </w:rPr>
      </w:pPr>
      <w:r>
        <w:rPr>
          <w:rFonts w:ascii="Times New Roman" w:cs="Times New Roman" w:eastAsia="Times New Roman" w:hAnsi="Times New Roman"/>
          <w:sz w:val="18"/>
          <w:szCs w:val="18"/>
          <w:color w:val="auto"/>
        </w:rPr>
        <w:t>Preventing insider trading is necessary to comply with United States securities laws and to preserve the reputation and integrity of the Company, as well as that of all persons affiliated with it. “Insider trading” occurs when any person purchases or sells any securities while in possession of inside information relating to the securities. As explained in Section III below, “inside information” is information which is considered to be both “material” and “non-public.”</w:t>
      </w:r>
    </w:p>
    <w:p>
      <w:pPr>
        <w:spacing w:after="0" w:line="176" w:lineRule="exact"/>
        <w:rPr>
          <w:sz w:val="20"/>
          <w:szCs w:val="20"/>
          <w:color w:val="auto"/>
        </w:rPr>
      </w:pPr>
    </w:p>
    <w:p>
      <w:pPr>
        <w:ind w:right="240" w:firstLine="440"/>
        <w:spacing w:after="0" w:line="259" w:lineRule="auto"/>
        <w:rPr>
          <w:sz w:val="20"/>
          <w:szCs w:val="20"/>
          <w:color w:val="auto"/>
        </w:rPr>
      </w:pPr>
      <w:r>
        <w:rPr>
          <w:rFonts w:ascii="Times New Roman" w:cs="Times New Roman" w:eastAsia="Times New Roman" w:hAnsi="Times New Roman"/>
          <w:sz w:val="18"/>
          <w:szCs w:val="18"/>
          <w:color w:val="auto"/>
        </w:rPr>
        <w:t>The Company considers strict compliance with the policies set forth in this Statement (collectively,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to be a matter of utmost importance. Violation of the Policy could cause extreme reputational damage and possible legal liability to you and the Company. Knowing or willful violations of the letter or spirit of the Policy will be grounds for immediate dismissal from the Company. Violation of the Policy might expose the violator to severe criminal penalties, as well as civil liability to any person harmed by the violation. The monetary damages flowing from a violation could be multiple times the profit realized by the violator, not to mention the attorney’s fees of the persons harmed.</w:t>
      </w:r>
    </w:p>
    <w:p>
      <w:pPr>
        <w:spacing w:after="0" w:line="179"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This Statement applies to all directors, officers, employees and consultants of the Company and extends to all of such persons’ activities within and outside their duties at the Company</w:t>
      </w:r>
      <w:r>
        <w:rPr>
          <w:rFonts w:ascii="Times New Roman" w:cs="Times New Roman" w:eastAsia="Times New Roman" w:hAnsi="Times New Roman"/>
          <w:sz w:val="18"/>
          <w:szCs w:val="18"/>
          <w:color w:val="auto"/>
        </w:rPr>
        <w:t>. Every director, officer, employee and consultant of the Company must review this Statement,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 requested by the Company, must execute and return the Certification of Compliance attached hereto to internal audit officer for the Company (the “</w:t>
      </w:r>
      <w:r>
        <w:rPr>
          <w:rFonts w:ascii="Times New Roman" w:cs="Times New Roman" w:eastAsia="Times New Roman" w:hAnsi="Times New Roman"/>
          <w:sz w:val="18"/>
          <w:szCs w:val="18"/>
          <w:b w:val="1"/>
          <w:bCs w:val="1"/>
          <w:color w:val="auto"/>
        </w:rPr>
        <w:t>Compliance Officer</w:t>
      </w:r>
      <w:r>
        <w:rPr>
          <w:rFonts w:ascii="Times New Roman" w:cs="Times New Roman" w:eastAsia="Times New Roman" w:hAnsi="Times New Roman"/>
          <w:sz w:val="18"/>
          <w:szCs w:val="18"/>
          <w:color w:val="auto"/>
        </w:rPr>
        <w:t>”) within seven (7) days after receiving the request. Questions regarding this Statement should be directed to the Compliance Officer by e-mail at wr.audit@weride.ai.</w:t>
      </w:r>
    </w:p>
    <w:p>
      <w:pPr>
        <w:sectPr>
          <w:pgSz w:w="11900" w:h="16838" w:orient="portrait"/>
          <w:cols w:equalWidth="0" w:num="1">
            <w:col w:w="11020"/>
          </w:cols>
          <w:pgMar w:left="440" w:top="117" w:right="439" w:bottom="1440" w:gutter="0" w:footer="0" w:header="0"/>
        </w:sectPr>
      </w:pPr>
    </w:p>
    <w:bookmarkStart w:id="332" w:name="page333"/>
    <w:bookmarkEnd w:id="33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POLICIES PROHIBITING INSIDER TRADING</w:t>
      </w:r>
    </w:p>
    <w:p>
      <w:pPr>
        <w:spacing w:after="0" w:line="20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For purposes of this Statement, the terms “purchase” and “sell” of securities exclude the acceptance of options or other share-based awards granted by the Company and the exercise of options or vesting of other share-based awards, if applicable, that does not involve the sale of securities. Among other things, the cashless exercise of options does involve the sale of securities and therefore is subject to the policies set forth below. The Policy does not apply to the exercise of a tax withholding right pursuant to which you elect to have the Company withhold ordinary shares or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subject to an option or other award to satisfy tax withholding requirements.</w:t>
      </w:r>
    </w:p>
    <w:p>
      <w:pPr>
        <w:spacing w:after="0" w:line="17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i w:val="1"/>
          <w:iCs w:val="1"/>
          <w:color w:val="auto"/>
        </w:rPr>
        <w:t>No Trading</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No director, officer, employee or consultant of the Company may purchase or sell any ADSs, ordinary shares or other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 the Company or enter into a binding security trading plan in compliance with Rule 10b5-1 under the U.S. Securities Exchange Act of 1934, as amended (a “Trading Plan”) while in possession of material non-public information relating to the Company or its ADSs, ordinary shares or other securities (the “Material Information”)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In the event that the Material Information possessed by you relates to the ADSs or other securities of the Company, the above policy will require waiting for at least forty-eight (48) hours after public disclosure of the Material Information by the Company, which forty-eight (48) hours shall include in all events at least one full Trading Day on the stock exchange where the Company’s ADSs representing its Class A ordinary shares are listed and traded (the “</w:t>
      </w:r>
      <w:r>
        <w:rPr>
          <w:rFonts w:ascii="Times New Roman" w:cs="Times New Roman" w:eastAsia="Times New Roman" w:hAnsi="Times New Roman"/>
          <w:sz w:val="18"/>
          <w:szCs w:val="18"/>
          <w:b w:val="1"/>
          <w:bCs w:val="1"/>
          <w:color w:val="auto"/>
        </w:rPr>
        <w:t>Stock Exchange</w:t>
      </w:r>
      <w:r>
        <w:rPr>
          <w:rFonts w:ascii="Times New Roman" w:cs="Times New Roman" w:eastAsia="Times New Roman" w:hAnsi="Times New Roman"/>
          <w:sz w:val="18"/>
          <w:szCs w:val="18"/>
          <w:color w:val="auto"/>
        </w:rPr>
        <w:t>”) following such public disclosure. The term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is defined as a day on which the Stock Exchange is open for trading. Except for public holidays in the United States, the Stock Exchange’s regular trading hours are from 9:30 a.m. to 4:00 p.m., New York City time, Monday through Friday.</w:t>
      </w:r>
    </w:p>
    <w:p>
      <w:pPr>
        <w:spacing w:after="0" w:line="183"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In addition, no director, officer, employee or consultant of the Company may purchase or sell any securities of the Company or enter into a Trading Plan, without the prior clearance by the Compliance Officer, during any period designated as a “limited trading period” by the Company, regardless of whether such director, officer, employee or consultant possesses any Material Information.</w:t>
      </w:r>
    </w:p>
    <w:p>
      <w:pPr>
        <w:spacing w:after="0" w:line="171"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Furthermore, all transactions in the securities of the Company (including without limitation, acquisitions and dispositions of the ADSs, the sale of ordinary shares issued upon exercise of options or vesting of other share-based awards and the execution of a Trading Plan, but excluding the acceptance of options or other share-based awards granted by the Company and the exercise of options or vesting of other share-based awards that does not involve the sale of securities) by directors, officers and key employees designated by the Company from time to time must be pre-approved by the Compliance Officer.</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Please see Section III below for an explanation of the Material Information.</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66" w:right="439" w:bottom="1440" w:gutter="0" w:footer="0" w:header="0"/>
        </w:sectPr>
      </w:pPr>
    </w:p>
    <w:bookmarkStart w:id="333" w:name="page334"/>
    <w:bookmarkEnd w:id="333"/>
    <w:p>
      <w:pPr>
        <w:ind w:right="32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 </w:t>
      </w:r>
      <w:r>
        <w:rPr>
          <w:rFonts w:ascii="Times New Roman" w:cs="Times New Roman" w:eastAsia="Times New Roman" w:hAnsi="Times New Roman"/>
          <w:sz w:val="18"/>
          <w:szCs w:val="18"/>
          <w:b w:val="1"/>
          <w:bCs w:val="1"/>
          <w:i w:val="1"/>
          <w:iCs w:val="1"/>
          <w:color w:val="auto"/>
        </w:rPr>
        <w:t>Trading Window</w:t>
      </w:r>
      <w:r>
        <w:rPr>
          <w:rFonts w:ascii="Times New Roman" w:cs="Times New Roman" w:eastAsia="Times New Roman" w:hAnsi="Times New Roman"/>
          <w:sz w:val="18"/>
          <w:szCs w:val="18"/>
          <w:b w:val="1"/>
          <w:bCs w:val="1"/>
          <w:color w:val="auto"/>
        </w:rPr>
        <w:t xml:space="preserve"> – Assuming none of the “no trading” restrictions set forth in Section II-A above applies, no director, officer, employee or consultant of the Company may purchase or sell any securities of the Company or enter into a Trading Plan other than during a Trading Window.</w:t>
      </w:r>
    </w:p>
    <w:p>
      <w:pPr>
        <w:spacing w:after="0" w:line="171" w:lineRule="exact"/>
        <w:rPr>
          <w:sz w:val="20"/>
          <w:szCs w:val="20"/>
          <w:color w:val="auto"/>
        </w:rPr>
      </w:pPr>
    </w:p>
    <w:p>
      <w:pPr>
        <w:ind w:right="300" w:firstLine="440"/>
        <w:spacing w:after="0" w:line="26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Trading Window</w:t>
      </w:r>
      <w:r>
        <w:rPr>
          <w:rFonts w:ascii="Times New Roman" w:cs="Times New Roman" w:eastAsia="Times New Roman" w:hAnsi="Times New Roman"/>
          <w:sz w:val="18"/>
          <w:szCs w:val="18"/>
          <w:color w:val="auto"/>
        </w:rPr>
        <w:t>” is the period in any fiscal quarter of the Company commencing at the close of business on the second Trading Day following the date of the Company’s public disclosure of its financial results for the prior year or quarter, as applicable, and ending on December 31, March 31, June 30 or September 30, as the case may be.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In other words,</w:t>
      </w:r>
    </w:p>
    <w:p>
      <w:pPr>
        <w:spacing w:after="0" w:line="225" w:lineRule="exact"/>
        <w:rPr>
          <w:sz w:val="20"/>
          <w:szCs w:val="20"/>
          <w:color w:val="auto"/>
        </w:rPr>
      </w:pPr>
    </w:p>
    <w:p>
      <w:pPr>
        <w:jc w:val="both"/>
        <w:ind w:right="160" w:firstLine="436"/>
        <w:spacing w:after="0" w:line="268" w:lineRule="auto"/>
        <w:tabs>
          <w:tab w:leader="none" w:pos="695" w:val="left"/>
        </w:tabs>
        <w:numPr>
          <w:ilvl w:val="0"/>
          <w:numId w:val="2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beginning on January 1 of each year, no director, officer, employee or consultant of the Company may purchase or sell any securities of the Company or enter into a Trading Plan until the close of business on the second Trading Day following the date of the Company’s public disclosure of its financial results for the fiscal year ended on December 31 of the prior year, and</w:t>
      </w:r>
    </w:p>
    <w:p>
      <w:pPr>
        <w:spacing w:after="0" w:line="170" w:lineRule="exact"/>
        <w:rPr>
          <w:rFonts w:ascii="Times New Roman" w:cs="Times New Roman" w:eastAsia="Times New Roman" w:hAnsi="Times New Roman"/>
          <w:sz w:val="18"/>
          <w:szCs w:val="18"/>
          <w:b w:val="1"/>
          <w:bCs w:val="1"/>
          <w:color w:val="auto"/>
        </w:rPr>
      </w:pPr>
    </w:p>
    <w:p>
      <w:pPr>
        <w:jc w:val="both"/>
        <w:ind w:firstLine="436"/>
        <w:spacing w:after="0" w:line="262" w:lineRule="auto"/>
        <w:tabs>
          <w:tab w:leader="none" w:pos="695" w:val="left"/>
        </w:tabs>
        <w:numPr>
          <w:ilvl w:val="0"/>
          <w:numId w:val="2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beginning on April 1, July 1 and October 1 of each year, respectively, no director, officer, employee or consultant of the Company may purchase or sell any securities of the Company or enter into a Trading Plan until the close of business on the second Trading Day following the date of the Company’s public disclosure of its financial results for the fiscal quarter ended on March 31, June 30 and September 30 of that year, respectively.</w:t>
      </w:r>
    </w:p>
    <w:p>
      <w:pPr>
        <w:spacing w:after="0" w:line="180"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If the Company’s public disclosure of its financial results for the prior period occurs on a Trading Day more than four hours before the Stock Exchange closes, then such date of disclosure shall be considered the first Trading Day following such public disclosure.</w:t>
      </w:r>
    </w:p>
    <w:p>
      <w:pPr>
        <w:spacing w:after="0" w:line="158"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Please note that trading in any securities of the Company during the Trading Window is not a “safe harbor,” and all directors, officers, employees and consultants of the Company should strictly comply with the Policy.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When in doubt, do not trade! Check with the Compliance Officer first.</w:t>
      </w:r>
    </w:p>
    <w:p>
      <w:pPr>
        <w:spacing w:after="0" w:line="229"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foregoing, sale of securities of the Company pursuant to an existing Trading Plan which was entered into in accordance with the Policy and in compliance with applicable law is not subject to the restrictions on trading in Sections II-A and II-B above.</w:t>
      </w:r>
    </w:p>
    <w:p>
      <w:pPr>
        <w:spacing w:after="0" w:line="15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i w:val="1"/>
          <w:iCs w:val="1"/>
          <w:color w:val="auto"/>
        </w:rPr>
        <w:t>No Tipping</w:t>
      </w:r>
      <w:r>
        <w:rPr>
          <w:rFonts w:ascii="Times New Roman" w:cs="Times New Roman" w:eastAsia="Times New Roman" w:hAnsi="Times New Roman"/>
          <w:sz w:val="18"/>
          <w:szCs w:val="18"/>
          <w:color w:val="auto"/>
        </w:rPr>
        <w:t xml:space="preserve"> – No director, officer, employee or consultant of the Company may directly or indirectly disclose any Material Information to anyone who trades in securities (so-called “tipping”), regardless of whether the person or entity who receives the information, the “tippee,” is related to you and regardless of whether you receive any monetary benefit from the tippee.</w:t>
      </w:r>
    </w:p>
    <w:p>
      <w:pPr>
        <w:spacing w:after="0" w:line="171"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i w:val="1"/>
          <w:iCs w:val="1"/>
          <w:color w:val="auto"/>
        </w:rPr>
        <w:t>Confidentiality</w:t>
      </w:r>
      <w:r>
        <w:rPr>
          <w:rFonts w:ascii="Times New Roman" w:cs="Times New Roman" w:eastAsia="Times New Roman" w:hAnsi="Times New Roman"/>
          <w:sz w:val="18"/>
          <w:szCs w:val="18"/>
          <w:color w:val="auto"/>
        </w:rPr>
        <w:t xml:space="preserve"> – No director, officer, employee or consultant of the Company may communicate any Material Information to anyone outside the Company under any circumstances unless approved by the Compliance Officer in advance, or to anyone within the Company other than on a need-to-know basis.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334" w:name="page335"/>
    <w:bookmarkEnd w:id="334"/>
    <w:p>
      <w:pPr>
        <w:ind w:right="6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 </w:t>
      </w:r>
      <w:r>
        <w:rPr>
          <w:rFonts w:ascii="Times New Roman" w:cs="Times New Roman" w:eastAsia="Times New Roman" w:hAnsi="Times New Roman"/>
          <w:sz w:val="18"/>
          <w:szCs w:val="18"/>
          <w:b w:val="1"/>
          <w:bCs w:val="1"/>
          <w:i w:val="1"/>
          <w:iCs w:val="1"/>
          <w:color w:val="auto"/>
        </w:rPr>
        <w:t>No Comment</w:t>
      </w:r>
      <w:r>
        <w:rPr>
          <w:rFonts w:ascii="Times New Roman" w:cs="Times New Roman" w:eastAsia="Times New Roman" w:hAnsi="Times New Roman"/>
          <w:sz w:val="18"/>
          <w:szCs w:val="18"/>
          <w:color w:val="auto"/>
        </w:rPr>
        <w:t xml:space="preserve"> – No director, officer, employee or consultant of the Company may discuss any internal matters or developments of the Company with anyone outside the Company, except as required for the performance of regular corporate duties. Unless you are expressly authorized to the contrary, if you receive any inquiries about the Company or its securities by the financial press, research analysts or others, or any requests for comments or interviews, you are required to decline comment and direct the inquiry or request to the Company’s department of investor relations, who is responsible for coordinating and overseeing the release of information of the Company to the investing public, analysts and others in compliance with applicable laws and regulations.</w:t>
      </w:r>
    </w:p>
    <w:p>
      <w:pPr>
        <w:spacing w:after="0" w:line="18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i w:val="1"/>
          <w:iCs w:val="1"/>
          <w:color w:val="auto"/>
        </w:rPr>
        <w:t>Corrective Action</w:t>
      </w:r>
      <w:r>
        <w:rPr>
          <w:rFonts w:ascii="Times New Roman" w:cs="Times New Roman" w:eastAsia="Times New Roman" w:hAnsi="Times New Roman"/>
          <w:sz w:val="18"/>
          <w:szCs w:val="18"/>
          <w:color w:val="auto"/>
        </w:rPr>
        <w:t xml:space="preserve"> – If you become aware that any potential Material Information has been or may have been inadvertently disclosed, you must notify the Compliance Officer immediately so that the Company can determine whether or not corrective action, such as general disclosure to the public, is warranted.</w:t>
      </w:r>
    </w:p>
    <w:p>
      <w:pPr>
        <w:spacing w:after="0" w:line="171"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b w:val="1"/>
          <w:bCs w:val="1"/>
          <w:i w:val="1"/>
          <w:iCs w:val="1"/>
          <w:color w:val="auto"/>
        </w:rPr>
        <w:t>Rule 10b5-1 Trading Plans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Rule 10b5-1 provides an affirmative defense against insider trading liability under U.S. securities laws. A person subject to this Policy can rely on this defense and trade in the Company’s securities, regardless of their awareness of inside information, if the transaction occurs pursuant to a pre-arranged written Trading Plan that was entered into when the person was not in possession of material non-public information and that complies with the requirements of Rule 10b5-1.</w:t>
      </w:r>
    </w:p>
    <w:p>
      <w:pPr>
        <w:spacing w:after="0" w:line="180"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Anyone subject to this Policy who wishes to enter into a Trading Plan must submit the Trading Plan to the Compliance Officer for approval at least five business days prior to the planned entry into the Trading Plan. Trading Plans may not be adopted by a person when he or she is in possession of material non-public information about the Company or its securities and must comply with the requirements of Rule 10b5-1 (including specified waiting periods and limitations on multiple overlapping plans and single trade plans).</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Once a Trading Plan is adopted, you must not exercise any subsequent influence over the amount of securities to be traded, the price at which they are to be traded or the date(s) of the trade(s). You may amend or replace a Trading Plan only during periods when trading is permitted in accordance with this Policy, and you must submit any proposed amendment or replacement of a Trading Plan to the Compliance Officer for approval prior to adoption. You must provide notice to the Compliance Officer prior to terminating a Trading Plan. You should understand that a modification or termination of a Trading Plan may call into question your good faith in entering into and operating the plan (and therefore may jeopardize the availability of the affirmative defense against insider trading allegations).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EXPLANATION OF INSIDER TRADING</w:t>
      </w:r>
    </w:p>
    <w:p>
      <w:pPr>
        <w:spacing w:after="0" w:line="203"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As noted above, “</w:t>
      </w:r>
      <w:r>
        <w:rPr>
          <w:rFonts w:ascii="Times New Roman" w:cs="Times New Roman" w:eastAsia="Times New Roman" w:hAnsi="Times New Roman"/>
          <w:sz w:val="18"/>
          <w:szCs w:val="18"/>
          <w:b w:val="1"/>
          <w:bCs w:val="1"/>
          <w:color w:val="auto"/>
        </w:rPr>
        <w:t>insider trading</w:t>
      </w:r>
      <w:r>
        <w:rPr>
          <w:rFonts w:ascii="Times New Roman" w:cs="Times New Roman" w:eastAsia="Times New Roman" w:hAnsi="Times New Roman"/>
          <w:sz w:val="18"/>
          <w:szCs w:val="18"/>
          <w:color w:val="auto"/>
        </w:rPr>
        <w:t>” refers to the purchase or sale of a security while in possession of “material” “non-public” information relating to the security. “Securities” include not only stocks, bonds, notes and debentures, but also options, warrants and similar instruments. “Purchase” and “sale” are defined broadly under the U.S. federal securities laws. “Purchase” includes not only the actual purchase of a security, but any contract to purchase or otherwise acquire a security. “Sale” includes not only the actual sale of a security, but any contract to sell or otherwise dispose of a security. These definitions extend to a broad range of transactions, including conventional cash-for-stock transactions, the grant and exercise of stock options and acquisitions and exercises of warrants or puts, calls or other options related to a security. It is generally understood that “</w:t>
      </w:r>
      <w:r>
        <w:rPr>
          <w:rFonts w:ascii="Times New Roman" w:cs="Times New Roman" w:eastAsia="Times New Roman" w:hAnsi="Times New Roman"/>
          <w:sz w:val="18"/>
          <w:szCs w:val="18"/>
          <w:b w:val="1"/>
          <w:bCs w:val="1"/>
          <w:color w:val="auto"/>
        </w:rPr>
        <w:t>insider trading</w:t>
      </w:r>
      <w:r>
        <w:rPr>
          <w:rFonts w:ascii="Times New Roman" w:cs="Times New Roman" w:eastAsia="Times New Roman" w:hAnsi="Times New Roman"/>
          <w:sz w:val="18"/>
          <w:szCs w:val="18"/>
          <w:color w:val="auto"/>
        </w:rPr>
        <w:t>” includes the following:</w:t>
      </w:r>
    </w:p>
    <w:p>
      <w:pPr>
        <w:spacing w:after="0" w:line="92" w:lineRule="exact"/>
        <w:rPr>
          <w:sz w:val="20"/>
          <w:szCs w:val="20"/>
          <w:color w:val="auto"/>
        </w:rPr>
      </w:pPr>
    </w:p>
    <w:p>
      <w:pPr>
        <w:ind w:left="5460" w:right="4640" w:hanging="4924"/>
        <w:spacing w:after="0" w:line="367" w:lineRule="auto"/>
        <w:tabs>
          <w:tab w:leader="none" w:pos="969" w:val="left"/>
        </w:tabs>
        <w:numPr>
          <w:ilvl w:val="0"/>
          <w:numId w:val="2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trading by insiders while in possession of material non-public information; 4</w:t>
      </w:r>
    </w:p>
    <w:p>
      <w:pPr>
        <w:sectPr>
          <w:pgSz w:w="11900" w:h="16838" w:orient="portrait"/>
          <w:cols w:equalWidth="0" w:num="1">
            <w:col w:w="10980"/>
          </w:cols>
          <w:pgMar w:left="440" w:top="266" w:right="479" w:bottom="1440" w:gutter="0" w:footer="0" w:header="0"/>
        </w:sectPr>
      </w:pPr>
    </w:p>
    <w:bookmarkStart w:id="335" w:name="page336"/>
    <w:bookmarkEnd w:id="335"/>
    <w:p>
      <w:pPr>
        <w:ind w:left="960" w:right="100" w:hanging="424"/>
        <w:spacing w:after="0" w:line="282" w:lineRule="auto"/>
        <w:tabs>
          <w:tab w:leader="none" w:pos="96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trading by persons other than insiders while in possession of material non-public information where the information either was given in breach of an insider’s fiduciary duty to keep it confidential or was misappropriated; and</w:t>
      </w:r>
    </w:p>
    <w:p>
      <w:pPr>
        <w:spacing w:after="0" w:line="67"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communicating or tipping material non-public information to others, including recommending the purchase or sale of a security while in possession of material non-public information.</w:t>
      </w:r>
    </w:p>
    <w:p>
      <w:pPr>
        <w:spacing w:after="0" w:line="162"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As noted above, for purposes of this Statement, the terms “purchase” and “sell” of securities exclude the acceptance of options or other share-based awards granted by the Company and the exercise of options or vesting of other share-based awards that does not involve the sale of securities. Among other things, the cashless exercise of options does involve the sale of securities and therefore is subject to the Policy.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What Facts are Material?</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materiality of a fact depends upon the circumstances. A fact is considered “material” if there is a substantial likelihood that a reasonable investor would consider it important in making a decision to buy, sell or hold a security or where the fact is likely to have a significant effect on the market price of the securities. Information may be material even if it relates to future, speculative or contingent events and even if it is significant only when considered in combination with publicly available information. Material information can be positive or negative and can relate to virtually any aspect of a company’s business or to any type of security, debt or equity.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Examples of material information include (but are not limited to) information concerning:</w:t>
      </w:r>
    </w:p>
    <w:p>
      <w:pPr>
        <w:spacing w:after="0" w:line="131" w:lineRule="exact"/>
        <w:rPr>
          <w:sz w:val="20"/>
          <w:szCs w:val="20"/>
          <w:color w:val="auto"/>
        </w:rPr>
      </w:pPr>
    </w:p>
    <w:p>
      <w:pPr>
        <w:ind w:left="960" w:hanging="424"/>
        <w:spacing w:after="0"/>
        <w:tabs>
          <w:tab w:leader="none" w:pos="96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earnings or earnings forecasts, or changes to previously released earnings announcements or guidance;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condition or asset value;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negotiations for the mergers or acquisitions or dispositions of significant subsidiaries or assets;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new contracts or the loss of a significant contract;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new products or services;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marketing plans or changes in such plans;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investment plans or changes in such plans;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20"/>
          </w:cols>
          <w:pgMar w:left="440" w:top="270" w:right="639" w:bottom="1440" w:gutter="0" w:footer="0" w:header="0"/>
        </w:sectPr>
      </w:pPr>
    </w:p>
    <w:bookmarkStart w:id="336" w:name="page337"/>
    <w:bookmarkEnd w:id="336"/>
    <w:p>
      <w:pPr>
        <w:ind w:left="960" w:right="60" w:hanging="424"/>
        <w:spacing w:after="0" w:line="282" w:lineRule="auto"/>
        <w:tabs>
          <w:tab w:leader="none" w:pos="96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material litigation, administrative action or governmental investigations or inquiries about the Company, any of its affiliated companies, or any of its officers or directors;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borrowings or financings;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on borrowings;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equity or debt offerings;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repurchase plans or amendment of existing repurchase plans;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personnel changes;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or risk that may adversely impact the Company’s business, reputation or share value;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methods and write-offs; and</w:t>
      </w:r>
    </w:p>
    <w:p>
      <w:pPr>
        <w:spacing w:after="0" w:line="130" w:lineRule="exact"/>
        <w:rPr>
          <w:rFonts w:ascii="Times New Roman" w:cs="Times New Roman" w:eastAsia="Times New Roman" w:hAnsi="Times New Roman"/>
          <w:sz w:val="18"/>
          <w:szCs w:val="18"/>
          <w:color w:val="auto"/>
        </w:rPr>
      </w:pPr>
    </w:p>
    <w:p>
      <w:pPr>
        <w:ind w:left="960" w:right="340" w:hanging="424"/>
        <w:spacing w:after="0" w:line="282" w:lineRule="auto"/>
        <w:tabs>
          <w:tab w:leader="none" w:pos="96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substantial change in industry circumstances or competitive conditions which could significantly affect the Company’s earnings or prospects for expansion.</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A good general rule of thumb: </w:t>
      </w:r>
      <w:r>
        <w:rPr>
          <w:rFonts w:ascii="Times New Roman" w:cs="Times New Roman" w:eastAsia="Times New Roman" w:hAnsi="Times New Roman"/>
          <w:sz w:val="18"/>
          <w:szCs w:val="18"/>
          <w:b w:val="1"/>
          <w:bCs w:val="1"/>
          <w:color w:val="auto"/>
        </w:rPr>
        <w:t>when in doubt, do not trade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What is Non-public?</w:t>
      </w:r>
    </w:p>
    <w:p>
      <w:pPr>
        <w:spacing w:after="0" w:line="221" w:lineRule="exact"/>
        <w:rPr>
          <w:sz w:val="20"/>
          <w:szCs w:val="20"/>
          <w:color w:val="auto"/>
        </w:rPr>
      </w:pPr>
    </w:p>
    <w:p>
      <w:pPr>
        <w:ind w:right="260" w:firstLine="440"/>
        <w:spacing w:after="0" w:line="262" w:lineRule="auto"/>
        <w:rPr>
          <w:sz w:val="20"/>
          <w:szCs w:val="20"/>
          <w:color w:val="auto"/>
        </w:rPr>
      </w:pPr>
      <w:r>
        <w:rPr>
          <w:rFonts w:ascii="Times New Roman" w:cs="Times New Roman" w:eastAsia="Times New Roman" w:hAnsi="Times New Roman"/>
          <w:sz w:val="18"/>
          <w:szCs w:val="18"/>
          <w:color w:val="auto"/>
        </w:rPr>
        <w:t>Information is “</w:t>
      </w:r>
      <w:r>
        <w:rPr>
          <w:rFonts w:ascii="Times New Roman" w:cs="Times New Roman" w:eastAsia="Times New Roman" w:hAnsi="Times New Roman"/>
          <w:sz w:val="18"/>
          <w:szCs w:val="18"/>
          <w:b w:val="1"/>
          <w:bCs w:val="1"/>
          <w:color w:val="auto"/>
        </w:rPr>
        <w:t>non-public</w:t>
      </w:r>
      <w:r>
        <w:rPr>
          <w:rFonts w:ascii="Times New Roman" w:cs="Times New Roman" w:eastAsia="Times New Roman" w:hAnsi="Times New Roman"/>
          <w:sz w:val="18"/>
          <w:szCs w:val="18"/>
          <w:color w:val="auto"/>
        </w:rPr>
        <w:t>” if it is not available to the general public. In order for information to be considered public, it must be widely disseminated in a manner making it generally available to investors through such media as Dow Jones, Reuters Economic Services, The Wall Street Journal, Bloomberg, Associated Press, PR Newswire or United Press International. Circulation of rumors, even if accurate and reported in the media, does not constitute effective public dissemination.</w:t>
      </w:r>
    </w:p>
    <w:p>
      <w:pPr>
        <w:spacing w:after="0" w:line="180" w:lineRule="exact"/>
        <w:rPr>
          <w:sz w:val="20"/>
          <w:szCs w:val="20"/>
          <w:color w:val="auto"/>
        </w:rPr>
      </w:pPr>
    </w:p>
    <w:p>
      <w:pPr>
        <w:ind w:right="540" w:firstLine="440"/>
        <w:spacing w:after="0" w:line="266" w:lineRule="auto"/>
        <w:rPr>
          <w:sz w:val="20"/>
          <w:szCs w:val="20"/>
          <w:color w:val="auto"/>
        </w:rPr>
      </w:pPr>
      <w:r>
        <w:rPr>
          <w:rFonts w:ascii="Times New Roman" w:cs="Times New Roman" w:eastAsia="Times New Roman" w:hAnsi="Times New Roman"/>
          <w:sz w:val="18"/>
          <w:szCs w:val="18"/>
          <w:color w:val="auto"/>
        </w:rPr>
        <w:t>In addition, even after a public announcement, a reasonable period of time must lapse in order for the market to react to the information. Generally, one should allow approximately forty-eight (48) hours following publication as a reasonable waiting period before such information is deemed to be public.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Who is an Insider?</w:t>
      </w:r>
    </w:p>
    <w:p>
      <w:pPr>
        <w:spacing w:after="0" w:line="221"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Insiders</w:t>
      </w:r>
      <w:r>
        <w:rPr>
          <w:rFonts w:ascii="Times New Roman" w:cs="Times New Roman" w:eastAsia="Times New Roman" w:hAnsi="Times New Roman"/>
          <w:sz w:val="18"/>
          <w:szCs w:val="18"/>
          <w:color w:val="auto"/>
        </w:rPr>
        <w:t>” include directors, officers, employees and consultants of a company and anyone else who has material non-public information about a company. Insiders have independent fiduciary duties to their company and its shareholders not to trade on material non-public information relating to the company’s securities. All directors, officers, employees and consultants of the Company are considered insiders with respect to material non-public information about business, activities and securities of the Company. The directors, officers, employees and consultants of the Company may not trade the Company’s securities while in possession of material non-public information relating to the Company or tip (or communicate except on a need-to-know basis) such information to others.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337" w:name="page338"/>
    <w:bookmarkEnd w:id="337"/>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should be noted that trading by household members of a director, officer, employee or consultant can be the responsibility of such director, officer, employee or consultant under certain circumstances and could give rise to legal and Company-imposed sanctions.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Trading by Persons Other than Insiders</w:t>
      </w:r>
    </w:p>
    <w:p>
      <w:pPr>
        <w:spacing w:after="0" w:line="221"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Insiders may be liable for communicating or tipping material non-public information to a third party (a “</w:t>
      </w:r>
      <w:r>
        <w:rPr>
          <w:rFonts w:ascii="Times New Roman" w:cs="Times New Roman" w:eastAsia="Times New Roman" w:hAnsi="Times New Roman"/>
          <w:sz w:val="18"/>
          <w:szCs w:val="18"/>
          <w:b w:val="1"/>
          <w:bCs w:val="1"/>
          <w:color w:val="auto"/>
        </w:rPr>
        <w:t>tippee</w:t>
      </w:r>
      <w:r>
        <w:rPr>
          <w:rFonts w:ascii="Times New Roman" w:cs="Times New Roman" w:eastAsia="Times New Roman" w:hAnsi="Times New Roman"/>
          <w:sz w:val="18"/>
          <w:szCs w:val="18"/>
          <w:color w:val="auto"/>
        </w:rPr>
        <w:t>”), and insider trading violations are not limited to trading or tipping by insiders. Persons other than insiders also can be liable for insider trading, including tippees who trade on material non-public information tipped to them or individuals who trade on material non-public information which has been misappropriated.</w:t>
      </w:r>
    </w:p>
    <w:p>
      <w:pPr>
        <w:spacing w:after="0" w:line="175"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Tippees inherit an insider’s duties and are liable for trading on material non-public information tipped to them by an insider. Similarly, just as insiders are liable for the insider trading of their tippees, so are tippees who pass the material non-public information along to others who trade on such information.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Penalties for Engaging in Insider Trading</w:t>
      </w:r>
    </w:p>
    <w:p>
      <w:pPr>
        <w:spacing w:after="0" w:line="225"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Penalties for trading on or tipping material non-public information can extend significantly beyond any profits made or losses avoided, both for individuals engaging in the unlawful conduct and their employers. The United States Securities and Exchange Commission and the United States Department of Justice have made the civil and criminal prosecution of insider trading violations a top priority. Enforcement remedies available to the government or private plaintiffs under the U.S. federal securities laws include:</w:t>
      </w:r>
    </w:p>
    <w:p>
      <w:pPr>
        <w:spacing w:after="0" w:line="85" w:lineRule="exact"/>
        <w:rPr>
          <w:sz w:val="20"/>
          <w:szCs w:val="20"/>
          <w:color w:val="auto"/>
        </w:rPr>
      </w:pPr>
    </w:p>
    <w:p>
      <w:pPr>
        <w:ind w:left="960" w:hanging="424"/>
        <w:spacing w:after="0"/>
        <w:tabs>
          <w:tab w:leader="none" w:pos="96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sanctions;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by self-regulatory organizations in the securities industry;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injunctions;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awards to private plaintiffs;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disgorgement of profits gained by the violator;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fines for the violator of up to three times the amount of profit gained or loss avoided by the violator;</w:t>
      </w:r>
    </w:p>
    <w:p>
      <w:pPr>
        <w:spacing w:after="0" w:line="130" w:lineRule="exact"/>
        <w:rPr>
          <w:rFonts w:ascii="Times New Roman" w:cs="Times New Roman" w:eastAsia="Times New Roman" w:hAnsi="Times New Roman"/>
          <w:sz w:val="18"/>
          <w:szCs w:val="18"/>
          <w:color w:val="auto"/>
        </w:rPr>
      </w:pPr>
    </w:p>
    <w:p>
      <w:pPr>
        <w:ind w:left="960" w:right="120" w:hanging="424"/>
        <w:spacing w:after="0" w:line="282" w:lineRule="auto"/>
        <w:tabs>
          <w:tab w:leader="none" w:pos="96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fines for the employer or other controlling person of a violator (i.e., where the violator is an employee or other controlled person) of up to the greater of approximately US$2,500,000 or three times the amount of profit gained or loss avoided by the violator;</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fines for individual violators of up to US$5,000,000 (US$25,000,000 for an entity);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jail sentences of up to 20 years.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270" w:right="499" w:bottom="1440" w:gutter="0" w:footer="0" w:header="0"/>
        </w:sectPr>
      </w:pPr>
    </w:p>
    <w:bookmarkStart w:id="338" w:name="page339"/>
    <w:bookmarkEnd w:id="338"/>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insider trading could result in serious sanctions by the Company, including immediate dismissal. Insider trading violations are not limited to violations of the U.S. federal securities laws. Other U.S. federal and state civil or criminal laws, such as the laws prohibiting mail and wire fraud and the Racketeer Influenced and Corrupt Organizations Act (RICO), also may be violated upon the occurrence of insider trading.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Material Non-public Information Regarding Other Companies</w:t>
      </w:r>
    </w:p>
    <w:p>
      <w:pPr>
        <w:spacing w:after="0" w:line="225"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This Policy and the guidelines described herein also apply to material non-public information relating to other companies, including the Company’s customers, vendors and suppliers (“</w:t>
      </w:r>
      <w:r>
        <w:rPr>
          <w:rFonts w:ascii="Times New Roman" w:cs="Times New Roman" w:eastAsia="Times New Roman" w:hAnsi="Times New Roman"/>
          <w:sz w:val="17"/>
          <w:szCs w:val="17"/>
          <w:b w:val="1"/>
          <w:bCs w:val="1"/>
          <w:color w:val="auto"/>
        </w:rPr>
        <w:t>Business Partners</w:t>
      </w:r>
      <w:r>
        <w:rPr>
          <w:rFonts w:ascii="Times New Roman" w:cs="Times New Roman" w:eastAsia="Times New Roman" w:hAnsi="Times New Roman"/>
          <w:sz w:val="17"/>
          <w:szCs w:val="17"/>
          <w:color w:val="auto"/>
        </w:rPr>
        <w:t>”), particularly when that information is obtained in the course of employment with, or other services performed by, or on behalf of, the Company. Civil and criminal penalties, and discipline, including termination of employment for cause, may result from trading on material non-public information regarding the Company’s Business Partners. Each individual should treat material non-public information about the Company’s Business Partners with the same care required with respect to information related directly to the Company.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Individual Responsibility</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Each person subject to this Policy is individually responsible for complying with this Policy and ensuring the compliance of any family members, such as spouses, minor children, adult family members who share the same household, and any other person or entity whose securities trading decisions are influenced or controlled by the person whose transactions are subject to this Policy. Accordingly, you should make your family and household members aware of the need to confer with you before they trade in the Company’s securities, and you should treat all such transactions for the purposes of this Policy and applicable securities laws concerning trading while in possession of material non-public information as if the transactions were for your own account.</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70" w:right="499" w:bottom="1440" w:gutter="0" w:footer="0" w:header="0"/>
        </w:sectPr>
      </w:pPr>
    </w:p>
    <w:bookmarkStart w:id="339" w:name="page340"/>
    <w:bookmarkEnd w:id="339"/>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Tony Xu Han, certify that:</w:t>
      </w:r>
    </w:p>
    <w:p>
      <w:pPr>
        <w:spacing w:after="0" w:line="131" w:lineRule="exact"/>
        <w:rPr>
          <w:sz w:val="20"/>
          <w:szCs w:val="20"/>
          <w:color w:val="auto"/>
        </w:rPr>
      </w:pPr>
    </w:p>
    <w:p>
      <w:pPr>
        <w:ind w:left="960" w:hanging="532"/>
        <w:spacing w:after="0"/>
        <w:tabs>
          <w:tab w:leader="none" w:pos="96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WeRide Inc. (the “Company”);</w:t>
      </w:r>
    </w:p>
    <w:p>
      <w:pPr>
        <w:spacing w:after="0" w:line="130" w:lineRule="exact"/>
        <w:rPr>
          <w:rFonts w:ascii="Times New Roman" w:cs="Times New Roman" w:eastAsia="Times New Roman" w:hAnsi="Times New Roman"/>
          <w:sz w:val="18"/>
          <w:szCs w:val="18"/>
          <w:color w:val="auto"/>
        </w:rPr>
      </w:pPr>
    </w:p>
    <w:p>
      <w:pPr>
        <w:ind w:left="960" w:right="60" w:hanging="532"/>
        <w:spacing w:after="0" w:line="266" w:lineRule="auto"/>
        <w:tabs>
          <w:tab w:leader="none" w:pos="96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960" w:right="320" w:hanging="532"/>
        <w:spacing w:after="0" w:line="312" w:lineRule="auto"/>
        <w:tabs>
          <w:tab w:leader="none" w:pos="960" w:val="left"/>
        </w:tabs>
        <w:numPr>
          <w:ilvl w:val="0"/>
          <w:numId w:val="3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5" w:lineRule="exact"/>
        <w:rPr>
          <w:rFonts w:ascii="Times New Roman" w:cs="Times New Roman" w:eastAsia="Times New Roman" w:hAnsi="Times New Roman"/>
          <w:sz w:val="17"/>
          <w:szCs w:val="17"/>
          <w:color w:val="auto"/>
        </w:rPr>
      </w:pPr>
    </w:p>
    <w:p>
      <w:pPr>
        <w:ind w:left="960" w:right="520" w:hanging="532"/>
        <w:spacing w:after="0" w:line="282" w:lineRule="auto"/>
        <w:tabs>
          <w:tab w:leader="none" w:pos="96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67" w:lineRule="exact"/>
        <w:rPr>
          <w:rFonts w:ascii="Times New Roman" w:cs="Times New Roman" w:eastAsia="Times New Roman" w:hAnsi="Times New Roman"/>
          <w:sz w:val="18"/>
          <w:szCs w:val="18"/>
          <w:color w:val="auto"/>
        </w:rPr>
      </w:pPr>
    </w:p>
    <w:p>
      <w:pPr>
        <w:ind w:left="1420" w:hanging="439"/>
        <w:spacing w:after="0" w:line="266" w:lineRule="auto"/>
        <w:tabs>
          <w:tab w:leader="none" w:pos="1420"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130" w:lineRule="exact"/>
        <w:rPr>
          <w:rFonts w:ascii="Times New Roman" w:cs="Times New Roman" w:eastAsia="Times New Roman" w:hAnsi="Times New Roman"/>
          <w:sz w:val="18"/>
          <w:szCs w:val="18"/>
          <w:color w:val="auto"/>
        </w:rPr>
      </w:pPr>
    </w:p>
    <w:p>
      <w:pPr>
        <w:ind w:left="1420" w:right="160" w:hanging="439"/>
        <w:spacing w:after="0" w:line="266" w:lineRule="auto"/>
        <w:tabs>
          <w:tab w:leader="none" w:pos="1420"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8"/>
          <w:szCs w:val="18"/>
          <w:color w:val="auto"/>
        </w:rPr>
      </w:pPr>
    </w:p>
    <w:p>
      <w:pPr>
        <w:ind w:left="1420" w:right="140" w:hanging="439"/>
        <w:spacing w:after="0" w:line="266" w:lineRule="auto"/>
        <w:tabs>
          <w:tab w:leader="none" w:pos="1420"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ectPr>
          <w:pgSz w:w="11900" w:h="16838" w:orient="portrait"/>
          <w:cols w:equalWidth="0" w:num="1">
            <w:col w:w="11020"/>
          </w:cols>
          <w:pgMar w:left="440" w:top="117" w:right="439" w:bottom="1440" w:gutter="0" w:footer="0" w:header="0"/>
        </w:sectPr>
      </w:pPr>
    </w:p>
    <w:bookmarkStart w:id="340" w:name="page341"/>
    <w:bookmarkEnd w:id="340"/>
    <w:p>
      <w:pPr>
        <w:ind w:left="960" w:right="100" w:hanging="532"/>
        <w:spacing w:after="0" w:line="266" w:lineRule="auto"/>
        <w:tabs>
          <w:tab w:leader="none" w:pos="96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81" w:lineRule="exact"/>
        <w:rPr>
          <w:rFonts w:ascii="Times New Roman" w:cs="Times New Roman" w:eastAsia="Times New Roman" w:hAnsi="Times New Roman"/>
          <w:sz w:val="18"/>
          <w:szCs w:val="18"/>
          <w:color w:val="auto"/>
        </w:rPr>
      </w:pPr>
    </w:p>
    <w:p>
      <w:pPr>
        <w:ind w:left="1420" w:hanging="439"/>
        <w:spacing w:after="0" w:line="282" w:lineRule="auto"/>
        <w:tabs>
          <w:tab w:leader="none" w:pos="142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420" w:right="260" w:hanging="439"/>
        <w:spacing w:after="0" w:line="282" w:lineRule="auto"/>
        <w:tabs>
          <w:tab w:leader="none" w:pos="142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March 25, 2025</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Tony Xu Han</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Tony Xu Han</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00"/>
          </w:cols>
          <w:pgMar w:left="440" w:top="270" w:right="559" w:bottom="1440" w:gutter="0" w:footer="0" w:header="0"/>
        </w:sectPr>
      </w:pPr>
    </w:p>
    <w:bookmarkStart w:id="341" w:name="page342"/>
    <w:bookmarkEnd w:id="341"/>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Jennifer Xuan Li, certify that:</w:t>
      </w:r>
    </w:p>
    <w:p>
      <w:pPr>
        <w:spacing w:after="0" w:line="131" w:lineRule="exact"/>
        <w:rPr>
          <w:sz w:val="20"/>
          <w:szCs w:val="20"/>
          <w:color w:val="auto"/>
        </w:rPr>
      </w:pPr>
    </w:p>
    <w:p>
      <w:pPr>
        <w:ind w:left="960" w:hanging="532"/>
        <w:spacing w:after="0"/>
        <w:tabs>
          <w:tab w:leader="none" w:pos="96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WeRide Inc. (the “Company”);</w:t>
      </w:r>
    </w:p>
    <w:p>
      <w:pPr>
        <w:spacing w:after="0" w:line="130" w:lineRule="exact"/>
        <w:rPr>
          <w:rFonts w:ascii="Times New Roman" w:cs="Times New Roman" w:eastAsia="Times New Roman" w:hAnsi="Times New Roman"/>
          <w:sz w:val="18"/>
          <w:szCs w:val="18"/>
          <w:color w:val="auto"/>
        </w:rPr>
      </w:pPr>
    </w:p>
    <w:p>
      <w:pPr>
        <w:ind w:left="960" w:right="60" w:hanging="532"/>
        <w:spacing w:after="0" w:line="266" w:lineRule="auto"/>
        <w:tabs>
          <w:tab w:leader="none" w:pos="96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960" w:right="320" w:hanging="532"/>
        <w:spacing w:after="0" w:line="312" w:lineRule="auto"/>
        <w:tabs>
          <w:tab w:leader="none" w:pos="960" w:val="left"/>
        </w:tabs>
        <w:numPr>
          <w:ilvl w:val="0"/>
          <w:numId w:val="3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5" w:lineRule="exact"/>
        <w:rPr>
          <w:rFonts w:ascii="Times New Roman" w:cs="Times New Roman" w:eastAsia="Times New Roman" w:hAnsi="Times New Roman"/>
          <w:sz w:val="17"/>
          <w:szCs w:val="17"/>
          <w:color w:val="auto"/>
        </w:rPr>
      </w:pPr>
    </w:p>
    <w:p>
      <w:pPr>
        <w:ind w:left="960" w:right="520" w:hanging="532"/>
        <w:spacing w:after="0" w:line="282" w:lineRule="auto"/>
        <w:tabs>
          <w:tab w:leader="none" w:pos="96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67" w:lineRule="exact"/>
        <w:rPr>
          <w:rFonts w:ascii="Times New Roman" w:cs="Times New Roman" w:eastAsia="Times New Roman" w:hAnsi="Times New Roman"/>
          <w:sz w:val="18"/>
          <w:szCs w:val="18"/>
          <w:color w:val="auto"/>
        </w:rPr>
      </w:pPr>
    </w:p>
    <w:p>
      <w:pPr>
        <w:ind w:left="1420" w:hanging="439"/>
        <w:spacing w:after="0" w:line="266" w:lineRule="auto"/>
        <w:tabs>
          <w:tab w:leader="none" w:pos="1420"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130" w:lineRule="exact"/>
        <w:rPr>
          <w:rFonts w:ascii="Times New Roman" w:cs="Times New Roman" w:eastAsia="Times New Roman" w:hAnsi="Times New Roman"/>
          <w:sz w:val="18"/>
          <w:szCs w:val="18"/>
          <w:color w:val="auto"/>
        </w:rPr>
      </w:pPr>
    </w:p>
    <w:p>
      <w:pPr>
        <w:ind w:left="1420" w:right="160" w:hanging="439"/>
        <w:spacing w:after="0" w:line="266" w:lineRule="auto"/>
        <w:tabs>
          <w:tab w:leader="none" w:pos="1420"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8"/>
          <w:szCs w:val="18"/>
          <w:color w:val="auto"/>
        </w:rPr>
      </w:pPr>
    </w:p>
    <w:p>
      <w:pPr>
        <w:ind w:left="1420" w:right="140" w:hanging="439"/>
        <w:spacing w:after="0" w:line="266" w:lineRule="auto"/>
        <w:tabs>
          <w:tab w:leader="none" w:pos="1420"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ectPr>
          <w:pgSz w:w="11900" w:h="16838" w:orient="portrait"/>
          <w:cols w:equalWidth="0" w:num="1">
            <w:col w:w="11020"/>
          </w:cols>
          <w:pgMar w:left="440" w:top="117" w:right="439" w:bottom="1440" w:gutter="0" w:footer="0" w:header="0"/>
        </w:sectPr>
      </w:pPr>
    </w:p>
    <w:bookmarkStart w:id="342" w:name="page343"/>
    <w:bookmarkEnd w:id="342"/>
    <w:p>
      <w:pPr>
        <w:ind w:left="960" w:right="100" w:hanging="532"/>
        <w:spacing w:after="0" w:line="266" w:lineRule="auto"/>
        <w:tabs>
          <w:tab w:leader="none" w:pos="96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81" w:lineRule="exact"/>
        <w:rPr>
          <w:rFonts w:ascii="Times New Roman" w:cs="Times New Roman" w:eastAsia="Times New Roman" w:hAnsi="Times New Roman"/>
          <w:sz w:val="18"/>
          <w:szCs w:val="18"/>
          <w:color w:val="auto"/>
        </w:rPr>
      </w:pPr>
    </w:p>
    <w:p>
      <w:pPr>
        <w:ind w:left="1420" w:hanging="439"/>
        <w:spacing w:after="0" w:line="282" w:lineRule="auto"/>
        <w:tabs>
          <w:tab w:leader="none" w:pos="1420"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420" w:right="260" w:hanging="439"/>
        <w:spacing w:after="0" w:line="282" w:lineRule="auto"/>
        <w:tabs>
          <w:tab w:leader="none" w:pos="1420"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March 25, 2025</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Jennifer Xuan Li</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Jenniefer Xuan Li</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0900"/>
          </w:cols>
          <w:pgMar w:left="440" w:top="270" w:right="559" w:bottom="1440" w:gutter="0" w:footer="0" w:header="0"/>
        </w:sectPr>
      </w:pPr>
    </w:p>
    <w:bookmarkStart w:id="343" w:name="page344"/>
    <w:bookmarkEnd w:id="343"/>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WeRide Inc. (the “Company”) on Form 20-F for the year ended December 31, 2024 as filed with the Securities and Exchange Commission on the date hereof (the “Report”), I, Tony Xu Han, Chief Executive Officer of the Company, certify, pursuant to 18 U.S.C. Section 1350, as adopted pursuant to Section 906 of the Sarbanes-Oxley Act of 2002, that to my knowledge:</w:t>
      </w:r>
    </w:p>
    <w:p>
      <w:pPr>
        <w:spacing w:after="0" w:line="81" w:lineRule="exact"/>
        <w:rPr>
          <w:sz w:val="20"/>
          <w:szCs w:val="20"/>
          <w:color w:val="auto"/>
        </w:rPr>
      </w:pPr>
    </w:p>
    <w:p>
      <w:pPr>
        <w:ind w:left="960" w:hanging="532"/>
        <w:spacing w:after="0"/>
        <w:tabs>
          <w:tab w:leader="none" w:pos="96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960" w:right="380" w:hanging="532"/>
        <w:spacing w:after="0" w:line="282" w:lineRule="auto"/>
        <w:tabs>
          <w:tab w:leader="none" w:pos="96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March 25, 2025</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Tony Xu Han</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Tony Xu Han</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117" w:right="439" w:bottom="1440" w:gutter="0" w:footer="0" w:header="0"/>
        </w:sectPr>
      </w:pPr>
    </w:p>
    <w:bookmarkStart w:id="344" w:name="page345"/>
    <w:bookmarkEnd w:id="344"/>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In connection with the annual report of WeRide Inc. (the “Company”) on Form 20-F for the year ended December 31, 2024 as filed with the</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Securities and Exchange Commission on the date hereof (the “Report”), I, Jennifer Xuan Li, Chief Financial Officer of the Company, certify, pursuant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U.S.C. Section 1350, as adopted pursuant to Section 906 of the Sarbanes-Oxley Act of 2002, that to my knowledge:</w:t>
      </w:r>
    </w:p>
    <w:p>
      <w:pPr>
        <w:spacing w:after="0" w:line="112" w:lineRule="exact"/>
        <w:rPr>
          <w:sz w:val="20"/>
          <w:szCs w:val="20"/>
          <w:color w:val="auto"/>
        </w:rPr>
      </w:pPr>
    </w:p>
    <w:p>
      <w:pPr>
        <w:ind w:left="960" w:hanging="532"/>
        <w:spacing w:after="0"/>
        <w:tabs>
          <w:tab w:leader="none" w:pos="96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960" w:right="380" w:hanging="532"/>
        <w:spacing w:after="0" w:line="282" w:lineRule="auto"/>
        <w:tabs>
          <w:tab w:leader="none" w:pos="96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March 25, 2025</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Jennifer Xuan Li</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Jennifer Xuan Li</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117" w:right="439" w:bottom="1440" w:gutter="0" w:footer="0" w:header="0"/>
        </w:sectPr>
      </w:pPr>
    </w:p>
    <w:bookmarkStart w:id="345" w:name="page346"/>
    <w:bookmarkEnd w:id="345"/>
    <w:p>
      <w:pPr>
        <w:ind w:left="10084"/>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2391410</wp:posOffset>
            </wp:positionH>
            <wp:positionV relativeFrom="paragraph">
              <wp:posOffset>173990</wp:posOffset>
            </wp:positionV>
            <wp:extent cx="2219960" cy="3429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0">
                      <a:extLst>
                        <a:ext uri="{28A0092B-C50C-407E-A947-70E740481C1C}"/>
                      </a:extLst>
                    </a:blip>
                    <a:srcRect/>
                    <a:stretch>
                      <a:fillRect/>
                    </a:stretch>
                  </pic:blipFill>
                  <pic:spPr bwMode="auto">
                    <a:xfrm>
                      <a:off x="0" y="0"/>
                      <a:ext cx="221996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
        <w:spacing w:after="0" w:line="207" w:lineRule="exact"/>
        <w:rPr>
          <w:sz w:val="20"/>
          <w:szCs w:val="20"/>
          <w:color w:val="auto"/>
        </w:rPr>
      </w:pPr>
      <w:r>
        <w:rPr>
          <w:rFonts w:ascii="SimSun" w:cs="SimSun" w:eastAsia="SimSun" w:hAnsi="SimSun"/>
          <w:sz w:val="16"/>
          <w:szCs w:val="16"/>
          <w:color w:val="auto"/>
          <w:highlight w:val="black"/>
        </w:rPr>
        <w:t>中国上海市南京西路</w:t>
      </w:r>
      <w:r>
        <w:rPr>
          <w:rFonts w:ascii="Times New Roman" w:cs="Times New Roman" w:eastAsia="Times New Roman" w:hAnsi="Times New Roman"/>
          <w:sz w:val="18"/>
          <w:szCs w:val="18"/>
          <w:color w:val="auto"/>
        </w:rPr>
        <w:t>1515</w:t>
      </w:r>
      <w:r>
        <w:rPr>
          <w:rFonts w:ascii="SimSun" w:cs="SimSun" w:eastAsia="SimSun" w:hAnsi="SimSun"/>
          <w:sz w:val="16"/>
          <w:szCs w:val="16"/>
          <w:color w:val="auto"/>
          <w:highlight w:val="black"/>
        </w:rPr>
        <w:t>号静安嘉里中心一座</w:t>
      </w:r>
      <w:r>
        <w:rPr>
          <w:rFonts w:ascii="Times New Roman" w:cs="Times New Roman" w:eastAsia="Times New Roman" w:hAnsi="Times New Roman"/>
          <w:sz w:val="18"/>
          <w:szCs w:val="18"/>
          <w:color w:val="auto"/>
        </w:rPr>
        <w:t xml:space="preserve"> 10</w:t>
      </w:r>
      <w:r>
        <w:rPr>
          <w:rFonts w:ascii="SimSun" w:cs="SimSun" w:eastAsia="SimSun" w:hAnsi="SimSun"/>
          <w:sz w:val="16"/>
          <w:szCs w:val="16"/>
          <w:color w:val="auto"/>
        </w:rPr>
        <w:t>层</w:t>
      </w:r>
      <w:r>
        <w:rPr>
          <w:rFonts w:ascii="Times New Roman" w:cs="Times New Roman" w:eastAsia="Times New Roman" w:hAnsi="Times New Roman"/>
          <w:sz w:val="18"/>
          <w:szCs w:val="18"/>
          <w:color w:val="auto"/>
        </w:rPr>
        <w:t xml:space="preserve"> 200040</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10/F, Tower 1, Jing An Kerry Centre, 1515 West Nanjing Road, Shanghai 200040, China</w:t>
      </w:r>
    </w:p>
    <w:p>
      <w:pPr>
        <w:spacing w:after="0" w:line="23" w:lineRule="exact"/>
        <w:rPr>
          <w:sz w:val="20"/>
          <w:szCs w:val="20"/>
          <w:color w:val="auto"/>
        </w:rPr>
      </w:pPr>
    </w:p>
    <w:p>
      <w:pPr>
        <w:jc w:val="center"/>
        <w:ind w:right="-3"/>
        <w:spacing w:after="0" w:line="207" w:lineRule="exact"/>
        <w:rPr>
          <w:sz w:val="20"/>
          <w:szCs w:val="20"/>
          <w:color w:val="auto"/>
        </w:rPr>
      </w:pPr>
      <w:r>
        <w:rPr>
          <w:rFonts w:ascii="SimSun" w:cs="SimSun" w:eastAsia="SimSun" w:hAnsi="SimSun"/>
          <w:sz w:val="16"/>
          <w:szCs w:val="16"/>
          <w:color w:val="auto"/>
        </w:rPr>
        <w:t>电话</w:t>
      </w:r>
      <w:r>
        <w:rPr>
          <w:rFonts w:ascii="Times New Roman" w:cs="Times New Roman" w:eastAsia="Times New Roman" w:hAnsi="Times New Roman"/>
          <w:sz w:val="18"/>
          <w:szCs w:val="18"/>
          <w:color w:val="auto"/>
        </w:rPr>
        <w:t xml:space="preserve"> Tel: +86 21 6019 2600 </w:t>
      </w:r>
      <w:r>
        <w:rPr>
          <w:rFonts w:ascii="SimSun" w:cs="SimSun" w:eastAsia="SimSun" w:hAnsi="SimSun"/>
          <w:sz w:val="16"/>
          <w:szCs w:val="16"/>
          <w:color w:val="auto"/>
        </w:rPr>
        <w:t>传真</w:t>
      </w:r>
      <w:r>
        <w:rPr>
          <w:rFonts w:ascii="Times New Roman" w:cs="Times New Roman" w:eastAsia="Times New Roman" w:hAnsi="Times New Roman"/>
          <w:sz w:val="18"/>
          <w:szCs w:val="18"/>
          <w:color w:val="auto"/>
        </w:rPr>
        <w:t xml:space="preserve"> Fax: +86 21 6019 3278</w:t>
      </w:r>
    </w:p>
    <w:p>
      <w:pPr>
        <w:spacing w:after="0" w:line="9" w:lineRule="exact"/>
        <w:rPr>
          <w:sz w:val="20"/>
          <w:szCs w:val="20"/>
          <w:color w:val="auto"/>
        </w:rPr>
      </w:pPr>
    </w:p>
    <w:p>
      <w:pPr>
        <w:jc w:val="center"/>
        <w:ind w:right="-3"/>
        <w:spacing w:after="0" w:line="207" w:lineRule="exact"/>
        <w:rPr>
          <w:sz w:val="20"/>
          <w:szCs w:val="20"/>
          <w:color w:val="auto"/>
        </w:rPr>
      </w:pPr>
      <w:r>
        <w:rPr>
          <w:rFonts w:ascii="SimSun" w:cs="SimSun" w:eastAsia="SimSun" w:hAnsi="SimSun"/>
          <w:sz w:val="16"/>
          <w:szCs w:val="16"/>
          <w:color w:val="auto"/>
          <w:highlight w:val="black"/>
        </w:rPr>
        <w:t>电邮</w:t>
      </w:r>
      <w:r>
        <w:rPr>
          <w:rFonts w:ascii="Times New Roman" w:cs="Times New Roman" w:eastAsia="Times New Roman" w:hAnsi="Times New Roman"/>
          <w:sz w:val="18"/>
          <w:szCs w:val="18"/>
          <w:color w:val="auto"/>
        </w:rPr>
        <w:t xml:space="preserve"> Email: shanghai@tongshang.com </w:t>
      </w:r>
      <w:r>
        <w:rPr>
          <w:rFonts w:ascii="SimSun" w:cs="SimSun" w:eastAsia="SimSun" w:hAnsi="SimSun"/>
          <w:sz w:val="16"/>
          <w:szCs w:val="16"/>
          <w:color w:val="auto"/>
          <w:highlight w:val="black"/>
        </w:rPr>
        <w:t>网址</w:t>
      </w:r>
      <w:r>
        <w:rPr>
          <w:rFonts w:ascii="Times New Roman" w:cs="Times New Roman" w:eastAsia="Times New Roman" w:hAnsi="Times New Roman"/>
          <w:sz w:val="18"/>
          <w:szCs w:val="18"/>
          <w:color w:val="auto"/>
        </w:rPr>
        <w:t xml:space="preserve"> Web: www.tongshang.com</w:t>
      </w:r>
    </w:p>
    <w:p>
      <w:pPr>
        <w:spacing w:after="0" w:line="2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CONSENT LETTER</w:t>
      </w:r>
    </w:p>
    <w:p>
      <w:pPr>
        <w:spacing w:after="0" w:line="252"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To</w:t>
        <w:tab/>
        <w:t>WeRide Inc.</w:t>
      </w:r>
    </w:p>
    <w:p>
      <w:pPr>
        <w:spacing w:after="0" w:line="3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21st Floor, Tower A, Guanzhou Life Science Innovation Center</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 51, Luoxuan Road, Guangzhou International Biotech Island</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Guangzhou 510005</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25, 2025</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Sir/Madam:</w:t>
      </w:r>
    </w:p>
    <w:p>
      <w:pPr>
        <w:spacing w:after="0" w:line="117" w:lineRule="exact"/>
        <w:rPr>
          <w:sz w:val="20"/>
          <w:szCs w:val="20"/>
          <w:color w:val="auto"/>
        </w:rPr>
      </w:pPr>
    </w:p>
    <w:p>
      <w:pPr>
        <w:ind w:left="4" w:right="140"/>
        <w:spacing w:after="0" w:line="272" w:lineRule="auto"/>
        <w:rPr>
          <w:sz w:val="20"/>
          <w:szCs w:val="20"/>
          <w:color w:val="auto"/>
        </w:rPr>
      </w:pPr>
      <w:r>
        <w:rPr>
          <w:rFonts w:ascii="Times New Roman" w:cs="Times New Roman" w:eastAsia="Times New Roman" w:hAnsi="Times New Roman"/>
          <w:sz w:val="17"/>
          <w:szCs w:val="17"/>
          <w:color w:val="auto"/>
        </w:rPr>
        <w:t>We hereby consent to the references to our firm’s name under the headings “Item 3. Key Information - Permissions Required from the PRC Authorities for Our Operations”, “Item 3. Key Information - D. Risk Factors - Risks Related to Doing Business in Mainland China”, “Item 4. Information on the Company - B. Business Overview - Insurance”, “Item 6. Directors, Senior Management and Employees - Enforceability of Civil Liabilities” and “Item</w:t>
      </w:r>
    </w:p>
    <w:p>
      <w:pPr>
        <w:spacing w:after="0" w:line="2" w:lineRule="exact"/>
        <w:rPr>
          <w:sz w:val="20"/>
          <w:szCs w:val="20"/>
          <w:color w:val="auto"/>
        </w:rPr>
      </w:pPr>
    </w:p>
    <w:p>
      <w:pPr>
        <w:ind w:left="4" w:right="140" w:hanging="4"/>
        <w:spacing w:after="0" w:line="255" w:lineRule="auto"/>
        <w:tabs>
          <w:tab w:leader="none" w:pos="274"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Information - E. Taxation” in WeRide Inc.’s annual report on Form 20-F for the year ended December 31, 2024 (the “</w:t>
      </w:r>
      <w:r>
        <w:rPr>
          <w:rFonts w:ascii="Times New Roman" w:cs="Times New Roman" w:eastAsia="Times New Roman" w:hAnsi="Times New Roman"/>
          <w:sz w:val="18"/>
          <w:szCs w:val="18"/>
          <w:b w:val="1"/>
          <w:bCs w:val="1"/>
          <w:color w:val="auto"/>
        </w:rPr>
        <w:t>Annual Report</w:t>
      </w:r>
      <w:r>
        <w:rPr>
          <w:rFonts w:ascii="Times New Roman" w:cs="Times New Roman" w:eastAsia="Times New Roman" w:hAnsi="Times New Roman"/>
          <w:sz w:val="18"/>
          <w:szCs w:val="18"/>
          <w:color w:val="auto"/>
        </w:rPr>
        <w:t>”), which will be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the date hereof. We also consent to the filing of this consent letter with the SEC as an exhibit to the Annual Report.</w:t>
      </w:r>
    </w:p>
    <w:p>
      <w:pPr>
        <w:spacing w:after="0" w:line="186" w:lineRule="exact"/>
        <w:rPr>
          <w:sz w:val="20"/>
          <w:szCs w:val="20"/>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[Remainder of Page Intentionally Left Blank; Signature Page Follows]</w:t>
      </w:r>
    </w:p>
    <w:p>
      <w:pPr>
        <w:sectPr>
          <w:pgSz w:w="11900" w:h="16838" w:orient="portrait"/>
          <w:cols w:equalWidth="0" w:num="1">
            <w:col w:w="11024"/>
          </w:cols>
          <w:pgMar w:left="436" w:top="117" w:right="439" w:bottom="1440" w:gutter="0" w:footer="0" w:header="0"/>
        </w:sectPr>
      </w:pPr>
    </w:p>
    <w:bookmarkStart w:id="346" w:name="page347"/>
    <w:bookmarkEnd w:id="34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59840" cy="22288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2">
                      <a:clrChange>
                        <a:clrFrom>
                          <a:srgbClr val="FFFFFF"/>
                        </a:clrFrom>
                        <a:clrTo>
                          <a:srgbClr val="FFFFFF">
                            <a:alpha val="0"/>
                          </a:srgbClr>
                        </a:clrTo>
                      </a:clrChange>
                      <a:extLst>
                        <a:ext uri="{28A0092B-C50C-407E-A947-70E740481C1C}"/>
                      </a:extLst>
                    </a:blip>
                    <a:srcRect/>
                    <a:stretch>
                      <a:fillRect/>
                    </a:stretch>
                  </pic:blipFill>
                  <pic:spPr bwMode="auto">
                    <a:xfrm>
                      <a:off x="0" y="0"/>
                      <a:ext cx="1259840" cy="222885"/>
                    </a:xfrm>
                    <a:prstGeom prst="rect">
                      <a:avLst/>
                    </a:prstGeom>
                    <a:noFill/>
                  </pic:spPr>
                </pic:pic>
              </a:graphicData>
            </a:graphic>
          </wp:anchor>
        </w:drawing>
        <w:t>[Signature Page]</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Yours sincerely,</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 Commerce &amp; Finance Law Offices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Commerce &amp; Finance Law Offices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the Consent Letter to WeRide Inc.</w:t>
      </w:r>
    </w:p>
    <w:p>
      <w:pPr>
        <w:sectPr>
          <w:pgSz w:w="11900" w:h="16838" w:orient="portrait"/>
          <w:cols w:equalWidth="0" w:num="1">
            <w:col w:w="11020"/>
          </w:cols>
          <w:pgMar w:left="440" w:top="769" w:right="439" w:bottom="1440" w:gutter="0" w:footer="0" w:header="0"/>
        </w:sectPr>
      </w:pPr>
    </w:p>
    <w:bookmarkStart w:id="347" w:name="page348"/>
    <w:bookmarkEnd w:id="347"/>
    <w:p>
      <w:pPr>
        <w:ind w:left="10080"/>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5603875</wp:posOffset>
            </wp:positionH>
            <wp:positionV relativeFrom="paragraph">
              <wp:posOffset>173990</wp:posOffset>
            </wp:positionV>
            <wp:extent cx="1388745" cy="77152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3">
                      <a:extLst>
                        <a:ext uri="{28A0092B-C50C-407E-A947-70E740481C1C}"/>
                      </a:extLst>
                    </a:blip>
                    <a:srcRect/>
                    <a:stretch>
                      <a:fillRect/>
                    </a:stretch>
                  </pic:blipFill>
                  <pic:spPr bwMode="auto">
                    <a:xfrm>
                      <a:off x="0" y="0"/>
                      <a:ext cx="138874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Office: </w:t>
      </w:r>
      <w:r>
        <w:rPr>
          <w:rFonts w:ascii="Times New Roman" w:cs="Times New Roman" w:eastAsia="Times New Roman" w:hAnsi="Times New Roman"/>
          <w:sz w:val="18"/>
          <w:szCs w:val="18"/>
          <w:color w:val="auto"/>
        </w:rPr>
        <w:t>+852 2801 6066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Mobile: </w:t>
      </w:r>
      <w:r>
        <w:rPr>
          <w:rFonts w:ascii="Times New Roman" w:cs="Times New Roman" w:eastAsia="Times New Roman" w:hAnsi="Times New Roman"/>
          <w:sz w:val="18"/>
          <w:szCs w:val="18"/>
          <w:color w:val="auto"/>
        </w:rPr>
        <w:t>+852 9718 8740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Email: </w:t>
      </w:r>
      <w:r>
        <w:rPr>
          <w:rFonts w:ascii="Times New Roman" w:cs="Times New Roman" w:eastAsia="Times New Roman" w:hAnsi="Times New Roman"/>
          <w:sz w:val="18"/>
          <w:szCs w:val="18"/>
          <w:color w:val="auto"/>
        </w:rPr>
        <w:t>rthorp@tta.lawyer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WeRide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21st Floor, Tower A, Guangzhou Life Science Innovation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51, Luoxuan Road, Guangzhou International Biotech Island,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Guangzhou 510005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 March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WeRide Inc.</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have acted as legal advisers as to the laws of the Cayman Islands to WeRide Inc., an exempted limited liability company incorporated in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filing by the Company with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of an annual report on Form 20-F for the year ended 31 December 2024 (“</w:t>
      </w:r>
      <w:r>
        <w:rPr>
          <w:rFonts w:ascii="Times New Roman" w:cs="Times New Roman" w:eastAsia="Times New Roman" w:hAnsi="Times New Roman"/>
          <w:sz w:val="18"/>
          <w:szCs w:val="18"/>
          <w:b w:val="1"/>
          <w:bCs w:val="1"/>
          <w:color w:val="auto"/>
        </w:rPr>
        <w:t>Form 20-F</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hereby consent to the reference of our name under the headings “Item 6. Directors, Senior Management and Employees—Enforceability of Civil Liabilities” and “Item 10. Additional Information—E. Taxation—Cayman Islands Taxation” in the Form 20-F.</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Travers Thorp Alberga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TRAVERS THORP ALBERGA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5354955</wp:posOffset>
            </wp:positionH>
            <wp:positionV relativeFrom="paragraph">
              <wp:posOffset>173990</wp:posOffset>
            </wp:positionV>
            <wp:extent cx="1637030" cy="60007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4">
                      <a:extLst>
                        <a:ext uri="{28A0092B-C50C-407E-A947-70E740481C1C}"/>
                      </a:extLst>
                    </a:blip>
                    <a:srcRect/>
                    <a:stretch>
                      <a:fillRect/>
                    </a:stretch>
                  </pic:blipFill>
                  <pic:spPr bwMode="auto">
                    <a:xfrm>
                      <a:off x="0" y="0"/>
                      <a:ext cx="1637030" cy="60007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348" w:name="page349"/>
    <w:bookmarkEnd w:id="348"/>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WERIDE INC.</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9" w:lineRule="exact"/>
        <w:rPr>
          <w:sz w:val="20"/>
          <w:szCs w:val="20"/>
          <w:color w:val="auto"/>
        </w:rPr>
      </w:pPr>
    </w:p>
    <w:p>
      <w:pPr>
        <w:ind w:left="4" w:right="440" w:firstLine="440"/>
        <w:spacing w:after="0" w:line="312" w:lineRule="auto"/>
        <w:rPr>
          <w:sz w:val="20"/>
          <w:szCs w:val="20"/>
          <w:color w:val="auto"/>
        </w:rPr>
      </w:pPr>
      <w:r>
        <w:rPr>
          <w:rFonts w:ascii="Times New Roman" w:cs="Times New Roman" w:eastAsia="Times New Roman" w:hAnsi="Times New Roman"/>
          <w:sz w:val="17"/>
          <w:szCs w:val="17"/>
          <w:color w:val="auto"/>
        </w:rPr>
        <w:t>The board of directors (the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of WeRide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believes that it is appropriate for the Company to adopt this Clawback Policy (the “</w:t>
      </w:r>
      <w:r>
        <w:rPr>
          <w:rFonts w:ascii="Times New Roman" w:cs="Times New Roman" w:eastAsia="Times New Roman" w:hAnsi="Times New Roman"/>
          <w:sz w:val="17"/>
          <w:szCs w:val="17"/>
          <w:u w:val="single" w:color="auto"/>
          <w:color w:val="auto"/>
        </w:rPr>
        <w:t>Policy</w:t>
      </w:r>
      <w:r>
        <w:rPr>
          <w:rFonts w:ascii="Times New Roman" w:cs="Times New Roman" w:eastAsia="Times New Roman" w:hAnsi="Times New Roman"/>
          <w:sz w:val="17"/>
          <w:szCs w:val="17"/>
          <w:color w:val="auto"/>
        </w:rPr>
        <w:t>”) to be applied to the Executive Officers of the Company and adopts this Policy to be effective as of the Effective Time.</w:t>
      </w:r>
    </w:p>
    <w:p>
      <w:pPr>
        <w:spacing w:after="0" w:line="163" w:lineRule="exact"/>
        <w:rPr>
          <w:sz w:val="20"/>
          <w:szCs w:val="20"/>
          <w:color w:val="auto"/>
        </w:rPr>
      </w:pPr>
    </w:p>
    <w:p>
      <w:pPr>
        <w:ind w:left="424" w:hanging="424"/>
        <w:spacing w:after="0"/>
        <w:tabs>
          <w:tab w:leader="none" w:pos="424" w:val="left"/>
        </w:tabs>
        <w:numPr>
          <w:ilvl w:val="0"/>
          <w:numId w:val="3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9"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purposes of this Policy, the following definitions shall apply:</w:t>
      </w:r>
    </w:p>
    <w:p>
      <w:pPr>
        <w:spacing w:after="0" w:line="130"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the compensation committee of the Board (or a similar body) formed in accordance with applicable exchange rules.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means the Company and each of its subsidiaries or consolidated affiliated entities, as applicable.</w:t>
      </w:r>
    </w:p>
    <w:p>
      <w:pPr>
        <w:spacing w:after="0" w:line="130" w:lineRule="exact"/>
        <w:rPr>
          <w:rFonts w:ascii="Times New Roman" w:cs="Times New Roman" w:eastAsia="Times New Roman" w:hAnsi="Times New Roman"/>
          <w:sz w:val="18"/>
          <w:szCs w:val="18"/>
          <w:color w:val="auto"/>
        </w:rPr>
      </w:pPr>
    </w:p>
    <w:p>
      <w:pPr>
        <w:ind w:left="964" w:right="160" w:hanging="532"/>
        <w:spacing w:after="0" w:line="261" w:lineRule="auto"/>
        <w:tabs>
          <w:tab w:leader="none" w:pos="964"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Compensation</w:t>
      </w:r>
      <w:r>
        <w:rPr>
          <w:rFonts w:ascii="Times New Roman" w:cs="Times New Roman" w:eastAsia="Times New Roman" w:hAnsi="Times New Roman"/>
          <w:sz w:val="18"/>
          <w:szCs w:val="18"/>
          <w:color w:val="auto"/>
        </w:rPr>
        <w:t>” means any Incentive-Based Compensation granted, vested or paid to a person who served as an Executive Officer at any time during the performance period for the Incentive-Based Compensation and that was Received (i) on or after October 2, 2023 (the effective date of the Nasdaq listing standards), (ii) after the person became an Executive Officer, and (iii) at a time that the Company had a class of securities listed on a national securities exchange or a national securities association.</w:t>
      </w:r>
    </w:p>
    <w:p>
      <w:pPr>
        <w:spacing w:after="0" w:line="85" w:lineRule="exact"/>
        <w:rPr>
          <w:rFonts w:ascii="Times New Roman" w:cs="Times New Roman" w:eastAsia="Times New Roman" w:hAnsi="Times New Roman"/>
          <w:sz w:val="18"/>
          <w:szCs w:val="18"/>
          <w:color w:val="auto"/>
        </w:rPr>
      </w:pPr>
    </w:p>
    <w:p>
      <w:pPr>
        <w:ind w:left="964" w:right="120" w:hanging="532"/>
        <w:spacing w:after="0" w:line="282" w:lineRule="auto"/>
        <w:tabs>
          <w:tab w:leader="none" w:pos="964"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means the time when the Company’s registration statement on Form F-1, filed by the Company with the SEC relating to the Company’s initial public offering, is declared effective by the SEC.</w:t>
      </w:r>
    </w:p>
    <w:p>
      <w:pPr>
        <w:spacing w:after="0" w:line="67" w:lineRule="exact"/>
        <w:rPr>
          <w:rFonts w:ascii="Times New Roman" w:cs="Times New Roman" w:eastAsia="Times New Roman" w:hAnsi="Times New Roman"/>
          <w:sz w:val="18"/>
          <w:szCs w:val="18"/>
          <w:color w:val="auto"/>
        </w:rPr>
      </w:pPr>
    </w:p>
    <w:p>
      <w:pPr>
        <w:ind w:left="964" w:hanging="532"/>
        <w:spacing w:after="0" w:line="254" w:lineRule="auto"/>
        <w:tabs>
          <w:tab w:leader="none" w:pos="964"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Erroneously Awarded Compensation</w:t>
      </w:r>
      <w:r>
        <w:rPr>
          <w:rFonts w:ascii="Times New Roman" w:cs="Times New Roman" w:eastAsia="Times New Roman" w:hAnsi="Times New Roman"/>
          <w:sz w:val="18"/>
          <w:szCs w:val="18"/>
          <w:color w:val="auto"/>
        </w:rPr>
        <w:t>” means the amount of Covered Compensation granted, vested or paid to a person during the fiscal period when the applicable Financial Reporting Measure relating to such Covered Compensation was attained that exceeds the amount of Covered Compensation that otherwise would have been granted, vested or paid to the person had such amount been determined based on the applicable Restatement, computed without regard to any taxes paid (i.e., on a pre-tax basis). For Covered Compensation based on stock price or total shareholder return, where the amount of Erroneously Awarded Compensation is not subject to mathematical recalculation directly from the information in a Restatement, the Committee will determine the amount of such Covered Compensation that constitutes Erroneously Awarded Compensation, if any, based on a reasonable estimate of the effect of the Restatement on the stock price or total shareholder return upon which the Covered Compensation was granted, vested or paid, and the Committee shall maintain documentation of such determination and provide such documentation to Nasdaq.</w:t>
      </w:r>
    </w:p>
    <w:p>
      <w:pPr>
        <w:spacing w:after="0" w:line="93"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349" w:name="page350"/>
    <w:bookmarkEnd w:id="349"/>
    <w:p>
      <w:pPr>
        <w:ind w:left="540" w:right="40" w:hanging="532"/>
        <w:spacing w:after="0" w:line="256" w:lineRule="auto"/>
        <w:tabs>
          <w:tab w:leader="none" w:pos="54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Executive Officer</w:t>
      </w:r>
      <w:r>
        <w:rPr>
          <w:rFonts w:ascii="Times New Roman" w:cs="Times New Roman" w:eastAsia="Times New Roman" w:hAnsi="Times New Roman"/>
          <w:sz w:val="18"/>
          <w:szCs w:val="18"/>
          <w:color w:val="auto"/>
        </w:rPr>
        <w:t>”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(whether or not an officer or employee of the Company) who performs similar policy-making functions for the Company. “Policy-making function” does not include policy-making functions that are not significant. Both current and former Executive Officers are subject to the Policy in accordance with its terms.</w:t>
      </w:r>
    </w:p>
    <w:p>
      <w:pPr>
        <w:spacing w:after="0" w:line="92" w:lineRule="exact"/>
        <w:rPr>
          <w:rFonts w:ascii="Times New Roman" w:cs="Times New Roman" w:eastAsia="Times New Roman" w:hAnsi="Times New Roman"/>
          <w:sz w:val="18"/>
          <w:szCs w:val="18"/>
          <w:color w:val="auto"/>
        </w:rPr>
      </w:pPr>
    </w:p>
    <w:p>
      <w:pPr>
        <w:ind w:left="540" w:right="100" w:hanging="532"/>
        <w:spacing w:after="0" w:line="258" w:lineRule="auto"/>
        <w:tabs>
          <w:tab w:leader="none" w:pos="54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Reporting Measure</w:t>
      </w:r>
      <w:r>
        <w:rPr>
          <w:rFonts w:ascii="Times New Roman" w:cs="Times New Roman" w:eastAsia="Times New Roman" w:hAnsi="Times New Roman"/>
          <w:sz w:val="18"/>
          <w:szCs w:val="18"/>
          <w:color w:val="auto"/>
        </w:rPr>
        <w:t>” means (i) any measure that is determined and presented in accordance with the accounting principles used in preparing the Company’s financial statements, and any measures derived wholly or in part from such measures and may consist of IFRS/U.S. GAAP or non-IFRS/non-U.S. GAAP financial measures (as defined under Regulation G of the Exchange Act and Item 10 of Regulation S-K under the Exchange Act), (ii) stock price or (iii) total shareholder return. Financial Reporting Measures need not be presented within the Company’s financial statements or included in a filing with the SEC.</w:t>
      </w:r>
    </w:p>
    <w:p>
      <w:pPr>
        <w:spacing w:after="0" w:line="8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Home Country</w:t>
      </w:r>
      <w:r>
        <w:rPr>
          <w:rFonts w:ascii="Times New Roman" w:cs="Times New Roman" w:eastAsia="Times New Roman" w:hAnsi="Times New Roman"/>
          <w:sz w:val="18"/>
          <w:szCs w:val="18"/>
          <w:color w:val="auto"/>
        </w:rPr>
        <w:t>” means the Company’s jurisdiction of incorporation, i.e., the Cayman Islands.</w:t>
      </w:r>
    </w:p>
    <w:p>
      <w:pPr>
        <w:spacing w:after="0" w:line="130" w:lineRule="exact"/>
        <w:rPr>
          <w:rFonts w:ascii="Times New Roman" w:cs="Times New Roman" w:eastAsia="Times New Roman" w:hAnsi="Times New Roman"/>
          <w:sz w:val="18"/>
          <w:szCs w:val="18"/>
          <w:color w:val="auto"/>
        </w:rPr>
      </w:pPr>
    </w:p>
    <w:p>
      <w:pPr>
        <w:ind w:left="540" w:right="60" w:hanging="532"/>
        <w:spacing w:after="0" w:line="282" w:lineRule="auto"/>
        <w:tabs>
          <w:tab w:leader="none" w:pos="54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Incentive-Based Compensation</w:t>
      </w:r>
      <w:r>
        <w:rPr>
          <w:rFonts w:ascii="Times New Roman" w:cs="Times New Roman" w:eastAsia="Times New Roman" w:hAnsi="Times New Roman"/>
          <w:sz w:val="18"/>
          <w:szCs w:val="18"/>
          <w:color w:val="auto"/>
        </w:rPr>
        <w:t>” means any compensation that is granted, earned or vested based wholly or in part upon the attainment of a Financial Reporting Measure.</w:t>
      </w:r>
    </w:p>
    <w:p>
      <w:pPr>
        <w:spacing w:after="0" w:line="67" w:lineRule="exact"/>
        <w:rPr>
          <w:rFonts w:ascii="Times New Roman" w:cs="Times New Roman" w:eastAsia="Times New Roman" w:hAnsi="Times New Roman"/>
          <w:sz w:val="18"/>
          <w:szCs w:val="18"/>
          <w:color w:val="auto"/>
        </w:rPr>
      </w:pPr>
    </w:p>
    <w:p>
      <w:pPr>
        <w:ind w:left="540" w:hanging="532"/>
        <w:spacing w:after="0" w:line="255" w:lineRule="auto"/>
        <w:tabs>
          <w:tab w:leader="none" w:pos="54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Lookback Period</w:t>
      </w:r>
      <w:r>
        <w:rPr>
          <w:rFonts w:ascii="Times New Roman" w:cs="Times New Roman" w:eastAsia="Times New Roman" w:hAnsi="Times New Roman"/>
          <w:sz w:val="18"/>
          <w:szCs w:val="18"/>
          <w:color w:val="auto"/>
        </w:rPr>
        <w:t>” means the three completed fiscal years (plus any transition period of less than nine months that is within or immediately following the three completed fiscal years and that results from a change in the Company’s fiscal year) immediately preceding the date on which the Company is required to prepare a Restatement for a given reporting period, with such date being the earlier of: (i) the date the Board, a committee of the Board, or the officer or officers of the Company authorized to take such action if Board action is not required, concludes, or reasonably should have concluded, that the Company is required to prepare a Restatement, or (ii) the date a court, regulator or other legally authorized body directs the Company to prepare a Restatement. Recovery of any Erroneously Awarded Compensation under the Policy is not dependent on whether or when the Restatement is actually filed.</w:t>
      </w:r>
    </w:p>
    <w:p>
      <w:pPr>
        <w:spacing w:after="0" w:line="94"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Stock Market.</w:t>
      </w:r>
    </w:p>
    <w:p>
      <w:pPr>
        <w:spacing w:after="0" w:line="130" w:lineRule="exact"/>
        <w:rPr>
          <w:rFonts w:ascii="Times New Roman" w:cs="Times New Roman" w:eastAsia="Times New Roman" w:hAnsi="Times New Roman"/>
          <w:sz w:val="18"/>
          <w:szCs w:val="18"/>
          <w:color w:val="auto"/>
        </w:rPr>
      </w:pPr>
    </w:p>
    <w:p>
      <w:pPr>
        <w:ind w:left="540" w:right="60" w:hanging="532"/>
        <w:spacing w:after="0" w:line="266" w:lineRule="auto"/>
        <w:tabs>
          <w:tab w:leader="none" w:pos="54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Received</w:t>
      </w:r>
      <w:r>
        <w:rPr>
          <w:rFonts w:ascii="Times New Roman" w:cs="Times New Roman" w:eastAsia="Times New Roman" w:hAnsi="Times New Roman"/>
          <w:sz w:val="18"/>
          <w:szCs w:val="18"/>
          <w:color w:val="auto"/>
        </w:rPr>
        <w:t>”: Incentive-Based Compensation is deemed “Received” in the Company’s fiscal period during which the Financial Reporting Measure specified in or otherwise relating to the Incentive-Based Compensation award is attained, even if the grant, vesting or payment of the Incentive-Based Compensation occurs after the end of that period.</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80"/>
          </w:cols>
          <w:pgMar w:left="860" w:top="270" w:right="459" w:bottom="1440" w:gutter="0" w:footer="0" w:header="0"/>
        </w:sectPr>
      </w:pPr>
    </w:p>
    <w:bookmarkStart w:id="350" w:name="page351"/>
    <w:bookmarkEnd w:id="350"/>
    <w:p>
      <w:pPr>
        <w:ind w:left="964" w:hanging="532"/>
        <w:spacing w:after="0" w:line="254" w:lineRule="auto"/>
        <w:tabs>
          <w:tab w:leader="none" w:pos="964"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Restatement</w:t>
      </w:r>
      <w:r>
        <w:rPr>
          <w:rFonts w:ascii="Times New Roman" w:cs="Times New Roman" w:eastAsia="Times New Roman" w:hAnsi="Times New Roman"/>
          <w:sz w:val="18"/>
          <w:szCs w:val="18"/>
          <w:color w:val="auto"/>
        </w:rPr>
        <w:t>” means a required accounting restatement of any Company financial statement due to the material noncompliance of the Company with any financial reporting requirement under the securities laws, including (i) to correct an error in previously issued financial statements that is material to the previously issued financial statements (commonly referred to as a “Big R” restatement) or (ii) to correct an error in previously issued financial statements that is not material to the previously issued financial statements but that would result in a material misstatement if the error were corrected in the current period or left uncorrected in the current period (commonly referred to as a “little r” restatement). Changes to the Company’s financial statements that do not represent error corrections under the then-current relevant accounting standards will not constitute Restatements. Recovery of any Erroneously Awarded Compensation under the Policy is not dependent on fraud or misconduct by any person in connection with the Restatement.</w:t>
      </w:r>
    </w:p>
    <w:p>
      <w:pPr>
        <w:spacing w:after="0" w:line="9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24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Recovery of Erroneously Awarded Compensation</w:t>
      </w:r>
    </w:p>
    <w:p>
      <w:pPr>
        <w:spacing w:after="0" w:line="229"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Restatement, any Erroneously Awarded Compensation Received during the Lookback Period prior to the Restatement (a) that is</w:t>
      </w:r>
    </w:p>
    <w:p>
      <w:pPr>
        <w:spacing w:after="0" w:line="27" w:lineRule="exact"/>
        <w:rPr>
          <w:sz w:val="20"/>
          <w:szCs w:val="20"/>
          <w:color w:val="auto"/>
        </w:rPr>
      </w:pPr>
    </w:p>
    <w:p>
      <w:pPr>
        <w:jc w:val="both"/>
        <w:ind w:left="4" w:right="100"/>
        <w:spacing w:after="0" w:line="253" w:lineRule="auto"/>
        <w:rPr>
          <w:sz w:val="20"/>
          <w:szCs w:val="20"/>
          <w:color w:val="auto"/>
        </w:rPr>
      </w:pPr>
      <w:r>
        <w:rPr>
          <w:rFonts w:ascii="Times New Roman" w:cs="Times New Roman" w:eastAsia="Times New Roman" w:hAnsi="Times New Roman"/>
          <w:sz w:val="18"/>
          <w:szCs w:val="18"/>
          <w:color w:val="auto"/>
        </w:rPr>
        <w:t>then-outstanding but has not yet been paid shall be automatically and immediately forfeited and (b) that has been paid to any person shall be subject to reasonably prompt repayment to the Company Group in accordance with Section 3 of this Policy. The Committee must pursue (and shall not have the discretion to waive) the forfeiture and/or repayment of such Erroneously Awarded Compensation in accordance with Section 3 of this Policy, except as provided below.</w:t>
      </w:r>
    </w:p>
    <w:p>
      <w:pPr>
        <w:spacing w:after="0" w:line="189" w:lineRule="exact"/>
        <w:rPr>
          <w:sz w:val="20"/>
          <w:szCs w:val="20"/>
          <w:color w:val="auto"/>
        </w:rPr>
      </w:pPr>
    </w:p>
    <w:p>
      <w:pPr>
        <w:ind w:left="4" w:right="20" w:firstLine="440"/>
        <w:spacing w:after="0" w:line="268" w:lineRule="auto"/>
        <w:rPr>
          <w:sz w:val="20"/>
          <w:szCs w:val="20"/>
          <w:color w:val="auto"/>
        </w:rPr>
      </w:pPr>
      <w:r>
        <w:rPr>
          <w:rFonts w:ascii="Times New Roman" w:cs="Times New Roman" w:eastAsia="Times New Roman" w:hAnsi="Times New Roman"/>
          <w:sz w:val="17"/>
          <w:szCs w:val="17"/>
          <w:color w:val="auto"/>
        </w:rPr>
        <w:t>Notwithstanding the foregoing, the Committee (or, if the Committee is not a committee of the Board responsible for the Company’s executive compensation decisions and composed entirely of independent directors, a majority of the independent directors serving on the Board) may determine not to pursue the forfeiture and/or recovery of Erroneously Awarded Compensation from any person if the Committee determines that such forfeiture and/or recovery would be impracticable due to any of the following circumstances: (i) the direct expense paid to a third party (for example, reasonable legal expenses and consulting fees) to assist in enforcing the Policy would exceed the amount to be recovered, including the costs that could be incurred if pursuing such recovery would violate local laws other than the Company’s Home Country laws (following reasonable attempts by the Company Group to recover such Erroneously Awarded Compensation, the documentation of such attempts, and the provision of such documentation to Nasdaq),</w:t>
      </w:r>
    </w:p>
    <w:p>
      <w:pPr>
        <w:spacing w:after="0" w:line="2" w:lineRule="exact"/>
        <w:rPr>
          <w:sz w:val="20"/>
          <w:szCs w:val="20"/>
          <w:color w:val="auto"/>
        </w:rPr>
      </w:pPr>
    </w:p>
    <w:p>
      <w:pPr>
        <w:ind w:left="4" w:right="60" w:hanging="4"/>
        <w:spacing w:after="0" w:line="265" w:lineRule="auto"/>
        <w:tabs>
          <w:tab w:leader="none" w:pos="269" w:val="left"/>
        </w:tabs>
        <w:numPr>
          <w:ilvl w:val="0"/>
          <w:numId w:val="3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pursuing such recovery would violate the Company’s Home Country laws adopted prior to November 28, 2022 (provided that the Company obtains an opinion of Home Country counsel acceptable to Nasdaq that recovery would result in such a violation and provides such opinion to Nasdaq), or</w:t>
      </w:r>
    </w:p>
    <w:p>
      <w:pPr>
        <w:ind w:left="4" w:right="120" w:hanging="4"/>
        <w:spacing w:after="0" w:line="260" w:lineRule="auto"/>
        <w:tabs>
          <w:tab w:leader="none" w:pos="319"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any otherwise tax-qualified retirement plan, under which benefits are broadly available to employees of the Company Group, to fail to meet the requirements of 26 U.S.C. 401(a)(13) or 26 U.S.C. 411(a) and regulations thereunder.</w:t>
      </w:r>
    </w:p>
    <w:p>
      <w:pPr>
        <w:spacing w:after="0" w:line="11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4"/>
          </w:cols>
          <w:pgMar w:left="436" w:top="270" w:right="499" w:bottom="1440" w:gutter="0" w:footer="0" w:header="0"/>
        </w:sectPr>
      </w:pPr>
    </w:p>
    <w:bookmarkStart w:id="351" w:name="page352"/>
    <w:bookmarkEnd w:id="351"/>
    <w:p>
      <w:pPr>
        <w:ind w:left="424" w:hanging="424"/>
        <w:spacing w:after="0"/>
        <w:tabs>
          <w:tab w:leader="none" w:pos="424" w:val="left"/>
        </w:tabs>
        <w:numPr>
          <w:ilvl w:val="0"/>
          <w:numId w:val="3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Means of Repayment</w:t>
      </w:r>
    </w:p>
    <w:p>
      <w:pPr>
        <w:spacing w:after="0" w:line="229"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In the event that the Committee determines that any person shall repay any Erroneously Awarded Compensation, the Committee shall provide written notice to such person by email or certified mail to the physical address on file with the Company Group for such person, and the person shall satisfy such repayment in a manner and on such terms as required by the Committee, and the Company Group shall be entitled to set off the repayment amount against any amount owed to the person by the Company Group, to require the forfeiture of any award granted by the Company Group to the person, or to take any and all necessary actions to reasonably promptly recover the repayment amount from the person, in each case, to the fullest extent permitted under applicable law, including without limitation, Section 409A of the U.S. Internal Revenue Code and the regulations and guidance thereunder. If the Committee does not specify a repayment timing in the written notice described above, the applicable person shall be required to repay the Erroneously Awarded Compensation to the Company Group by wire, cash, cashier’s check, or other means as agreed by the Committee no later than thirty (30) days after receipt of such notice.</w:t>
      </w:r>
    </w:p>
    <w:p>
      <w:pPr>
        <w:spacing w:after="0" w:line="211" w:lineRule="exact"/>
        <w:rPr>
          <w:sz w:val="20"/>
          <w:szCs w:val="20"/>
          <w:color w:val="auto"/>
        </w:rPr>
      </w:pPr>
    </w:p>
    <w:p>
      <w:pPr>
        <w:ind w:left="424" w:hanging="424"/>
        <w:spacing w:after="0"/>
        <w:tabs>
          <w:tab w:leader="none" w:pos="424" w:val="left"/>
        </w:tabs>
        <w:numPr>
          <w:ilvl w:val="0"/>
          <w:numId w:val="3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Indemnification</w:t>
      </w:r>
    </w:p>
    <w:p>
      <w:pPr>
        <w:spacing w:after="0" w:line="229" w:lineRule="exact"/>
        <w:rPr>
          <w:sz w:val="20"/>
          <w:szCs w:val="20"/>
          <w:color w:val="auto"/>
        </w:rPr>
      </w:pPr>
    </w:p>
    <w:p>
      <w:pPr>
        <w:ind w:left="4"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No person shall be indemnified, insured or reimbursed by the Company Group in respect of any loss of compensation by such person in accordance with this Policy, nor shall any person receive any advancement of expenses for disputes related to any loss of compensation by such person in accordance with this Policy, and no person shall be paid or reimbursed by the Company Group for any premiums paid by such person for any third-party insurance policy covering potential recovery obligations under this Policy. For this purpose, “indemnification” includes any modification to current compensation arrangements or other means that would amount to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indemnification (for example, providing the person a new cash award which would be cancelled to effect the recovery of any Erroneously Awarded Compensation). In no event shall the Company Group be required to award any person an additional payment if any Restatement would result in a higher incentive compensation payment.</w:t>
      </w:r>
    </w:p>
    <w:p>
      <w:pPr>
        <w:spacing w:after="0" w:line="212" w:lineRule="exact"/>
        <w:rPr>
          <w:sz w:val="20"/>
          <w:szCs w:val="20"/>
          <w:color w:val="auto"/>
        </w:rPr>
      </w:pPr>
    </w:p>
    <w:p>
      <w:pPr>
        <w:ind w:left="424" w:hanging="424"/>
        <w:spacing w:after="0"/>
        <w:tabs>
          <w:tab w:leader="none" w:pos="424" w:val="left"/>
        </w:tabs>
        <w:numPr>
          <w:ilvl w:val="0"/>
          <w:numId w:val="3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This Policy generally will be administered and interpreted by the Committee, provided that the Board may, from time to time, exercise discretion to administer and interpret this Policy, in which case, all references herein to “Committee” shall be deemed to refer to the Board. Any determination by the Committee with respect to this Policy shall be final, conclusive and binding on all interested parties. Any discretionary determinations of the Committee under this Policy, if any, need not be uniform with respect to all persons, and may be made selectively amongst persons, whether or not such persons are similarly situated.</w:t>
      </w:r>
    </w:p>
    <w:p>
      <w:pPr>
        <w:spacing w:after="0" w:line="183"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This Policy is intended to satisfy the requirements of Section 954 of the Dodd-Frank Wall Street Reform and Consumer Protection Act, as it may be amended from time to time, and any related rules or regulations promulgated by the SEC or Nasdaq, including any additional or new requirements that become effective after the Effective Time which upon effectiveness shall be deemed to automatically amend this Policy to the extent necessary to comply with such additional or new requirements.</w:t>
      </w:r>
    </w:p>
    <w:p>
      <w:pPr>
        <w:spacing w:after="0" w:line="180"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The provisions in this Policy are intended to be applied to the fullest extent of the law.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applicable law. The invalidity or unenforceability of any provision of this Policy shall not affect the validity or enforceability of any other provision of this Policy. Recovery of Erroneously Awarded Compensation under this Policy is not dependent upon the Company Group satisfying any conditions in this Policy, including any requirements to provide applicable documentation to Nasdaq.</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66" w:right="459" w:bottom="1440" w:gutter="0" w:footer="0" w:header="0"/>
        </w:sectPr>
      </w:pPr>
    </w:p>
    <w:bookmarkStart w:id="352" w:name="page353"/>
    <w:bookmarkEnd w:id="352"/>
    <w:p>
      <w:pPr>
        <w:ind w:left="4" w:right="3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rights of the Company Group under this Policy to seek forfeiture or reimbursement are in addition to, and not in lieu of, any rights of recovery, or remedies or rights other than recovery, that may be available to the Company Group pursuant to the terms of any law, government regulation or stock exchange listing requirement or any other policy, code of conduct, employee handbook, employment agreement, equity award agreement, or other plan or agreement of the Company Group.</w:t>
      </w:r>
    </w:p>
    <w:p>
      <w:pPr>
        <w:spacing w:after="0" w:line="203" w:lineRule="exact"/>
        <w:rPr>
          <w:sz w:val="20"/>
          <w:szCs w:val="20"/>
          <w:color w:val="auto"/>
        </w:rPr>
      </w:pPr>
    </w:p>
    <w:p>
      <w:pPr>
        <w:ind w:left="424" w:hanging="424"/>
        <w:spacing w:after="0"/>
        <w:tabs>
          <w:tab w:leader="none" w:pos="424" w:val="left"/>
        </w:tabs>
        <w:numPr>
          <w:ilvl w:val="0"/>
          <w:numId w:val="3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and Termination</w:t>
      </w:r>
    </w:p>
    <w:p>
      <w:pPr>
        <w:spacing w:after="0" w:line="229" w:lineRule="exact"/>
        <w:rPr>
          <w:sz w:val="20"/>
          <w:szCs w:val="20"/>
          <w:color w:val="auto"/>
        </w:rPr>
      </w:pPr>
    </w:p>
    <w:p>
      <w:pPr>
        <w:ind w:left="4" w:right="300" w:firstLine="440"/>
        <w:spacing w:after="0" w:line="282" w:lineRule="auto"/>
        <w:rPr>
          <w:sz w:val="20"/>
          <w:szCs w:val="20"/>
          <w:color w:val="auto"/>
        </w:rPr>
      </w:pPr>
      <w:r>
        <w:rPr>
          <w:rFonts w:ascii="Times New Roman" w:cs="Times New Roman" w:eastAsia="Times New Roman" w:hAnsi="Times New Roman"/>
          <w:sz w:val="18"/>
          <w:szCs w:val="18"/>
          <w:color w:val="auto"/>
        </w:rPr>
        <w:t>To the extent permitted by, and in a manner consistent with applicable law, including SEC and Nasdaq rules, the Committee may terminate, suspend or amend this Policy at any time in its discretion.</w:t>
      </w:r>
    </w:p>
    <w:p>
      <w:pPr>
        <w:spacing w:after="0" w:line="185" w:lineRule="exact"/>
        <w:rPr>
          <w:sz w:val="20"/>
          <w:szCs w:val="20"/>
          <w:color w:val="auto"/>
        </w:rPr>
      </w:pPr>
    </w:p>
    <w:p>
      <w:pPr>
        <w:ind w:left="424" w:hanging="424"/>
        <w:spacing w:after="0"/>
        <w:tabs>
          <w:tab w:leader="none" w:pos="424" w:val="left"/>
        </w:tabs>
        <w:numPr>
          <w:ilvl w:val="0"/>
          <w:numId w:val="3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Successors</w:t>
      </w:r>
    </w:p>
    <w:p>
      <w:pPr>
        <w:spacing w:after="0" w:line="229"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This Policy shall be binding and enforceable against all persons and their respective beneficiaries, heirs, executors, administrators or other legal representatives with respect to any Covered Compensation granted, vested or paid to or administered by such persons or entities.</w:t>
      </w:r>
    </w:p>
    <w:p>
      <w:pPr>
        <w:spacing w:after="0" w:line="94" w:lineRule="exact"/>
        <w:rPr>
          <w:sz w:val="20"/>
          <w:szCs w:val="20"/>
          <w:color w:val="auto"/>
        </w:rPr>
      </w:pPr>
    </w:p>
    <w:p>
      <w:pPr>
        <w:jc w:val="center"/>
        <w:ind w:right="-223"/>
        <w:spacing w:after="0"/>
        <w:rPr>
          <w:sz w:val="20"/>
          <w:szCs w:val="20"/>
          <w:color w:val="auto"/>
        </w:rPr>
      </w:pPr>
      <w:r>
        <w:rPr>
          <w:rFonts w:ascii="Times New Roman" w:cs="Times New Roman" w:eastAsia="Times New Roman" w:hAnsi="Times New Roman"/>
          <w:sz w:val="18"/>
          <w:szCs w:val="18"/>
          <w:color w:val="auto"/>
        </w:rPr>
        <w:t>5</w:t>
      </w:r>
    </w:p>
    <w:sectPr>
      <w:pgSz w:w="11900" w:h="16838" w:orient="portrait"/>
      <w:cols w:equalWidth="0" w:num="1">
        <w:col w:w="10784"/>
      </w:cols>
      <w:pgMar w:left="436" w:top="27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11CCA8BA"/>
    <w:multiLevelType w:val="hybridMultilevel"/>
    <w:lvl w:ilvl="0">
      <w:lvlJc w:val="left"/>
      <w:lvlText w:val="☐"/>
      <w:numFmt w:val="bullet"/>
      <w:start w:val="1"/>
    </w:lvl>
  </w:abstractNum>
  <w:abstractNum w:abstractNumId="1">
    <w:nsid w:val="4D32AB86"/>
    <w:multiLevelType w:val="hybridMultilevel"/>
    <w:lvl w:ilvl="0">
      <w:lvlJc w:val="left"/>
      <w:lvlText w:val="☒"/>
      <w:numFmt w:val="bullet"/>
      <w:start w:val="1"/>
    </w:lvl>
  </w:abstractNum>
  <w:abstractNum w:abstractNumId="2">
    <w:nsid w:val="3F07ACC3"/>
    <w:multiLevelType w:val="hybridMultilevel"/>
    <w:lvl w:ilvl="0">
      <w:lvlJc w:val="left"/>
      <w:lvlText w:val="☐"/>
      <w:numFmt w:val="bullet"/>
      <w:start w:val="1"/>
    </w:lvl>
  </w:abstractNum>
  <w:abstractNum w:abstractNumId="3">
    <w:nsid w:val="6B47F63E"/>
    <w:multiLevelType w:val="hybridMultilevel"/>
    <w:lvl w:ilvl="0">
      <w:lvlJc w:val="left"/>
      <w:lvlText w:val="☐"/>
      <w:numFmt w:val="bullet"/>
      <w:start w:val="1"/>
    </w:lvl>
  </w:abstractNum>
  <w:abstractNum w:abstractNumId="4">
    <w:nsid w:val="5CB44A05"/>
    <w:multiLevelType w:val="hybridMultilevel"/>
    <w:lvl w:ilvl="0">
      <w:lvlJc w:val="left"/>
      <w:lvlText w:val="†"/>
      <w:numFmt w:val="bullet"/>
      <w:start w:val="1"/>
    </w:lvl>
  </w:abstractNum>
  <w:abstractNum w:abstractNumId="5">
    <w:nsid w:val="16CF80F1"/>
    <w:multiLevelType w:val="hybridMultilevel"/>
    <w:lvl w:ilvl="0">
      <w:lvlJc w:val="left"/>
      <w:lvlText w:val="•"/>
      <w:numFmt w:val="bullet"/>
      <w:start w:val="1"/>
    </w:lvl>
  </w:abstractNum>
  <w:abstractNum w:abstractNumId="6">
    <w:nsid w:val="1C695DEC"/>
    <w:multiLevelType w:val="hybridMultilevel"/>
    <w:lvl w:ilvl="0">
      <w:lvlJc w:val="left"/>
      <w:lvlText w:val="•"/>
      <w:numFmt w:val="bullet"/>
      <w:start w:val="1"/>
    </w:lvl>
  </w:abstractNum>
  <w:abstractNum w:abstractNumId="7">
    <w:nsid w:val="3FCFAED9"/>
    <w:multiLevelType w:val="hybridMultilevel"/>
    <w:lvl w:ilvl="0">
      <w:lvlJc w:val="left"/>
      <w:lvlText w:val="(%1)"/>
      <w:numFmt w:val="decimal"/>
      <w:start w:val="1"/>
    </w:lvl>
  </w:abstractNum>
  <w:abstractNum w:abstractNumId="8">
    <w:nsid w:val="F856867"/>
    <w:multiLevelType w:val="hybridMultilevel"/>
    <w:lvl w:ilvl="0">
      <w:lvlJc w:val="left"/>
      <w:lvlText w:val="(%1)"/>
      <w:numFmt w:val="decimal"/>
      <w:start w:val="1"/>
    </w:lvl>
  </w:abstractNum>
  <w:abstractNum w:abstractNumId="9">
    <w:nsid w:val="11B1CC33"/>
    <w:multiLevelType w:val="hybridMultilevel"/>
    <w:lvl w:ilvl="0">
      <w:lvlJc w:val="left"/>
      <w:lvlText w:val="(%1)"/>
      <w:numFmt w:val="decimal"/>
      <w:start w:val="1"/>
    </w:lvl>
  </w:abstractNum>
  <w:abstractNum w:abstractNumId="10">
    <w:nsid w:val="2E22FBB7"/>
    <w:multiLevelType w:val="hybridMultilevel"/>
    <w:lvl w:ilvl="0">
      <w:lvlJc w:val="left"/>
      <w:lvlText w:val="%1."/>
      <w:numFmt w:val="upperLetter"/>
      <w:start w:val="1"/>
    </w:lvl>
  </w:abstractNum>
  <w:abstractNum w:abstractNumId="11">
    <w:nsid w:val="29934699"/>
    <w:multiLevelType w:val="hybridMultilevel"/>
    <w:lvl w:ilvl="0">
      <w:lvlJc w:val="left"/>
      <w:lvlText w:val="•"/>
      <w:numFmt w:val="bullet"/>
      <w:start w:val="1"/>
    </w:lvl>
  </w:abstractNum>
  <w:abstractNum w:abstractNumId="12">
    <w:nsid w:val="77485850"/>
    <w:multiLevelType w:val="hybridMultilevel"/>
    <w:lvl w:ilvl="0">
      <w:lvlJc w:val="left"/>
      <w:lvlText w:val="•"/>
      <w:numFmt w:val="bullet"/>
      <w:start w:val="1"/>
    </w:lvl>
  </w:abstractNum>
  <w:abstractNum w:abstractNumId="13">
    <w:nsid w:val="744939A3"/>
    <w:multiLevelType w:val="hybridMultilevel"/>
    <w:lvl w:ilvl="0">
      <w:lvlJc w:val="left"/>
      <w:lvlText w:val="•"/>
      <w:numFmt w:val="bullet"/>
      <w:start w:val="1"/>
    </w:lvl>
  </w:abstractNum>
  <w:abstractNum w:abstractNumId="14">
    <w:nsid w:val="4FA0D2E3"/>
    <w:multiLevelType w:val="hybridMultilevel"/>
    <w:lvl w:ilvl="0">
      <w:lvlJc w:val="left"/>
      <w:lvlText w:val="•"/>
      <w:numFmt w:val="bullet"/>
      <w:start w:val="1"/>
    </w:lvl>
  </w:abstractNum>
  <w:abstractNum w:abstractNumId="15">
    <w:nsid w:val="6B1D2C14"/>
    <w:multiLevelType w:val="hybridMultilevel"/>
    <w:lvl w:ilvl="0">
      <w:lvlJc w:val="left"/>
      <w:lvlText w:val="•"/>
      <w:numFmt w:val="bullet"/>
      <w:start w:val="1"/>
    </w:lvl>
  </w:abstractNum>
  <w:abstractNum w:abstractNumId="16">
    <w:nsid w:val="68B867D3"/>
    <w:multiLevelType w:val="hybridMultilevel"/>
    <w:lvl w:ilvl="0">
      <w:lvlJc w:val="left"/>
      <w:lvlText w:val="•"/>
      <w:numFmt w:val="bullet"/>
      <w:start w:val="1"/>
    </w:lvl>
  </w:abstractNum>
  <w:abstractNum w:abstractNumId="17">
    <w:nsid w:val="3F7F5DD9"/>
    <w:multiLevelType w:val="hybridMultilevel"/>
    <w:lvl w:ilvl="0">
      <w:lvlJc w:val="left"/>
      <w:lvlText w:val="•"/>
      <w:numFmt w:val="bullet"/>
      <w:start w:val="1"/>
    </w:lvl>
  </w:abstractNum>
  <w:abstractNum w:abstractNumId="18">
    <w:nsid w:val="2AE05A34"/>
    <w:multiLevelType w:val="hybridMultilevel"/>
    <w:lvl w:ilvl="0">
      <w:lvlJc w:val="left"/>
      <w:lvlText w:val="•"/>
      <w:numFmt w:val="bullet"/>
      <w:start w:val="1"/>
    </w:lvl>
  </w:abstractNum>
  <w:abstractNum w:abstractNumId="19">
    <w:nsid w:val="32794FF7"/>
    <w:multiLevelType w:val="hybridMultilevel"/>
    <w:lvl w:ilvl="0">
      <w:lvlJc w:val="left"/>
      <w:lvlText w:val="•"/>
      <w:numFmt w:val="bullet"/>
      <w:start w:val="1"/>
    </w:lvl>
  </w:abstractNum>
  <w:abstractNum w:abstractNumId="20">
    <w:nsid w:val="5454945E"/>
    <w:multiLevelType w:val="hybridMultilevel"/>
    <w:lvl w:ilvl="0">
      <w:lvlJc w:val="left"/>
      <w:lvlText w:val="•"/>
      <w:numFmt w:val="bullet"/>
      <w:start w:val="1"/>
    </w:lvl>
  </w:abstractNum>
  <w:abstractNum w:abstractNumId="21">
    <w:nsid w:val="4DEFDFA0"/>
    <w:multiLevelType w:val="hybridMultilevel"/>
    <w:lvl w:ilvl="0">
      <w:lvlJc w:val="left"/>
      <w:lvlText w:val="%1."/>
      <w:numFmt w:val="lowerLetter"/>
      <w:start w:val="1"/>
    </w:lvl>
  </w:abstractNum>
  <w:abstractNum w:abstractNumId="22">
    <w:nsid w:val="2123D5F2"/>
    <w:multiLevelType w:val="hybridMultilevel"/>
    <w:lvl w:ilvl="0">
      <w:lvlJc w:val="left"/>
      <w:lvlText w:val="%1."/>
      <w:numFmt w:val="decimal"/>
      <w:start w:val="800"/>
    </w:lvl>
  </w:abstractNum>
  <w:abstractNum w:abstractNumId="23">
    <w:nsid w:val="135B8110"/>
    <w:multiLevelType w:val="hybridMultilevel"/>
    <w:lvl w:ilvl="0">
      <w:lvlJc w:val="left"/>
      <w:lvlText w:val="(%1)"/>
      <w:numFmt w:val="lowerRoman"/>
      <w:start w:val="2"/>
    </w:lvl>
  </w:abstractNum>
  <w:abstractNum w:abstractNumId="24">
    <w:nsid w:val="94927A8"/>
    <w:multiLevelType w:val="hybridMultilevel"/>
    <w:lvl w:ilvl="0">
      <w:lvlJc w:val="left"/>
      <w:lvlText w:val="•"/>
      <w:numFmt w:val="bullet"/>
      <w:start w:val="1"/>
    </w:lvl>
  </w:abstractNum>
  <w:abstractNum w:abstractNumId="25">
    <w:nsid w:val="DCDF8F6"/>
    <w:multiLevelType w:val="hybridMultilevel"/>
    <w:lvl w:ilvl="0">
      <w:lvlJc w:val="left"/>
      <w:lvlText w:val="•"/>
      <w:numFmt w:val="bullet"/>
      <w:start w:val="1"/>
    </w:lvl>
  </w:abstractNum>
  <w:abstractNum w:abstractNumId="26">
    <w:nsid w:val="52D7B105"/>
    <w:multiLevelType w:val="hybridMultilevel"/>
    <w:lvl w:ilvl="0">
      <w:lvlJc w:val="left"/>
      <w:lvlText w:val="•"/>
      <w:numFmt w:val="bullet"/>
      <w:start w:val="1"/>
    </w:lvl>
  </w:abstractNum>
  <w:abstractNum w:abstractNumId="27">
    <w:nsid w:val="2E8A6394"/>
    <w:multiLevelType w:val="hybridMultilevel"/>
    <w:lvl w:ilvl="0">
      <w:lvlJc w:val="left"/>
      <w:lvlText w:val="•"/>
      <w:numFmt w:val="bullet"/>
      <w:start w:val="1"/>
    </w:lvl>
  </w:abstractNum>
  <w:abstractNum w:abstractNumId="28">
    <w:nsid w:val="24E60401"/>
    <w:multiLevelType w:val="hybridMultilevel"/>
    <w:lvl w:ilvl="0">
      <w:lvlJc w:val="left"/>
      <w:lvlText w:val="•"/>
      <w:numFmt w:val="bullet"/>
      <w:start w:val="1"/>
    </w:lvl>
  </w:abstractNum>
  <w:abstractNum w:abstractNumId="29">
    <w:nsid w:val="2A6AD9BE"/>
    <w:multiLevelType w:val="hybridMultilevel"/>
    <w:lvl w:ilvl="0">
      <w:lvlJc w:val="left"/>
      <w:lvlText w:val="%1."/>
      <w:numFmt w:val="upperLetter"/>
      <w:start w:val="1"/>
    </w:lvl>
  </w:abstractNum>
  <w:abstractNum w:abstractNumId="30">
    <w:nsid w:val="BAAC1B4"/>
    <w:multiLevelType w:val="hybridMultilevel"/>
    <w:lvl w:ilvl="0">
      <w:lvlJc w:val="left"/>
      <w:lvlText w:val="%1."/>
      <w:numFmt w:val="upperLetter"/>
      <w:start w:val="2"/>
    </w:lvl>
  </w:abstractNum>
  <w:abstractNum w:abstractNumId="31">
    <w:nsid w:val="36B2ACBC"/>
    <w:multiLevelType w:val="hybridMultilevel"/>
    <w:lvl w:ilvl="0">
      <w:lvlJc w:val="left"/>
      <w:lvlText w:val="•"/>
      <w:numFmt w:val="bullet"/>
      <w:start w:val="1"/>
    </w:lvl>
  </w:abstractNum>
  <w:abstractNum w:abstractNumId="32">
    <w:nsid w:val="779D8544"/>
    <w:multiLevelType w:val="hybridMultilevel"/>
    <w:lvl w:ilvl="0">
      <w:lvlJc w:val="left"/>
      <w:lvlText w:val="•"/>
      <w:numFmt w:val="bullet"/>
      <w:start w:val="1"/>
    </w:lvl>
  </w:abstractNum>
  <w:abstractNum w:abstractNumId="33">
    <w:nsid w:val="4AB26E78"/>
    <w:multiLevelType w:val="hybridMultilevel"/>
    <w:lvl w:ilvl="0">
      <w:lvlJc w:val="left"/>
      <w:lvlText w:val="•"/>
      <w:numFmt w:val="bullet"/>
      <w:start w:val="1"/>
    </w:lvl>
    <w:lvl w:ilvl="1">
      <w:lvlJc w:val="left"/>
      <w:lvlText w:val="•"/>
      <w:numFmt w:val="bullet"/>
      <w:start w:val="1"/>
    </w:lvl>
  </w:abstractNum>
  <w:abstractNum w:abstractNumId="34">
    <w:nsid w:val="21FAA2FA"/>
    <w:multiLevelType w:val="hybridMultilevel"/>
    <w:lvl w:ilvl="0">
      <w:lvlJc w:val="left"/>
      <w:lvlText w:val="•"/>
      <w:numFmt w:val="bullet"/>
      <w:start w:val="1"/>
    </w:lvl>
  </w:abstractNum>
  <w:abstractNum w:abstractNumId="35">
    <w:nsid w:val="5451CF49"/>
    <w:multiLevelType w:val="hybridMultilevel"/>
    <w:lvl w:ilvl="0">
      <w:lvlJc w:val="left"/>
      <w:lvlText w:val="(%1)"/>
      <w:numFmt w:val="lowerLetter"/>
      <w:start w:val="2"/>
    </w:lvl>
  </w:abstractNum>
  <w:abstractNum w:abstractNumId="36">
    <w:nsid w:val="6181EF69"/>
    <w:multiLevelType w:val="hybridMultilevel"/>
    <w:lvl w:ilvl="0">
      <w:lvlJc w:val="left"/>
      <w:lvlText w:val="(%1)"/>
      <w:numFmt w:val="lowerRoman"/>
      <w:start w:val="2"/>
    </w:lvl>
  </w:abstractNum>
  <w:abstractNum w:abstractNumId="37">
    <w:nsid w:val="3E6400E6"/>
    <w:multiLevelType w:val="hybridMultilevel"/>
    <w:lvl w:ilvl="0">
      <w:lvlJc w:val="left"/>
      <w:lvlText w:val="(%1)"/>
      <w:numFmt w:val="lowerRoman"/>
      <w:start w:val="7"/>
    </w:lvl>
  </w:abstractNum>
  <w:abstractNum w:abstractNumId="38">
    <w:nsid w:val="14217E23"/>
    <w:multiLevelType w:val="hybridMultilevel"/>
    <w:lvl w:ilvl="0">
      <w:lvlJc w:val="left"/>
      <w:lvlText w:val="(%1)"/>
      <w:numFmt w:val="decimal"/>
      <w:start w:val="1"/>
    </w:lvl>
  </w:abstractNum>
  <w:abstractNum w:abstractNumId="39">
    <w:nsid w:val="710757D0"/>
    <w:multiLevelType w:val="hybridMultilevel"/>
    <w:lvl w:ilvl="0">
      <w:lvlJc w:val="left"/>
      <w:lvlText w:val="(%1)"/>
      <w:numFmt w:val="lowerRoman"/>
      <w:start w:val="3"/>
    </w:lvl>
  </w:abstractNum>
  <w:abstractNum w:abstractNumId="40">
    <w:nsid w:val="5015CD1A"/>
    <w:multiLevelType w:val="hybridMultilevel"/>
    <w:lvl w:ilvl="0">
      <w:lvlJc w:val="left"/>
      <w:lvlText w:val="(%1)"/>
      <w:numFmt w:val="lowerRoman"/>
      <w:start w:val="5"/>
    </w:lvl>
  </w:abstractNum>
  <w:abstractNum w:abstractNumId="41">
    <w:nsid w:val="424479DA"/>
    <w:multiLevelType w:val="hybridMultilevel"/>
    <w:lvl w:ilvl="0">
      <w:lvlJc w:val="left"/>
      <w:lvlText w:val="(%1)"/>
      <w:numFmt w:val="lowerRoman"/>
      <w:start w:val="1"/>
    </w:lvl>
  </w:abstractNum>
  <w:abstractNum w:abstractNumId="42">
    <w:nsid w:val="1A9A9E69"/>
    <w:multiLevelType w:val="hybridMultilevel"/>
    <w:lvl w:ilvl="0">
      <w:lvlJc w:val="left"/>
      <w:lvlText w:val="(%1)"/>
      <w:numFmt w:val="lowerLetter"/>
      <w:start w:val="4"/>
    </w:lvl>
  </w:abstractNum>
  <w:abstractNum w:abstractNumId="43">
    <w:nsid w:val="475E256A"/>
    <w:multiLevelType w:val="hybridMultilevel"/>
    <w:lvl w:ilvl="0">
      <w:lvlJc w:val="left"/>
      <w:lvlText w:val="%1."/>
      <w:numFmt w:val="upperLetter"/>
      <w:start w:val="3"/>
    </w:lvl>
  </w:abstractNum>
  <w:abstractNum w:abstractNumId="44">
    <w:nsid w:val="368DB37E"/>
    <w:multiLevelType w:val="hybridMultilevel"/>
    <w:lvl w:ilvl="0">
      <w:lvlJc w:val="left"/>
      <w:lvlText w:val="%1."/>
      <w:numFmt w:val="upperLetter"/>
      <w:start w:val="4"/>
    </w:lvl>
  </w:abstractNum>
  <w:abstractNum w:abstractNumId="45">
    <w:nsid w:val="6A3B714C"/>
    <w:multiLevelType w:val="hybridMultilevel"/>
    <w:lvl w:ilvl="0">
      <w:lvlJc w:val="left"/>
      <w:lvlText w:val="%1."/>
      <w:numFmt w:val="upperLetter"/>
      <w:start w:val="1"/>
    </w:lvl>
  </w:abstractNum>
  <w:abstractNum w:abstractNumId="46">
    <w:nsid w:val="327B517E"/>
    <w:multiLevelType w:val="hybridMultilevel"/>
    <w:lvl w:ilvl="0">
      <w:lvlJc w:val="left"/>
      <w:lvlText w:val="(%1)"/>
      <w:numFmt w:val="decimal"/>
      <w:start w:val="1"/>
    </w:lvl>
  </w:abstractNum>
  <w:abstractNum w:abstractNumId="47">
    <w:nsid w:val="1F461B51"/>
    <w:multiLevelType w:val="hybridMultilevel"/>
    <w:lvl w:ilvl="0">
      <w:lvlJc w:val="left"/>
      <w:lvlText w:val="(%1)"/>
      <w:numFmt w:val="decimal"/>
      <w:start w:val="1"/>
    </w:lvl>
  </w:abstractNum>
  <w:abstractNum w:abstractNumId="48">
    <w:nsid w:val="29BACF25"/>
    <w:multiLevelType w:val="hybridMultilevel"/>
    <w:lvl w:ilvl="0">
      <w:lvlJc w:val="left"/>
      <w:lvlText w:val="%1."/>
      <w:numFmt w:val="upperLetter"/>
      <w:start w:val="2"/>
    </w:lvl>
  </w:abstractNum>
  <w:abstractNum w:abstractNumId="49">
    <w:nsid w:val="5D5BABB3"/>
    <w:multiLevelType w:val="hybridMultilevel"/>
    <w:lvl w:ilvl="0">
      <w:lvlJc w:val="left"/>
      <w:lvlText w:val="%1."/>
      <w:numFmt w:val="upperLetter"/>
      <w:start w:val="3"/>
    </w:lvl>
  </w:abstractNum>
  <w:abstractNum w:abstractNumId="50">
    <w:nsid w:val="51BF6B48"/>
    <w:multiLevelType w:val="hybridMultilevel"/>
    <w:lvl w:ilvl="0">
      <w:lvlJc w:val="left"/>
      <w:lvlText w:val="%1."/>
      <w:numFmt w:val="upperLetter"/>
      <w:start w:val="4"/>
    </w:lvl>
  </w:abstractNum>
  <w:abstractNum w:abstractNumId="51">
    <w:nsid w:val="7E0F6384"/>
    <w:multiLevelType w:val="hybridMultilevel"/>
    <w:lvl w:ilvl="0">
      <w:lvlJc w:val="left"/>
      <w:lvlText w:val="%1."/>
      <w:numFmt w:val="upperLetter"/>
      <w:start w:val="5"/>
    </w:lvl>
  </w:abstractNum>
  <w:abstractNum w:abstractNumId="52">
    <w:nsid w:val="2B4B8B53"/>
    <w:multiLevelType w:val="hybridMultilevel"/>
    <w:lvl w:ilvl="0">
      <w:lvlJc w:val="left"/>
      <w:lvlText w:val="•"/>
      <w:numFmt w:val="bullet"/>
      <w:start w:val="1"/>
    </w:lvl>
  </w:abstractNum>
  <w:abstractNum w:abstractNumId="53">
    <w:nsid w:val="72E3413A"/>
    <w:multiLevelType w:val="hybridMultilevel"/>
    <w:lvl w:ilvl="0">
      <w:lvlJc w:val="left"/>
      <w:lvlText w:val="•"/>
      <w:numFmt w:val="bullet"/>
      <w:start w:val="1"/>
    </w:lvl>
  </w:abstractNum>
  <w:abstractNum w:abstractNumId="54">
    <w:nsid w:val="116AE494"/>
    <w:multiLevelType w:val="hybridMultilevel"/>
    <w:lvl w:ilvl="0">
      <w:lvlJc w:val="left"/>
      <w:lvlText w:val="•"/>
      <w:numFmt w:val="bullet"/>
      <w:start w:val="1"/>
    </w:lvl>
  </w:abstractNum>
  <w:abstractNum w:abstractNumId="55">
    <w:nsid w:val="3494B2FB"/>
    <w:multiLevelType w:val="hybridMultilevel"/>
    <w:lvl w:ilvl="0">
      <w:lvlJc w:val="left"/>
      <w:lvlText w:val="%1."/>
      <w:numFmt w:val="upperLetter"/>
      <w:start w:val="1"/>
    </w:lvl>
  </w:abstractNum>
  <w:abstractNum w:abstractNumId="56">
    <w:nsid w:val="B13A31"/>
    <w:multiLevelType w:val="hybridMultilevel"/>
    <w:lvl w:ilvl="0">
      <w:lvlJc w:val="left"/>
      <w:lvlText w:val="*"/>
      <w:numFmt w:val="bullet"/>
      <w:start w:val="1"/>
    </w:lvl>
  </w:abstractNum>
  <w:abstractNum w:abstractNumId="57">
    <w:nsid w:val="64429599"/>
    <w:multiLevelType w:val="hybridMultilevel"/>
    <w:lvl w:ilvl="0">
      <w:lvlJc w:val="left"/>
      <w:lvlText w:val="%1."/>
      <w:numFmt w:val="upperLetter"/>
      <w:start w:val="2"/>
    </w:lvl>
  </w:abstractNum>
  <w:abstractNum w:abstractNumId="58">
    <w:nsid w:val="631F1690"/>
    <w:multiLevelType w:val="hybridMultilevel"/>
    <w:lvl w:ilvl="0">
      <w:lvlJc w:val="left"/>
      <w:lvlText w:val="(%1)"/>
      <w:numFmt w:val="lowerRoman"/>
      <w:start w:val="4"/>
    </w:lvl>
  </w:abstractNum>
  <w:abstractNum w:abstractNumId="59">
    <w:nsid w:val="25973E32"/>
    <w:multiLevelType w:val="hybridMultilevel"/>
    <w:lvl w:ilvl="0">
      <w:lvlJc w:val="left"/>
      <w:lvlText w:val="*"/>
      <w:numFmt w:val="bullet"/>
      <w:start w:val="1"/>
    </w:lvl>
  </w:abstractNum>
  <w:abstractNum w:abstractNumId="60">
    <w:nsid w:val="EAD6F57"/>
    <w:multiLevelType w:val="hybridMultilevel"/>
    <w:lvl w:ilvl="0">
      <w:lvlJc w:val="left"/>
      <w:lvlText w:val="(%1)"/>
      <w:numFmt w:val="decimal"/>
      <w:start w:val="1"/>
    </w:lvl>
  </w:abstractNum>
  <w:abstractNum w:abstractNumId="61">
    <w:nsid w:val="6EC9D844"/>
    <w:multiLevelType w:val="hybridMultilevel"/>
    <w:lvl w:ilvl="0">
      <w:lvlJc w:val="left"/>
      <w:lvlText w:val="%1."/>
      <w:numFmt w:val="upperLetter"/>
      <w:start w:val="3"/>
    </w:lvl>
  </w:abstractNum>
  <w:abstractNum w:abstractNumId="62">
    <w:nsid w:val="5C49EAEE"/>
    <w:multiLevelType w:val="hybridMultilevel"/>
    <w:lvl w:ilvl="0">
      <w:lvlJc w:val="left"/>
      <w:lvlText w:val="•"/>
      <w:numFmt w:val="bullet"/>
      <w:start w:val="1"/>
    </w:lvl>
  </w:abstractNum>
  <w:abstractNum w:abstractNumId="63">
    <w:nsid w:val="64AF49B"/>
    <w:multiLevelType w:val="hybridMultilevel"/>
    <w:lvl w:ilvl="0">
      <w:lvlJc w:val="left"/>
      <w:lvlText w:val="•"/>
      <w:numFmt w:val="bullet"/>
      <w:start w:val="1"/>
    </w:lvl>
  </w:abstractNum>
  <w:abstractNum w:abstractNumId="64">
    <w:nsid w:val="397C46BC"/>
    <w:multiLevelType w:val="hybridMultilevel"/>
    <w:lvl w:ilvl="0">
      <w:lvlJc w:val="left"/>
      <w:lvlText w:val="•"/>
      <w:numFmt w:val="bullet"/>
      <w:start w:val="1"/>
    </w:lvl>
  </w:abstractNum>
  <w:abstractNum w:abstractNumId="65">
    <w:nsid w:val="7E448DE9"/>
    <w:multiLevelType w:val="hybridMultilevel"/>
    <w:lvl w:ilvl="0">
      <w:lvlJc w:val="left"/>
      <w:lvlText w:val="•"/>
      <w:numFmt w:val="bullet"/>
      <w:start w:val="1"/>
    </w:lvl>
  </w:abstractNum>
  <w:abstractNum w:abstractNumId="66">
    <w:nsid w:val="5A9CC3E5"/>
    <w:multiLevelType w:val="hybridMultilevel"/>
    <w:lvl w:ilvl="0">
      <w:lvlJc w:val="left"/>
      <w:lvlText w:val="%1."/>
      <w:numFmt w:val="upperLetter"/>
      <w:start w:val="4"/>
    </w:lvl>
  </w:abstractNum>
  <w:abstractNum w:abstractNumId="67">
    <w:nsid w:val="1AFE3625"/>
    <w:multiLevelType w:val="hybridMultilevel"/>
    <w:lvl w:ilvl="0">
      <w:lvlJc w:val="left"/>
      <w:lvlText w:val="%1."/>
      <w:numFmt w:val="upperLetter"/>
      <w:start w:val="5"/>
    </w:lvl>
  </w:abstractNum>
  <w:abstractNum w:abstractNumId="68">
    <w:nsid w:val="3CA88ECF"/>
    <w:multiLevelType w:val="hybridMultilevel"/>
    <w:lvl w:ilvl="0">
      <w:lvlJc w:val="left"/>
      <w:lvlText w:val="•"/>
      <w:numFmt w:val="bullet"/>
      <w:start w:val="1"/>
    </w:lvl>
  </w:abstractNum>
  <w:abstractNum w:abstractNumId="69">
    <w:nsid w:val="6EBE4208"/>
    <w:multiLevelType w:val="hybridMultilevel"/>
    <w:lvl w:ilvl="0">
      <w:lvlJc w:val="left"/>
      <w:lvlText w:val="*"/>
      <w:numFmt w:val="bullet"/>
      <w:start w:val="1"/>
    </w:lvl>
  </w:abstractNum>
  <w:abstractNum w:abstractNumId="70">
    <w:nsid w:val="C058DF5"/>
    <w:multiLevelType w:val="hybridMultilevel"/>
    <w:lvl w:ilvl="0">
      <w:lvlJc w:val="left"/>
      <w:lvlText w:val="**"/>
      <w:numFmt w:val="bullet"/>
      <w:start w:val="1"/>
    </w:lvl>
  </w:abstractNum>
  <w:abstractNum w:abstractNumId="71">
    <w:nsid w:val="CBE5BE9"/>
    <w:multiLevelType w:val="hybridMultilevel"/>
    <w:lvl w:ilvl="0">
      <w:lvlJc w:val="left"/>
      <w:lvlText w:val="†"/>
      <w:numFmt w:val="bullet"/>
      <w:start w:val="1"/>
    </w:lvl>
  </w:abstractNum>
  <w:abstractNum w:abstractNumId="72">
    <w:nsid w:val="3102BBE2"/>
    <w:multiLevelType w:val="hybridMultilevel"/>
    <w:lvl w:ilvl="0">
      <w:lvlJc w:val="left"/>
      <w:lvlText w:val="(%1)"/>
      <w:numFmt w:val="decimal"/>
      <w:start w:val="1"/>
    </w:lvl>
  </w:abstractNum>
  <w:abstractNum w:abstractNumId="73">
    <w:nsid w:val="26A02C5E"/>
    <w:multiLevelType w:val="hybridMultilevel"/>
    <w:lvl w:ilvl="0">
      <w:lvlJc w:val="left"/>
      <w:lvlText w:val="(%1)"/>
      <w:numFmt w:val="decimal"/>
      <w:start w:val="9"/>
    </w:lvl>
  </w:abstractNum>
  <w:abstractNum w:abstractNumId="74">
    <w:nsid w:val="541C8153"/>
    <w:multiLevelType w:val="hybridMultilevel"/>
    <w:lvl w:ilvl="0">
      <w:lvlJc w:val="left"/>
      <w:lvlText w:val="•"/>
      <w:numFmt w:val="bullet"/>
      <w:start w:val="1"/>
    </w:lvl>
  </w:abstractNum>
  <w:abstractNum w:abstractNumId="75">
    <w:nsid w:val="67906F60"/>
    <w:multiLevelType w:val="hybridMultilevel"/>
    <w:lvl w:ilvl="0">
      <w:lvlJc w:val="left"/>
      <w:lvlText w:val="•"/>
      <w:numFmt w:val="bullet"/>
      <w:start w:val="1"/>
    </w:lvl>
  </w:abstractNum>
  <w:abstractNum w:abstractNumId="76">
    <w:nsid w:val="10DB9DAA"/>
    <w:multiLevelType w:val="hybridMultilevel"/>
    <w:lvl w:ilvl="0">
      <w:lvlJc w:val="left"/>
      <w:lvlText w:val="•"/>
      <w:numFmt w:val="bullet"/>
      <w:start w:val="1"/>
    </w:lvl>
  </w:abstractNum>
  <w:abstractNum w:abstractNumId="77">
    <w:nsid w:val="697D2D2"/>
    <w:multiLevelType w:val="hybridMultilevel"/>
    <w:lvl w:ilvl="0">
      <w:lvlJc w:val="left"/>
      <w:lvlText w:val="%1."/>
      <w:numFmt w:val="upperLetter"/>
      <w:start w:val="6"/>
    </w:lvl>
  </w:abstractNum>
  <w:abstractNum w:abstractNumId="78">
    <w:nsid w:val="6D68AB2"/>
    <w:multiLevelType w:val="hybridMultilevel"/>
    <w:lvl w:ilvl="0">
      <w:lvlJc w:val="left"/>
      <w:lvlText w:val="%1."/>
      <w:numFmt w:val="upperLetter"/>
      <w:start w:val="1"/>
    </w:lvl>
  </w:abstractNum>
  <w:abstractNum w:abstractNumId="79">
    <w:nsid w:val="3A966CD0"/>
    <w:multiLevelType w:val="hybridMultilevel"/>
    <w:lvl w:ilvl="0">
      <w:lvlJc w:val="left"/>
      <w:lvlText w:val="(%1)"/>
      <w:numFmt w:val="lowerRoman"/>
      <w:start w:val="1"/>
    </w:lvl>
  </w:abstractNum>
  <w:abstractNum w:abstractNumId="80">
    <w:nsid w:val="63F37E85"/>
    <w:multiLevelType w:val="hybridMultilevel"/>
    <w:lvl w:ilvl="0">
      <w:lvlJc w:val="left"/>
      <w:lvlText w:val="(%1)"/>
      <w:numFmt w:val="lowerRoman"/>
      <w:start w:val="1"/>
    </w:lvl>
  </w:abstractNum>
  <w:abstractNum w:abstractNumId="81">
    <w:nsid w:val="5895F5FA"/>
    <w:multiLevelType w:val="hybridMultilevel"/>
    <w:lvl w:ilvl="0">
      <w:lvlJc w:val="left"/>
      <w:lvlText w:val="%1."/>
      <w:numFmt w:val="upperLetter"/>
      <w:start w:val="3"/>
    </w:lvl>
  </w:abstractNum>
  <w:abstractNum w:abstractNumId="82">
    <w:nsid w:val="38A5D054"/>
    <w:multiLevelType w:val="hybridMultilevel"/>
    <w:lvl w:ilvl="0">
      <w:lvlJc w:val="left"/>
      <w:lvlText w:val="%1."/>
      <w:numFmt w:val="upperLetter"/>
      <w:start w:val="1"/>
    </w:lvl>
  </w:abstractNum>
  <w:abstractNum w:abstractNumId="83">
    <w:nsid w:val="F3F09D8"/>
    <w:multiLevelType w:val="hybridMultilevel"/>
    <w:lvl w:ilvl="0">
      <w:lvlJc w:val="left"/>
      <w:lvlText w:val="%1."/>
      <w:numFmt w:val="upperLetter"/>
      <w:start w:val="2"/>
    </w:lvl>
  </w:abstractNum>
  <w:abstractNum w:abstractNumId="84">
    <w:nsid w:val="4B793735"/>
    <w:multiLevelType w:val="hybridMultilevel"/>
    <w:lvl w:ilvl="0">
      <w:lvlJc w:val="left"/>
      <w:lvlText w:val="%1."/>
      <w:numFmt w:val="upperLetter"/>
      <w:start w:val="1"/>
    </w:lvl>
  </w:abstractNum>
  <w:abstractNum w:abstractNumId="85">
    <w:nsid w:val="4A10B4E8"/>
    <w:multiLevelType w:val="hybridMultilevel"/>
    <w:lvl w:ilvl="0">
      <w:lvlJc w:val="left"/>
      <w:lvlText w:val="%1."/>
      <w:numFmt w:val="upperLetter"/>
      <w:start w:val="4"/>
    </w:lvl>
  </w:abstractNum>
  <w:abstractNum w:abstractNumId="86">
    <w:nsid w:val="43D3BCD4"/>
    <w:multiLevelType w:val="hybridMultilevel"/>
    <w:lvl w:ilvl="0">
      <w:lvlJc w:val="left"/>
      <w:lvlText w:val="%1."/>
      <w:numFmt w:val="upperLetter"/>
      <w:start w:val="1"/>
    </w:lvl>
  </w:abstractNum>
  <w:abstractNum w:abstractNumId="87">
    <w:nsid w:val="4C2A7166"/>
    <w:multiLevelType w:val="hybridMultilevel"/>
    <w:lvl w:ilvl="0">
      <w:lvlJc w:val="left"/>
      <w:lvlText w:val="•"/>
      <w:numFmt w:val="bullet"/>
      <w:start w:val="1"/>
    </w:lvl>
  </w:abstractNum>
  <w:abstractNum w:abstractNumId="88">
    <w:nsid w:val="2E534A82"/>
    <w:multiLevelType w:val="hybridMultilevel"/>
    <w:lvl w:ilvl="0">
      <w:lvlJc w:val="left"/>
      <w:lvlText w:val="•"/>
      <w:numFmt w:val="bullet"/>
      <w:start w:val="1"/>
    </w:lvl>
  </w:abstractNum>
  <w:abstractNum w:abstractNumId="89">
    <w:nsid w:val="26F2D364"/>
    <w:multiLevelType w:val="hybridMultilevel"/>
    <w:lvl w:ilvl="0">
      <w:lvlJc w:val="left"/>
      <w:lvlText w:val="•"/>
      <w:numFmt w:val="bullet"/>
      <w:start w:val="1"/>
    </w:lvl>
  </w:abstractNum>
  <w:abstractNum w:abstractNumId="90">
    <w:nsid w:val="71C1AF98"/>
    <w:multiLevelType w:val="hybridMultilevel"/>
    <w:lvl w:ilvl="0">
      <w:lvlJc w:val="left"/>
      <w:lvlText w:val="•"/>
      <w:numFmt w:val="bullet"/>
      <w:start w:val="1"/>
    </w:lvl>
  </w:abstractNum>
  <w:abstractNum w:abstractNumId="91">
    <w:nsid w:val="3D00B9D9"/>
    <w:multiLevelType w:val="hybridMultilevel"/>
    <w:lvl w:ilvl="0">
      <w:lvlJc w:val="left"/>
      <w:lvlText w:val="•"/>
      <w:numFmt w:val="bullet"/>
      <w:start w:val="1"/>
    </w:lvl>
  </w:abstractNum>
  <w:abstractNum w:abstractNumId="92">
    <w:nsid w:val="15BCABA8"/>
    <w:multiLevelType w:val="hybridMultilevel"/>
    <w:lvl w:ilvl="0">
      <w:lvlJc w:val="left"/>
      <w:lvlText w:val="(%1)"/>
      <w:numFmt w:val="lowerLetter"/>
      <w:start w:val="2"/>
    </w:lvl>
  </w:abstractNum>
  <w:abstractNum w:abstractNumId="93">
    <w:nsid w:val="4E0B9A87"/>
    <w:multiLevelType w:val="hybridMultilevel"/>
    <w:lvl w:ilvl="0">
      <w:lvlJc w:val="left"/>
      <w:lvlText w:val="•"/>
      <w:numFmt w:val="bullet"/>
      <w:start w:val="1"/>
    </w:lvl>
  </w:abstractNum>
  <w:abstractNum w:abstractNumId="94">
    <w:nsid w:val="434BAE75"/>
    <w:multiLevelType w:val="hybridMultilevel"/>
    <w:lvl w:ilvl="0">
      <w:lvlJc w:val="left"/>
      <w:lvlText w:val="•"/>
      <w:numFmt w:val="bullet"/>
      <w:start w:val="1"/>
    </w:lvl>
  </w:abstractNum>
  <w:abstractNum w:abstractNumId="95">
    <w:nsid w:val="4F38F265"/>
    <w:multiLevelType w:val="hybridMultilevel"/>
    <w:lvl w:ilvl="0">
      <w:lvlJc w:val="left"/>
      <w:lvlText w:val="(%1)"/>
      <w:numFmt w:val="lowerRoman"/>
      <w:start w:val="3"/>
    </w:lvl>
  </w:abstractNum>
  <w:abstractNum w:abstractNumId="96">
    <w:nsid w:val="4C502870"/>
    <w:multiLevelType w:val="hybridMultilevel"/>
    <w:lvl w:ilvl="0">
      <w:lvlJc w:val="left"/>
      <w:lvlText w:val="(%1)"/>
      <w:numFmt w:val="lowerLetter"/>
      <w:start w:val="1"/>
    </w:lvl>
  </w:abstractNum>
  <w:abstractNum w:abstractNumId="97">
    <w:nsid w:val="1DE8725A"/>
    <w:multiLevelType w:val="hybridMultilevel"/>
    <w:lvl w:ilvl="0">
      <w:lvlJc w:val="left"/>
      <w:lvlText w:val="%1."/>
      <w:numFmt w:val="upperLetter"/>
      <w:start w:val="3"/>
    </w:lvl>
  </w:abstractNum>
  <w:abstractNum w:abstractNumId="98">
    <w:nsid w:val="6A37288A"/>
    <w:multiLevelType w:val="hybridMultilevel"/>
    <w:lvl w:ilvl="0">
      <w:lvlJc w:val="left"/>
      <w:lvlText w:val="%1."/>
      <w:numFmt w:val="upperLetter"/>
      <w:start w:val="4"/>
    </w:lvl>
  </w:abstractNum>
  <w:abstractNum w:abstractNumId="99">
    <w:nsid w:val="8F8B73F"/>
    <w:multiLevelType w:val="hybridMultilevel"/>
    <w:lvl w:ilvl="0">
      <w:lvlJc w:val="left"/>
      <w:lvlText w:val="%1."/>
      <w:numFmt w:val="upperLetter"/>
      <w:start w:val="5"/>
    </w:lvl>
  </w:abstractNum>
  <w:abstractNum w:abstractNumId="100">
    <w:nsid w:val="CA6B462"/>
    <w:multiLevelType w:val="hybridMultilevel"/>
    <w:lvl w:ilvl="0">
      <w:lvlJc w:val="left"/>
      <w:lvlText w:val="•"/>
      <w:numFmt w:val="bullet"/>
      <w:start w:val="1"/>
    </w:lvl>
  </w:abstractNum>
  <w:abstractNum w:abstractNumId="101">
    <w:nsid w:val="763CB680"/>
    <w:multiLevelType w:val="hybridMultilevel"/>
    <w:lvl w:ilvl="0">
      <w:lvlJc w:val="left"/>
      <w:lvlText w:val="•"/>
      <w:numFmt w:val="bullet"/>
      <w:start w:val="1"/>
    </w:lvl>
  </w:abstractNum>
  <w:abstractNum w:abstractNumId="102">
    <w:nsid w:val="15B71329"/>
    <w:multiLevelType w:val="hybridMultilevel"/>
    <w:lvl w:ilvl="0">
      <w:lvlJc w:val="left"/>
      <w:lvlText w:val="•"/>
      <w:numFmt w:val="bullet"/>
      <w:start w:val="1"/>
    </w:lvl>
  </w:abstractNum>
  <w:abstractNum w:abstractNumId="103">
    <w:nsid w:val="3DA97044"/>
    <w:multiLevelType w:val="hybridMultilevel"/>
    <w:lvl w:ilvl="0">
      <w:lvlJc w:val="left"/>
      <w:lvlText w:val="(%1)"/>
      <w:numFmt w:val="decimal"/>
      <w:start w:val="3"/>
    </w:lvl>
  </w:abstractNum>
  <w:abstractNum w:abstractNumId="104">
    <w:nsid w:val="1CDCE2DE"/>
    <w:multiLevelType w:val="hybridMultilevel"/>
    <w:lvl w:ilvl="0">
      <w:lvlJc w:val="left"/>
      <w:lvlText w:val="•"/>
      <w:numFmt w:val="bullet"/>
      <w:start w:val="1"/>
    </w:lvl>
  </w:abstractNum>
  <w:abstractNum w:abstractNumId="105">
    <w:nsid w:val="69D3947C"/>
    <w:multiLevelType w:val="hybridMultilevel"/>
    <w:lvl w:ilvl="0">
      <w:lvlJc w:val="left"/>
      <w:lvlText w:val="%1."/>
      <w:numFmt w:val="upperLetter"/>
      <w:start w:val="6"/>
    </w:lvl>
  </w:abstractNum>
  <w:abstractNum w:abstractNumId="106">
    <w:nsid w:val="2539DFA5"/>
    <w:multiLevelType w:val="hybridMultilevel"/>
    <w:lvl w:ilvl="0">
      <w:lvlJc w:val="left"/>
      <w:lvlText w:val="%1."/>
      <w:numFmt w:val="upperLetter"/>
      <w:start w:val="9"/>
    </w:lvl>
  </w:abstractNum>
  <w:abstractNum w:abstractNumId="107">
    <w:nsid w:val="2DB88089"/>
    <w:multiLevelType w:val="hybridMultilevel"/>
    <w:lvl w:ilvl="0">
      <w:lvlJc w:val="left"/>
      <w:lvlText w:val="%1."/>
      <w:numFmt w:val="upperLetter"/>
      <w:start w:val="1"/>
    </w:lvl>
  </w:abstractNum>
  <w:abstractNum w:abstractNumId="108">
    <w:nsid w:val="706B674E"/>
    <w:multiLevelType w:val="hybridMultilevel"/>
    <w:lvl w:ilvl="0">
      <w:lvlJc w:val="left"/>
      <w:lvlText w:val="•"/>
      <w:numFmt w:val="bullet"/>
      <w:start w:val="1"/>
    </w:lvl>
  </w:abstractNum>
  <w:abstractNum w:abstractNumId="109">
    <w:nsid w:val="2C106A57"/>
    <w:multiLevelType w:val="hybridMultilevel"/>
    <w:lvl w:ilvl="0">
      <w:lvlJc w:val="left"/>
      <w:lvlText w:val="(%1)"/>
      <w:numFmt w:val="lowerRoman"/>
      <w:start w:val="3"/>
    </w:lvl>
  </w:abstractNum>
  <w:abstractNum w:abstractNumId="110">
    <w:nsid w:val="684EED59"/>
    <w:multiLevelType w:val="hybridMultilevel"/>
    <w:lvl w:ilvl="0">
      <w:lvlJc w:val="left"/>
      <w:lvlText w:val="(%1)"/>
      <w:numFmt w:val="decimal"/>
      <w:start w:val="1"/>
    </w:lvl>
  </w:abstractNum>
  <w:abstractNum w:abstractNumId="111">
    <w:nsid w:val="545EE5D3"/>
    <w:multiLevelType w:val="hybridMultilevel"/>
    <w:lvl w:ilvl="0">
      <w:lvlJc w:val="left"/>
      <w:lvlText w:val="*"/>
      <w:numFmt w:val="bullet"/>
      <w:start w:val="1"/>
    </w:lvl>
  </w:abstractNum>
  <w:abstractNum w:abstractNumId="112">
    <w:nsid w:val="4A66051"/>
    <w:multiLevelType w:val="hybridMultilevel"/>
    <w:lvl w:ilvl="0">
      <w:lvlJc w:val="left"/>
      <w:lvlText w:val="**"/>
      <w:numFmt w:val="bullet"/>
      <w:start w:val="1"/>
    </w:lvl>
  </w:abstractNum>
  <w:abstractNum w:abstractNumId="113">
    <w:nsid w:val="20F4BDAD"/>
    <w:multiLevelType w:val="hybridMultilevel"/>
    <w:lvl w:ilvl="0">
      <w:lvlJc w:val="left"/>
      <w:lvlText w:val="1"/>
      <w:numFmt w:val="bullet"/>
      <w:start w:val="1"/>
    </w:lvl>
  </w:abstractNum>
  <w:abstractNum w:abstractNumId="114">
    <w:nsid w:val="639DEFAC"/>
    <w:multiLevelType w:val="hybridMultilevel"/>
    <w:lvl w:ilvl="0">
      <w:lvlJc w:val="left"/>
      <w:lvlText w:val="(%1)"/>
      <w:numFmt w:val="lowerLetter"/>
      <w:start w:val="1"/>
    </w:lvl>
  </w:abstractNum>
  <w:abstractNum w:abstractNumId="115">
    <w:nsid w:val="501F9786"/>
    <w:multiLevelType w:val="hybridMultilevel"/>
    <w:lvl w:ilvl="0">
      <w:lvlJc w:val="left"/>
      <w:lvlText w:val="(%1)"/>
      <w:numFmt w:val="lowerLetter"/>
      <w:start w:val="2"/>
    </w:lvl>
  </w:abstractNum>
  <w:abstractNum w:abstractNumId="116">
    <w:nsid w:val="6B057295"/>
    <w:multiLevelType w:val="hybridMultilevel"/>
    <w:lvl w:ilvl="0">
      <w:lvlJc w:val="left"/>
      <w:lvlText w:val="(%1)"/>
      <w:numFmt w:val="lowerLetter"/>
      <w:start w:val="3"/>
    </w:lvl>
  </w:abstractNum>
  <w:abstractNum w:abstractNumId="117">
    <w:nsid w:val="2771AC80"/>
    <w:multiLevelType w:val="hybridMultilevel"/>
    <w:lvl w:ilvl="0">
      <w:lvlJc w:val="left"/>
      <w:lvlText w:val="%1)"/>
      <w:numFmt w:val="decimal"/>
      <w:start w:val="1"/>
    </w:lvl>
  </w:abstractNum>
  <w:abstractNum w:abstractNumId="118">
    <w:nsid w:val="1C4A08EC"/>
    <w:multiLevelType w:val="hybridMultilevel"/>
    <w:lvl w:ilvl="0">
      <w:lvlJc w:val="left"/>
      <w:lvlText w:val="%1)"/>
      <w:numFmt w:val="decimal"/>
      <w:start w:val="2"/>
    </w:lvl>
  </w:abstractNum>
  <w:abstractNum w:abstractNumId="119">
    <w:nsid w:val="1958BD17"/>
    <w:multiLevelType w:val="hybridMultilevel"/>
    <w:lvl w:ilvl="0">
      <w:lvlJc w:val="left"/>
      <w:lvlText w:val="%1)"/>
      <w:numFmt w:val="decimal"/>
      <w:start w:val="3"/>
    </w:lvl>
  </w:abstractNum>
  <w:abstractNum w:abstractNumId="120">
    <w:nsid w:val="4E647FE4"/>
    <w:multiLevelType w:val="hybridMultilevel"/>
    <w:lvl w:ilvl="0">
      <w:lvlJc w:val="left"/>
      <w:lvlText w:val="%1)"/>
      <w:numFmt w:val="decimal"/>
      <w:start w:val="4"/>
    </w:lvl>
  </w:abstractNum>
  <w:abstractNum w:abstractNumId="121">
    <w:nsid w:val="E0BB885"/>
    <w:multiLevelType w:val="hybridMultilevel"/>
    <w:lvl w:ilvl="0">
      <w:lvlJc w:val="left"/>
      <w:lvlText w:val="%1)"/>
      <w:numFmt w:val="decimal"/>
      <w:start w:val="5"/>
    </w:lvl>
  </w:abstractNum>
  <w:abstractNum w:abstractNumId="122">
    <w:nsid w:val="565976F1"/>
    <w:multiLevelType w:val="hybridMultilevel"/>
    <w:lvl w:ilvl="0">
      <w:lvlJc w:val="left"/>
      <w:lvlText w:val="(%1)"/>
      <w:numFmt w:val="lowerLetter"/>
      <w:start w:val="4"/>
    </w:lvl>
  </w:abstractNum>
  <w:abstractNum w:abstractNumId="123">
    <w:nsid w:val="64212B8C"/>
    <w:multiLevelType w:val="hybridMultilevel"/>
    <w:lvl w:ilvl="0">
      <w:lvlJc w:val="left"/>
      <w:lvlText w:val="-"/>
      <w:numFmt w:val="bullet"/>
      <w:start w:val="1"/>
    </w:lvl>
  </w:abstractNum>
  <w:abstractNum w:abstractNumId="124">
    <w:nsid w:val="5C17530C"/>
    <w:multiLevelType w:val="hybridMultilevel"/>
    <w:lvl w:ilvl="0">
      <w:lvlJc w:val="left"/>
      <w:lvlText w:val="(%1)"/>
      <w:numFmt w:val="lowerLetter"/>
      <w:start w:val="5"/>
    </w:lvl>
    <w:lvl w:ilvl="1">
      <w:lvlJc w:val="left"/>
      <w:lvlText w:val="•"/>
      <w:numFmt w:val="bullet"/>
      <w:start w:val="1"/>
    </w:lvl>
  </w:abstractNum>
  <w:abstractNum w:abstractNumId="125">
    <w:nsid w:val="19A52566"/>
    <w:multiLevelType w:val="hybridMultilevel"/>
    <w:lvl w:ilvl="0">
      <w:lvlJc w:val="left"/>
      <w:lvlText w:val="2"/>
      <w:numFmt w:val="bullet"/>
      <w:start w:val="1"/>
    </w:lvl>
  </w:abstractNum>
  <w:abstractNum w:abstractNumId="126">
    <w:nsid w:val="335A1DF1"/>
    <w:multiLevelType w:val="hybridMultilevel"/>
    <w:lvl w:ilvl="0">
      <w:lvlJc w:val="left"/>
      <w:lvlText w:val="(%1)"/>
      <w:numFmt w:val="lowerLetter"/>
      <w:start w:val="1"/>
    </w:lvl>
  </w:abstractNum>
  <w:abstractNum w:abstractNumId="127">
    <w:nsid w:val="28677B7C"/>
    <w:multiLevelType w:val="hybridMultilevel"/>
    <w:lvl w:ilvl="0">
      <w:lvlJc w:val="left"/>
      <w:lvlText w:val="(%1)"/>
      <w:numFmt w:val="lowerLetter"/>
      <w:start w:val="2"/>
    </w:lvl>
  </w:abstractNum>
  <w:abstractNum w:abstractNumId="128">
    <w:nsid w:val="378D97C0"/>
    <w:multiLevelType w:val="hybridMultilevel"/>
    <w:lvl w:ilvl="0">
      <w:lvlJc w:val="left"/>
      <w:lvlText w:val="(%1)"/>
      <w:numFmt w:val="lowerLetter"/>
      <w:start w:val="5"/>
    </w:lvl>
  </w:abstractNum>
  <w:abstractNum w:abstractNumId="129">
    <w:nsid w:val="1D91467C"/>
    <w:multiLevelType w:val="hybridMultilevel"/>
    <w:lvl w:ilvl="0">
      <w:lvlJc w:val="left"/>
      <w:lvlText w:val="(%1)"/>
      <w:numFmt w:val="lowerLetter"/>
      <w:start w:val="6"/>
    </w:lvl>
  </w:abstractNum>
  <w:abstractNum w:abstractNumId="130">
    <w:nsid w:val="316032BB"/>
    <w:multiLevelType w:val="hybridMultilevel"/>
    <w:lvl w:ilvl="0">
      <w:lvlJc w:val="left"/>
      <w:lvlText w:val="(%1)"/>
      <w:numFmt w:val="lowerLetter"/>
      <w:start w:val="7"/>
    </w:lvl>
  </w:abstractNum>
  <w:abstractNum w:abstractNumId="131">
    <w:nsid w:val="44344C22"/>
    <w:multiLevelType w:val="hybridMultilevel"/>
    <w:lvl w:ilvl="0">
      <w:lvlJc w:val="left"/>
      <w:lvlText w:val="(%1)"/>
      <w:numFmt w:val="lowerRoman"/>
      <w:start w:val="1"/>
    </w:lvl>
  </w:abstractNum>
  <w:abstractNum w:abstractNumId="132">
    <w:nsid w:val="13CDFCFC"/>
    <w:multiLevelType w:val="hybridMultilevel"/>
    <w:lvl w:ilvl="0">
      <w:lvlJc w:val="left"/>
      <w:lvlText w:val="(%1)"/>
      <w:numFmt w:val="lowerRoman"/>
      <w:start w:val="2"/>
    </w:lvl>
  </w:abstractNum>
  <w:abstractNum w:abstractNumId="133">
    <w:nsid w:val="471745E4"/>
    <w:multiLevelType w:val="hybridMultilevel"/>
    <w:lvl w:ilvl="0">
      <w:lvlJc w:val="left"/>
      <w:lvlText w:val="(%1)"/>
      <w:numFmt w:val="lowerLetter"/>
      <w:start w:val="8"/>
    </w:lvl>
  </w:abstractNum>
  <w:abstractNum w:abstractNumId="134">
    <w:nsid w:val="1DDBC66"/>
    <w:multiLevelType w:val="hybridMultilevel"/>
    <w:lvl w:ilvl="0">
      <w:lvlJc w:val="left"/>
      <w:lvlText w:val="(%1)"/>
      <w:numFmt w:val="lowerRoman"/>
      <w:start w:val="1"/>
    </w:lvl>
  </w:abstractNum>
  <w:abstractNum w:abstractNumId="135">
    <w:nsid w:val="30AADFDA"/>
    <w:multiLevelType w:val="hybridMultilevel"/>
    <w:lvl w:ilvl="0">
      <w:lvlJc w:val="left"/>
      <w:lvlText w:val="-"/>
      <w:numFmt w:val="bullet"/>
      <w:start w:val="1"/>
    </w:lvl>
  </w:abstractNum>
  <w:abstractNum w:abstractNumId="136">
    <w:nsid w:val="30EADA61"/>
    <w:multiLevelType w:val="hybridMultilevel"/>
    <w:lvl w:ilvl="0">
      <w:lvlJc w:val="left"/>
      <w:lvlText w:val="-"/>
      <w:numFmt w:val="bullet"/>
      <w:start w:val="1"/>
    </w:lvl>
  </w:abstractNum>
  <w:abstractNum w:abstractNumId="137">
    <w:nsid w:val="27179C0B"/>
    <w:multiLevelType w:val="hybridMultilevel"/>
    <w:lvl w:ilvl="0">
      <w:lvlJc w:val="left"/>
      <w:lvlText w:val="-"/>
      <w:numFmt w:val="bullet"/>
      <w:start w:val="1"/>
    </w:lvl>
  </w:abstractNum>
  <w:abstractNum w:abstractNumId="138">
    <w:nsid w:val="5E636063"/>
    <w:multiLevelType w:val="hybridMultilevel"/>
    <w:lvl w:ilvl="0">
      <w:lvlJc w:val="left"/>
      <w:lvlText w:val="-"/>
      <w:numFmt w:val="bullet"/>
      <w:start w:val="1"/>
    </w:lvl>
  </w:abstractNum>
  <w:abstractNum w:abstractNumId="139">
    <w:nsid w:val="215641AF"/>
    <w:multiLevelType w:val="hybridMultilevel"/>
    <w:lvl w:ilvl="0">
      <w:lvlJc w:val="left"/>
      <w:lvlText w:val="(%1)"/>
      <w:numFmt w:val="lowerRoman"/>
      <w:start w:val="2"/>
    </w:lvl>
  </w:abstractNum>
  <w:abstractNum w:abstractNumId="140">
    <w:nsid w:val="53280662"/>
    <w:multiLevelType w:val="hybridMultilevel"/>
    <w:lvl w:ilvl="0">
      <w:lvlJc w:val="left"/>
      <w:lvlText w:val="(%1)"/>
      <w:numFmt w:val="lowerRoman"/>
      <w:start w:val="1"/>
    </w:lvl>
  </w:abstractNum>
  <w:abstractNum w:abstractNumId="141">
    <w:nsid w:val="46B24DBC"/>
    <w:multiLevelType w:val="hybridMultilevel"/>
    <w:lvl w:ilvl="0">
      <w:lvlJc w:val="left"/>
      <w:lvlText w:val="(%1)"/>
      <w:numFmt w:val="lowerLetter"/>
      <w:start w:val="10"/>
    </w:lvl>
  </w:abstractNum>
  <w:abstractNum w:abstractNumId="142">
    <w:nsid w:val="75B52783"/>
    <w:multiLevelType w:val="hybridMultilevel"/>
    <w:lvl w:ilvl="0">
      <w:lvlJc w:val="left"/>
      <w:lvlText w:val="(%1)"/>
      <w:numFmt w:val="lowerLetter"/>
      <w:start w:val="15"/>
    </w:lvl>
  </w:abstractNum>
  <w:abstractNum w:abstractNumId="143">
    <w:nsid w:val="57CE66B4"/>
    <w:multiLevelType w:val="hybridMultilevel"/>
    <w:lvl w:ilvl="0">
      <w:lvlJc w:val="left"/>
      <w:lvlText w:val="(%1)"/>
      <w:numFmt w:val="lowerRoman"/>
      <w:start w:val="1"/>
    </w:lvl>
  </w:abstractNum>
  <w:abstractNum w:abstractNumId="144">
    <w:nsid w:val="67A70B69"/>
    <w:multiLevelType w:val="hybridMultilevel"/>
    <w:lvl w:ilvl="0">
      <w:lvlJc w:val="left"/>
      <w:lvlText w:val="(%1)"/>
      <w:numFmt w:val="lowerRoman"/>
      <w:start w:val="2"/>
    </w:lvl>
  </w:abstractNum>
  <w:abstractNum w:abstractNumId="145">
    <w:nsid w:val="5953172F"/>
    <w:multiLevelType w:val="hybridMultilevel"/>
    <w:lvl w:ilvl="0">
      <w:lvlJc w:val="left"/>
      <w:lvlText w:val="(%1)"/>
      <w:numFmt w:val="lowerLetter"/>
      <w:start w:val="18"/>
    </w:lvl>
  </w:abstractNum>
  <w:abstractNum w:abstractNumId="146">
    <w:nsid w:val="27EDFE3A"/>
    <w:multiLevelType w:val="hybridMultilevel"/>
    <w:lvl w:ilvl="0">
      <w:lvlJc w:val="left"/>
      <w:lvlText w:val="(%1)"/>
      <w:numFmt w:val="lowerLetter"/>
      <w:start w:val="21"/>
    </w:lvl>
  </w:abstractNum>
  <w:abstractNum w:abstractNumId="147">
    <w:nsid w:val="52AC7DFF"/>
    <w:multiLevelType w:val="hybridMultilevel"/>
    <w:lvl w:ilvl="0">
      <w:lvlJc w:val="left"/>
      <w:lvlText w:val="(%1)"/>
      <w:numFmt w:val="lowerRoman"/>
      <w:start w:val="1"/>
    </w:lvl>
  </w:abstractNum>
  <w:abstractNum w:abstractNumId="148">
    <w:nsid w:val="C4C3AF"/>
    <w:multiLevelType w:val="hybridMultilevel"/>
    <w:lvl w:ilvl="0">
      <w:lvlJc w:val="left"/>
      <w:lvlText w:val="(%1)"/>
      <w:numFmt w:val="lowerRoman"/>
      <w:start w:val="2"/>
    </w:lvl>
  </w:abstractNum>
  <w:abstractNum w:abstractNumId="149">
    <w:nsid w:val="44380727"/>
    <w:multiLevelType w:val="hybridMultilevel"/>
    <w:lvl w:ilvl="0">
      <w:lvlJc w:val="left"/>
      <w:lvlText w:val="(%1)"/>
      <w:numFmt w:val="lowerRoman"/>
      <w:start w:val="3"/>
    </w:lvl>
  </w:abstractNum>
  <w:abstractNum w:abstractNumId="150">
    <w:nsid w:val="6C053B16"/>
    <w:multiLevelType w:val="hybridMultilevel"/>
    <w:lvl w:ilvl="0">
      <w:lvlJc w:val="left"/>
      <w:lvlText w:val="(%1)"/>
      <w:numFmt w:val="lowerRoman"/>
      <w:start w:val="4"/>
    </w:lvl>
  </w:abstractNum>
  <w:abstractNum w:abstractNumId="151">
    <w:nsid w:val="4F294393"/>
    <w:multiLevelType w:val="hybridMultilevel"/>
    <w:lvl w:ilvl="0">
      <w:lvlJc w:val="left"/>
      <w:lvlText w:val="(%1)"/>
      <w:numFmt w:val="lowerRoman"/>
      <w:start w:val="5"/>
    </w:lvl>
    <w:lvl w:ilvl="1">
      <w:lvlJc w:val="left"/>
      <w:lvlText w:val="-"/>
      <w:numFmt w:val="bullet"/>
      <w:start w:val="1"/>
    </w:lvl>
  </w:abstractNum>
  <w:abstractNum w:abstractNumId="152">
    <w:nsid w:val="5243BFAC"/>
    <w:multiLevelType w:val="hybridMultilevel"/>
    <w:lvl w:ilvl="0">
      <w:lvlJc w:val="left"/>
      <w:lvlText w:val="(%1)"/>
      <w:numFmt w:val="lowerLetter"/>
      <w:start w:val="23"/>
    </w:lvl>
    <w:lvl w:ilvl="1">
      <w:lvlJc w:val="left"/>
      <w:lvlText w:val="•"/>
      <w:numFmt w:val="bullet"/>
      <w:start w:val="1"/>
    </w:lvl>
  </w:abstractNum>
  <w:abstractNum w:abstractNumId="153">
    <w:nsid w:val="425EB207"/>
    <w:multiLevelType w:val="hybridMultilevel"/>
    <w:lvl w:ilvl="0">
      <w:lvlJc w:val="left"/>
      <w:lvlText w:val="(%1)"/>
      <w:numFmt w:val="lowerRoman"/>
      <w:start w:val="1"/>
    </w:lvl>
  </w:abstractNum>
  <w:abstractNum w:abstractNumId="154">
    <w:nsid w:val="334A6F1F"/>
    <w:multiLevelType w:val="hybridMultilevel"/>
    <w:lvl w:ilvl="0">
      <w:lvlJc w:val="left"/>
      <w:lvlText w:val="(%1)"/>
      <w:numFmt w:val="lowerRoman"/>
      <w:start w:val="2"/>
    </w:lvl>
  </w:abstractNum>
  <w:abstractNum w:abstractNumId="155">
    <w:nsid w:val="2E5B12B8"/>
    <w:multiLevelType w:val="hybridMultilevel"/>
    <w:lvl w:ilvl="0">
      <w:lvlJc w:val="left"/>
      <w:lvlText w:val="(%1)"/>
      <w:numFmt w:val="lowerRoman"/>
      <w:start w:val="3"/>
    </w:lvl>
  </w:abstractNum>
  <w:abstractNum w:abstractNumId="156">
    <w:nsid w:val="5C03D76D"/>
    <w:multiLevelType w:val="hybridMultilevel"/>
    <w:lvl w:ilvl="0">
      <w:lvlJc w:val="left"/>
      <w:lvlText w:val="(%1)"/>
      <w:numFmt w:val="lowerRoman"/>
      <w:start w:val="4"/>
    </w:lvl>
  </w:abstractNum>
  <w:abstractNum w:abstractNumId="157">
    <w:nsid w:val="66A48D11"/>
    <w:multiLevelType w:val="hybridMultilevel"/>
    <w:lvl w:ilvl="0">
      <w:lvlJc w:val="left"/>
      <w:lvlText w:val="(%1)"/>
      <w:numFmt w:val="lowerLetter"/>
      <w:start w:val="25"/>
    </w:lvl>
  </w:abstractNum>
  <w:abstractNum w:abstractNumId="158">
    <w:nsid w:val="56C28E34"/>
    <w:multiLevelType w:val="hybridMultilevel"/>
    <w:lvl w:ilvl="0">
      <w:lvlJc w:val="left"/>
      <w:lvlText w:val="(%1)"/>
      <w:numFmt w:val="lowerLetter"/>
      <w:start w:val="27"/>
    </w:lvl>
    <w:lvl w:ilvl="1">
      <w:lvlJc w:val="left"/>
      <w:lvlText w:val="(%2)"/>
      <w:numFmt w:val="lowerLetter"/>
      <w:start w:val="1"/>
    </w:lvl>
    <w:lvl w:ilvl="2">
      <w:lvlJc w:val="left"/>
      <w:lvlText w:val="(%3)"/>
      <w:numFmt w:val="lowerRoman"/>
      <w:start w:val="1"/>
    </w:lvl>
  </w:abstractNum>
  <w:abstractNum w:abstractNumId="159">
    <w:nsid w:val="13916F2D"/>
    <w:multiLevelType w:val="hybridMultilevel"/>
    <w:lvl w:ilvl="0">
      <w:lvlJc w:val="left"/>
      <w:lvlText w:val="(%1)"/>
      <w:numFmt w:val="lowerLetter"/>
      <w:start w:val="2"/>
    </w:lvl>
    <w:lvl w:ilvl="1">
      <w:lvlJc w:val="left"/>
      <w:lvlText w:val="(%2)"/>
      <w:numFmt w:val="lowerRoman"/>
      <w:start w:val="1"/>
    </w:lvl>
  </w:abstractNum>
  <w:abstractNum w:abstractNumId="160">
    <w:nsid w:val="435D38D"/>
    <w:multiLevelType w:val="hybridMultilevel"/>
    <w:lvl w:ilvl="0">
      <w:lvlJc w:val="left"/>
      <w:lvlText w:val="3"/>
      <w:numFmt w:val="bullet"/>
      <w:start w:val="1"/>
    </w:lvl>
  </w:abstractNum>
  <w:abstractNum w:abstractNumId="161">
    <w:nsid w:val="822C0EF"/>
    <w:multiLevelType w:val="hybridMultilevel"/>
    <w:lvl w:ilvl="0">
      <w:lvlJc w:val="left"/>
      <w:lvlText w:val="(%1)"/>
      <w:numFmt w:val="lowerLetter"/>
      <w:start w:val="1"/>
    </w:lvl>
  </w:abstractNum>
  <w:abstractNum w:abstractNumId="162">
    <w:nsid w:val="57C5BB4F"/>
    <w:multiLevelType w:val="hybridMultilevel"/>
    <w:lvl w:ilvl="0">
      <w:lvlJc w:val="left"/>
      <w:lvlText w:val="(%1)"/>
      <w:numFmt w:val="lowerLetter"/>
      <w:start w:val="2"/>
    </w:lvl>
  </w:abstractNum>
  <w:abstractNum w:abstractNumId="163">
    <w:nsid w:val="1803D089"/>
    <w:multiLevelType w:val="hybridMultilevel"/>
    <w:lvl w:ilvl="0">
      <w:lvlJc w:val="left"/>
      <w:lvlText w:val="4"/>
      <w:numFmt w:val="bullet"/>
      <w:start w:val="1"/>
    </w:lvl>
  </w:abstractNum>
  <w:abstractNum w:abstractNumId="164">
    <w:nsid w:val="4F3A06D4"/>
    <w:multiLevelType w:val="hybridMultilevel"/>
    <w:lvl w:ilvl="0">
      <w:lvlJc w:val="left"/>
      <w:lvlText w:val="5"/>
      <w:numFmt w:val="bullet"/>
      <w:start w:val="1"/>
    </w:lvl>
  </w:abstractNum>
  <w:abstractNum w:abstractNumId="165">
    <w:nsid w:val="59A377B6"/>
    <w:multiLevelType w:val="hybridMultilevel"/>
    <w:lvl w:ilvl="0">
      <w:lvlJc w:val="left"/>
      <w:lvlText w:val="(%1)"/>
      <w:numFmt w:val="lowerRoman"/>
      <w:start w:val="1"/>
    </w:lvl>
  </w:abstractNum>
  <w:abstractNum w:abstractNumId="166">
    <w:nsid w:val="48AEB063"/>
    <w:multiLevelType w:val="hybridMultilevel"/>
    <w:lvl w:ilvl="0">
      <w:lvlJc w:val="left"/>
      <w:lvlText w:val="*"/>
      <w:numFmt w:val="bullet"/>
      <w:start w:val="1"/>
    </w:lvl>
  </w:abstractNum>
  <w:abstractNum w:abstractNumId="167">
    <w:nsid w:val="24E135"/>
    <w:multiLevelType w:val="hybridMultilevel"/>
    <w:lvl w:ilvl="0">
      <w:lvlJc w:val="left"/>
      <w:lvlText w:val="(%1)"/>
      <w:numFmt w:val="lowerRoman"/>
      <w:start w:val="2"/>
    </w:lvl>
  </w:abstractNum>
  <w:abstractNum w:abstractNumId="168">
    <w:nsid w:val="BB13C1"/>
    <w:multiLevelType w:val="hybridMultilevel"/>
    <w:lvl w:ilvl="0">
      <w:lvlJc w:val="left"/>
      <w:lvlText w:val="9"/>
      <w:numFmt w:val="bullet"/>
      <w:start w:val="1"/>
    </w:lvl>
  </w:abstractNum>
  <w:abstractNum w:abstractNumId="169">
    <w:nsid w:val="271210C7"/>
    <w:multiLevelType w:val="hybridMultilevel"/>
    <w:lvl w:ilvl="0">
      <w:lvlJc w:val="left"/>
      <w:lvlText w:val="(%1)"/>
      <w:numFmt w:val="lowerLetter"/>
      <w:start w:val="1"/>
    </w:lvl>
  </w:abstractNum>
  <w:abstractNum w:abstractNumId="170">
    <w:nsid w:val="217B22E4"/>
    <w:multiLevelType w:val="hybridMultilevel"/>
    <w:lvl w:ilvl="0">
      <w:lvlJc w:val="left"/>
      <w:lvlText w:val="(%1)"/>
      <w:numFmt w:val="lowerRoman"/>
      <w:start w:val="1"/>
    </w:lvl>
  </w:abstractNum>
  <w:abstractNum w:abstractNumId="171">
    <w:nsid w:val="53E31A24"/>
    <w:multiLevelType w:val="hybridMultilevel"/>
    <w:lvl w:ilvl="0">
      <w:lvlJc w:val="left"/>
      <w:lvlText w:val="(%1)"/>
      <w:numFmt w:val="lowerRoman"/>
      <w:start w:val="2"/>
    </w:lvl>
  </w:abstractNum>
  <w:abstractNum w:abstractNumId="172">
    <w:nsid w:val="6DC45E83"/>
    <w:multiLevelType w:val="hybridMultilevel"/>
    <w:lvl w:ilvl="0">
      <w:lvlJc w:val="left"/>
      <w:lvlText w:val="(%1)"/>
      <w:numFmt w:val="lowerRoman"/>
      <w:start w:val="3"/>
    </w:lvl>
  </w:abstractNum>
  <w:abstractNum w:abstractNumId="173">
    <w:nsid w:val="17304A67"/>
    <w:multiLevelType w:val="hybridMultilevel"/>
    <w:lvl w:ilvl="0">
      <w:lvlJc w:val="left"/>
      <w:lvlText w:val="(%1)"/>
      <w:numFmt w:val="lowerRoman"/>
      <w:start w:val="4"/>
    </w:lvl>
  </w:abstractNum>
  <w:abstractNum w:abstractNumId="174">
    <w:nsid w:val="2BB180D8"/>
    <w:multiLevelType w:val="hybridMultilevel"/>
    <w:lvl w:ilvl="0">
      <w:lvlJc w:val="left"/>
      <w:lvlText w:val="(%1)"/>
      <w:numFmt w:val="lowerLetter"/>
      <w:start w:val="2"/>
    </w:lvl>
    <w:lvl w:ilvl="1">
      <w:lvlJc w:val="left"/>
      <w:lvlText w:val="(%2)"/>
      <w:numFmt w:val="lowerLetter"/>
      <w:start w:val="9"/>
    </w:lvl>
  </w:abstractNum>
  <w:abstractNum w:abstractNumId="175">
    <w:nsid w:val="556B69ED"/>
    <w:multiLevelType w:val="hybridMultilevel"/>
    <w:lvl w:ilvl="0">
      <w:lvlJc w:val="left"/>
      <w:lvlText w:val="(%1)"/>
      <w:numFmt w:val="lowerRoman"/>
      <w:start w:val="2"/>
    </w:lvl>
  </w:abstractNum>
  <w:abstractNum w:abstractNumId="176">
    <w:nsid w:val="70836196"/>
    <w:multiLevelType w:val="hybridMultilevel"/>
    <w:lvl w:ilvl="0">
      <w:lvlJc w:val="left"/>
      <w:lvlText w:val="(%1)"/>
      <w:numFmt w:val="lowerLetter"/>
      <w:start w:val="3"/>
    </w:lvl>
  </w:abstractNum>
  <w:abstractNum w:abstractNumId="177">
    <w:nsid w:val="539F7F12"/>
    <w:multiLevelType w:val="hybridMultilevel"/>
    <w:lvl w:ilvl="0">
      <w:lvlJc w:val="left"/>
      <w:lvlText w:val="(%1)"/>
      <w:numFmt w:val="lowerLetter"/>
      <w:start w:val="1"/>
    </w:lvl>
  </w:abstractNum>
  <w:abstractNum w:abstractNumId="178">
    <w:nsid w:val="2817E7EC"/>
    <w:multiLevelType w:val="hybridMultilevel"/>
    <w:lvl w:ilvl="0">
      <w:lvlJc w:val="left"/>
      <w:lvlText w:val="(%1)"/>
      <w:numFmt w:val="lowerRoman"/>
      <w:start w:val="1"/>
    </w:lvl>
  </w:abstractNum>
  <w:abstractNum w:abstractNumId="179">
    <w:nsid w:val="71482545"/>
    <w:multiLevelType w:val="hybridMultilevel"/>
    <w:lvl w:ilvl="0">
      <w:lvlJc w:val="left"/>
      <w:lvlText w:val="*"/>
      <w:numFmt w:val="bullet"/>
      <w:start w:val="1"/>
    </w:lvl>
  </w:abstractNum>
  <w:abstractNum w:abstractNumId="180">
    <w:nsid w:val="17D78639"/>
    <w:multiLevelType w:val="hybridMultilevel"/>
    <w:lvl w:ilvl="0">
      <w:lvlJc w:val="left"/>
      <w:lvlText w:val="(%1)"/>
      <w:numFmt w:val="lowerLetter"/>
      <w:start w:val="2"/>
    </w:lvl>
  </w:abstractNum>
  <w:abstractNum w:abstractNumId="181">
    <w:nsid w:val="141D2302"/>
    <w:multiLevelType w:val="hybridMultilevel"/>
    <w:lvl w:ilvl="0">
      <w:lvlJc w:val="left"/>
      <w:lvlText w:val="(%1)"/>
      <w:numFmt w:val="lowerRoman"/>
      <w:start w:val="1"/>
    </w:lvl>
  </w:abstractNum>
  <w:abstractNum w:abstractNumId="182">
    <w:nsid w:val="407168D8"/>
    <w:multiLevelType w:val="hybridMultilevel"/>
    <w:lvl w:ilvl="0">
      <w:lvlJc w:val="left"/>
      <w:lvlText w:val="(%1)"/>
      <w:numFmt w:val="lowerRoman"/>
      <w:start w:val="2"/>
    </w:lvl>
  </w:abstractNum>
  <w:abstractNum w:abstractNumId="183">
    <w:nsid w:val="6A1B45E5"/>
    <w:multiLevelType w:val="hybridMultilevel"/>
    <w:lvl w:ilvl="0">
      <w:lvlJc w:val="left"/>
      <w:lvlText w:val="%1"/>
      <w:numFmt w:val="decimal"/>
      <w:start w:val="14"/>
    </w:lvl>
  </w:abstractNum>
  <w:abstractNum w:abstractNumId="184">
    <w:nsid w:val="567BD50A"/>
    <w:multiLevelType w:val="hybridMultilevel"/>
    <w:lvl w:ilvl="0">
      <w:lvlJc w:val="left"/>
      <w:lvlText w:val="(%1)"/>
      <w:numFmt w:val="lowerRoman"/>
      <w:start w:val="1"/>
    </w:lvl>
  </w:abstractNum>
  <w:abstractNum w:abstractNumId="185">
    <w:nsid w:val="73BBD7F8"/>
    <w:multiLevelType w:val="hybridMultilevel"/>
    <w:lvl w:ilvl="0">
      <w:lvlJc w:val="left"/>
      <w:lvlText w:val="(%1)"/>
      <w:numFmt w:val="lowerRoman"/>
      <w:start w:val="1"/>
    </w:lvl>
  </w:abstractNum>
  <w:abstractNum w:abstractNumId="186">
    <w:nsid w:val="1876589D"/>
    <w:multiLevelType w:val="hybridMultilevel"/>
    <w:lvl w:ilvl="0">
      <w:lvlJc w:val="left"/>
      <w:lvlText w:val="(%1)"/>
      <w:numFmt w:val="lowerLetter"/>
      <w:start w:val="2"/>
    </w:lvl>
  </w:abstractNum>
  <w:abstractNum w:abstractNumId="187">
    <w:nsid w:val="327FAC77"/>
    <w:multiLevelType w:val="hybridMultilevel"/>
    <w:lvl w:ilvl="0">
      <w:lvlJc w:val="left"/>
      <w:lvlText w:val="(%1)"/>
      <w:numFmt w:val="lowerRoman"/>
      <w:start w:val="1"/>
    </w:lvl>
  </w:abstractNum>
  <w:abstractNum w:abstractNumId="188">
    <w:nsid w:val="5A606509"/>
    <w:multiLevelType w:val="hybridMultilevel"/>
    <w:lvl w:ilvl="0">
      <w:lvlJc w:val="left"/>
      <w:lvlText w:val="%1"/>
      <w:numFmt w:val="decimal"/>
      <w:start w:val="21"/>
    </w:lvl>
    <w:lvl w:ilvl="1">
      <w:lvlJc w:val="left"/>
      <w:lvlText w:val="(%2)"/>
      <w:numFmt w:val="lowerLetter"/>
      <w:start w:val="1"/>
    </w:lvl>
  </w:abstractNum>
  <w:abstractNum w:abstractNumId="189">
    <w:nsid w:val="6F38E6D1"/>
    <w:multiLevelType w:val="hybridMultilevel"/>
    <w:lvl w:ilvl="0">
      <w:lvlJc w:val="left"/>
      <w:lvlText w:val="(%1)"/>
      <w:numFmt w:val="lowerLetter"/>
      <w:start w:val="3"/>
    </w:lvl>
  </w:abstractNum>
  <w:abstractNum w:abstractNumId="190">
    <w:nsid w:val="46111BA5"/>
    <w:multiLevelType w:val="hybridMultilevel"/>
    <w:lvl w:ilvl="0">
      <w:lvlJc w:val="left"/>
      <w:lvlText w:val="(%1)"/>
      <w:numFmt w:val="lowerLetter"/>
      <w:start w:val="4"/>
    </w:lvl>
  </w:abstractNum>
  <w:abstractNum w:abstractNumId="191">
    <w:nsid w:val="5E963896"/>
    <w:multiLevelType w:val="hybridMultilevel"/>
    <w:lvl w:ilvl="0">
      <w:lvlJc w:val="left"/>
      <w:lvlText w:val="(%1)"/>
      <w:numFmt w:val="lowerLetter"/>
      <w:start w:val="5"/>
    </w:lvl>
  </w:abstractNum>
  <w:abstractNum w:abstractNumId="192">
    <w:nsid w:val="775BA7C1"/>
    <w:multiLevelType w:val="hybridMultilevel"/>
    <w:lvl w:ilvl="0">
      <w:lvlJc w:val="left"/>
      <w:lvlText w:val="(%1)"/>
      <w:numFmt w:val="lowerRoman"/>
      <w:start w:val="1"/>
    </w:lvl>
  </w:abstractNum>
  <w:abstractNum w:abstractNumId="193">
    <w:nsid w:val="1DD6D6F4"/>
    <w:multiLevelType w:val="hybridMultilevel"/>
    <w:lvl w:ilvl="0">
      <w:lvlJc w:val="left"/>
      <w:lvlText w:val="(%1)"/>
      <w:numFmt w:val="lowerRoman"/>
      <w:start w:val="2"/>
    </w:lvl>
  </w:abstractNum>
  <w:abstractNum w:abstractNumId="194">
    <w:nsid w:val="769A091F"/>
    <w:multiLevelType w:val="hybridMultilevel"/>
    <w:lvl w:ilvl="0">
      <w:lvlJc w:val="left"/>
      <w:lvlText w:val="%1"/>
      <w:numFmt w:val="decimal"/>
      <w:start w:val="22"/>
    </w:lvl>
  </w:abstractNum>
  <w:abstractNum w:abstractNumId="195">
    <w:nsid w:val="4695AE95"/>
    <w:multiLevelType w:val="hybridMultilevel"/>
    <w:lvl w:ilvl="0">
      <w:lvlJc w:val="left"/>
      <w:lvlText w:val="(%1)"/>
      <w:numFmt w:val="lowerLetter"/>
      <w:start w:val="1"/>
    </w:lvl>
  </w:abstractNum>
  <w:abstractNum w:abstractNumId="196">
    <w:nsid w:val="777A4EAA"/>
    <w:multiLevelType w:val="hybridMultilevel"/>
    <w:lvl w:ilvl="0">
      <w:lvlJc w:val="left"/>
      <w:lvlText w:val="(%1)"/>
      <w:numFmt w:val="lowerLetter"/>
      <w:start w:val="2"/>
    </w:lvl>
  </w:abstractNum>
  <w:abstractNum w:abstractNumId="197">
    <w:nsid w:val="3F48B982"/>
    <w:multiLevelType w:val="hybridMultilevel"/>
    <w:lvl w:ilvl="0">
      <w:lvlJc w:val="left"/>
      <w:lvlText w:val="*"/>
      <w:numFmt w:val="bullet"/>
      <w:start w:val="1"/>
    </w:lvl>
  </w:abstractNum>
  <w:abstractNum w:abstractNumId="198">
    <w:nsid w:val="46BA8FCA"/>
    <w:multiLevelType w:val="hybridMultilevel"/>
    <w:lvl w:ilvl="0">
      <w:lvlJc w:val="left"/>
      <w:lvlText w:val="(%1)"/>
      <w:numFmt w:val="lowerRoman"/>
      <w:start w:val="1"/>
    </w:lvl>
  </w:abstractNum>
  <w:abstractNum w:abstractNumId="199">
    <w:nsid w:val="7835626C"/>
    <w:multiLevelType w:val="hybridMultilevel"/>
    <w:lvl w:ilvl="0">
      <w:lvlJc w:val="left"/>
      <w:lvlText w:val="(%1)"/>
      <w:numFmt w:val="lowerRoman"/>
      <w:start w:val="1"/>
    </w:lvl>
  </w:abstractNum>
  <w:abstractNum w:abstractNumId="200">
    <w:nsid w:val="665ACA49"/>
    <w:multiLevelType w:val="hybridMultilevel"/>
    <w:lvl w:ilvl="0">
      <w:lvlJc w:val="left"/>
      <w:lvlText w:val="(%1)"/>
      <w:numFmt w:val="lowerRoman"/>
      <w:start w:val="1"/>
    </w:lvl>
  </w:abstractNum>
  <w:abstractNum w:abstractNumId="201">
    <w:nsid w:val="6835B2AE"/>
    <w:multiLevelType w:val="hybridMultilevel"/>
    <w:lvl w:ilvl="0">
      <w:lvlJc w:val="left"/>
      <w:lvlText w:val="(%1)"/>
      <w:numFmt w:val="lowerRoman"/>
      <w:start w:val="3"/>
    </w:lvl>
  </w:abstractNum>
  <w:abstractNum w:abstractNumId="202">
    <w:nsid w:val="4C187C90"/>
    <w:multiLevelType w:val="hybridMultilevel"/>
    <w:lvl w:ilvl="0">
      <w:lvlJc w:val="left"/>
      <w:lvlText w:val="(%1)"/>
      <w:numFmt w:val="lowerLetter"/>
      <w:start w:val="2"/>
    </w:lvl>
  </w:abstractNum>
  <w:abstractNum w:abstractNumId="203">
    <w:nsid w:val="541F28CD"/>
    <w:multiLevelType w:val="hybridMultilevel"/>
    <w:lvl w:ilvl="0">
      <w:lvlJc w:val="left"/>
      <w:lvlText w:val="(%1)"/>
      <w:numFmt w:val="lowerRoman"/>
      <w:start w:val="1"/>
    </w:lvl>
  </w:abstractNum>
  <w:abstractNum w:abstractNumId="204">
    <w:nsid w:val="7F65FD16"/>
    <w:multiLevelType w:val="hybridMultilevel"/>
    <w:lvl w:ilvl="0">
      <w:lvlJc w:val="left"/>
      <w:lvlText w:val="(%1)"/>
      <w:numFmt w:val="lowerLetter"/>
      <w:start w:val="4"/>
    </w:lvl>
  </w:abstractNum>
  <w:abstractNum w:abstractNumId="205">
    <w:nsid w:val="77C9FD68"/>
    <w:multiLevelType w:val="hybridMultilevel"/>
    <w:lvl w:ilvl="0">
      <w:lvlJc w:val="left"/>
      <w:lvlText w:val="%1"/>
      <w:numFmt w:val="decimal"/>
      <w:start w:val="30"/>
    </w:lvl>
  </w:abstractNum>
  <w:abstractNum w:abstractNumId="206">
    <w:nsid w:val="298A92BA"/>
    <w:multiLevelType w:val="hybridMultilevel"/>
    <w:lvl w:ilvl="0">
      <w:lvlJc w:val="left"/>
      <w:lvlText w:val="(%1)"/>
      <w:numFmt w:val="lowerLetter"/>
      <w:start w:val="1"/>
    </w:lvl>
  </w:abstractNum>
  <w:abstractNum w:abstractNumId="207">
    <w:nsid w:val="6FE95EAC"/>
    <w:multiLevelType w:val="hybridMultilevel"/>
    <w:lvl w:ilvl="0">
      <w:lvlJc w:val="left"/>
      <w:lvlText w:val="(%1)"/>
      <w:numFmt w:val="lowerLetter"/>
      <w:start w:val="2"/>
    </w:lvl>
  </w:abstractNum>
  <w:abstractNum w:abstractNumId="208">
    <w:nsid w:val="4B697C7A"/>
    <w:multiLevelType w:val="hybridMultilevel"/>
    <w:lvl w:ilvl="0">
      <w:lvlJc w:val="left"/>
      <w:lvlText w:val="%1"/>
      <w:numFmt w:val="decimal"/>
      <w:start w:val="31"/>
    </w:lvl>
  </w:abstractNum>
  <w:abstractNum w:abstractNumId="209">
    <w:nsid w:val="51A27AA6"/>
    <w:multiLevelType w:val="hybridMultilevel"/>
    <w:lvl w:ilvl="0">
      <w:lvlJc w:val="left"/>
      <w:lvlText w:val="(%1)"/>
      <w:numFmt w:val="lowerLetter"/>
      <w:start w:val="1"/>
    </w:lvl>
  </w:abstractNum>
  <w:abstractNum w:abstractNumId="210">
    <w:nsid w:val="613183F2"/>
    <w:multiLevelType w:val="hybridMultilevel"/>
    <w:lvl w:ilvl="0">
      <w:lvlJc w:val="left"/>
      <w:lvlText w:val="(%1)"/>
      <w:numFmt w:val="lowerLetter"/>
      <w:start w:val="2"/>
    </w:lvl>
  </w:abstractNum>
  <w:abstractNum w:abstractNumId="211">
    <w:nsid w:val="634102B4"/>
    <w:multiLevelType w:val="hybridMultilevel"/>
    <w:lvl w:ilvl="0">
      <w:lvlJc w:val="left"/>
      <w:lvlText w:val="(%1)"/>
      <w:numFmt w:val="lowerLetter"/>
      <w:start w:val="3"/>
    </w:lvl>
    <w:lvl w:ilvl="1">
      <w:lvlJc w:val="left"/>
      <w:lvlText w:val="(%2)"/>
      <w:numFmt w:val="lowerLetter"/>
      <w:start w:val="9"/>
    </w:lvl>
  </w:abstractNum>
  <w:abstractNum w:abstractNumId="212">
    <w:nsid w:val="65BF9DA8"/>
    <w:multiLevelType w:val="hybridMultilevel"/>
    <w:lvl w:ilvl="0">
      <w:lvlJc w:val="left"/>
      <w:lvlText w:val="(%1)"/>
      <w:numFmt w:val="lowerRoman"/>
      <w:start w:val="2"/>
    </w:lvl>
  </w:abstractNum>
  <w:abstractNum w:abstractNumId="213">
    <w:nsid w:val="21A2ECCA"/>
    <w:multiLevelType w:val="hybridMultilevel"/>
    <w:lvl w:ilvl="0">
      <w:lvlJc w:val="left"/>
      <w:lvlText w:val="(%1)"/>
      <w:numFmt w:val="lowerLetter"/>
      <w:start w:val="4"/>
    </w:lvl>
  </w:abstractNum>
  <w:abstractNum w:abstractNumId="214">
    <w:nsid w:val="4D5C4899"/>
    <w:multiLevelType w:val="hybridMultilevel"/>
    <w:lvl w:ilvl="0">
      <w:lvlJc w:val="left"/>
      <w:lvlText w:val="(%1)"/>
      <w:numFmt w:val="lowerRoman"/>
      <w:start w:val="1"/>
    </w:lvl>
  </w:abstractNum>
  <w:abstractNum w:abstractNumId="215">
    <w:nsid w:val="3C3B72B2"/>
    <w:multiLevelType w:val="hybridMultilevel"/>
    <w:lvl w:ilvl="0">
      <w:lvlJc w:val="left"/>
      <w:lvlText w:val="(%1)"/>
      <w:numFmt w:val="lowerRoman"/>
      <w:start w:val="2"/>
    </w:lvl>
  </w:abstractNum>
  <w:abstractNum w:abstractNumId="216">
    <w:nsid w:val="155EC4C2"/>
    <w:multiLevelType w:val="hybridMultilevel"/>
    <w:lvl w:ilvl="0">
      <w:lvlJc w:val="left"/>
      <w:lvlText w:val="(%1)"/>
      <w:numFmt w:val="lowerLetter"/>
      <w:start w:val="5"/>
    </w:lvl>
  </w:abstractNum>
  <w:abstractNum w:abstractNumId="217">
    <w:nsid w:val="65D2A137"/>
    <w:multiLevelType w:val="hybridMultilevel"/>
    <w:lvl w:ilvl="0">
      <w:lvlJc w:val="left"/>
      <w:lvlText w:val="(%1)"/>
      <w:numFmt w:val="lowerRoman"/>
      <w:start w:val="1"/>
    </w:lvl>
  </w:abstractNum>
  <w:abstractNum w:abstractNumId="218">
    <w:nsid w:val="6EBB1F2A"/>
    <w:multiLevelType w:val="hybridMultilevel"/>
    <w:lvl w:ilvl="0">
      <w:lvlJc w:val="left"/>
      <w:lvlText w:val="(%1)"/>
      <w:numFmt w:val="lowerRoman"/>
      <w:start w:val="2"/>
    </w:lvl>
  </w:abstractNum>
  <w:abstractNum w:abstractNumId="219">
    <w:nsid w:val="6FBF29CB"/>
    <w:multiLevelType w:val="hybridMultilevel"/>
    <w:lvl w:ilvl="0">
      <w:lvlJc w:val="left"/>
      <w:lvlText w:val="(%1)"/>
      <w:numFmt w:val="lowerLetter"/>
      <w:start w:val="6"/>
    </w:lvl>
  </w:abstractNum>
  <w:abstractNum w:abstractNumId="220">
    <w:nsid w:val="550B8808"/>
    <w:multiLevelType w:val="hybridMultilevel"/>
    <w:lvl w:ilvl="0">
      <w:lvlJc w:val="left"/>
      <w:lvlText w:val="%1"/>
      <w:numFmt w:val="decimal"/>
      <w:start w:val="32"/>
    </w:lvl>
  </w:abstractNum>
  <w:abstractNum w:abstractNumId="221">
    <w:nsid w:val="34CC3ACF"/>
    <w:multiLevelType w:val="hybridMultilevel"/>
    <w:lvl w:ilvl="0">
      <w:lvlJc w:val="left"/>
      <w:lvlText w:val="(%1)"/>
      <w:numFmt w:val="lowerRoman"/>
      <w:start w:val="1"/>
    </w:lvl>
  </w:abstractNum>
  <w:abstractNum w:abstractNumId="222">
    <w:nsid w:val="4E556261"/>
    <w:multiLevelType w:val="hybridMultilevel"/>
    <w:lvl w:ilvl="0">
      <w:lvlJc w:val="left"/>
      <w:lvlText w:val="(%1)"/>
      <w:numFmt w:val="lowerRoman"/>
      <w:start w:val="2"/>
    </w:lvl>
  </w:abstractNum>
  <w:abstractNum w:abstractNumId="223">
    <w:nsid w:val="4C672FC9"/>
    <w:multiLevelType w:val="hybridMultilevel"/>
    <w:lvl w:ilvl="0">
      <w:lvlJc w:val="left"/>
      <w:lvlText w:val="%1"/>
      <w:numFmt w:val="decimal"/>
      <w:start w:val="33"/>
    </w:lvl>
  </w:abstractNum>
  <w:abstractNum w:abstractNumId="224">
    <w:nsid w:val="52A311C3"/>
    <w:multiLevelType w:val="hybridMultilevel"/>
    <w:lvl w:ilvl="0">
      <w:lvlJc w:val="left"/>
      <w:lvlText w:val="(%1)"/>
      <w:numFmt w:val="lowerLetter"/>
      <w:start w:val="3"/>
    </w:lvl>
  </w:abstractNum>
  <w:abstractNum w:abstractNumId="225">
    <w:nsid w:val="44EF6B80"/>
    <w:multiLevelType w:val="hybridMultilevel"/>
    <w:lvl w:ilvl="0">
      <w:lvlJc w:val="left"/>
      <w:lvlText w:val="*"/>
      <w:numFmt w:val="bullet"/>
      <w:start w:val="1"/>
    </w:lvl>
  </w:abstractNum>
  <w:abstractNum w:abstractNumId="226">
    <w:nsid w:val="12FCDE5E"/>
    <w:multiLevelType w:val="hybridMultilevel"/>
    <w:lvl w:ilvl="0">
      <w:lvlJc w:val="left"/>
      <w:lvlText w:val="%1"/>
      <w:numFmt w:val="decimal"/>
      <w:start w:val="35"/>
    </w:lvl>
  </w:abstractNum>
  <w:abstractNum w:abstractNumId="227">
    <w:nsid w:val="4A1D606E"/>
    <w:multiLevelType w:val="hybridMultilevel"/>
    <w:lvl w:ilvl="0">
      <w:lvlJc w:val="left"/>
      <w:lvlText w:val="(%1)"/>
      <w:numFmt w:val="lowerLetter"/>
      <w:start w:val="1"/>
    </w:lvl>
  </w:abstractNum>
  <w:abstractNum w:abstractNumId="228">
    <w:nsid w:val="4382503"/>
    <w:multiLevelType w:val="hybridMultilevel"/>
    <w:lvl w:ilvl="0">
      <w:lvlJc w:val="left"/>
      <w:lvlText w:val="%1"/>
      <w:numFmt w:val="decimal"/>
      <w:start w:val="36"/>
    </w:lvl>
  </w:abstractNum>
  <w:abstractNum w:abstractNumId="229">
    <w:nsid w:val="59B76E28"/>
    <w:multiLevelType w:val="hybridMultilevel"/>
    <w:lvl w:ilvl="0">
      <w:lvlJc w:val="left"/>
      <w:lvlText w:val="%1"/>
      <w:numFmt w:val="decimal"/>
      <w:start w:val="37"/>
    </w:lvl>
  </w:abstractNum>
  <w:abstractNum w:abstractNumId="230">
    <w:nsid w:val="4252C2DA"/>
    <w:multiLevelType w:val="hybridMultilevel"/>
    <w:lvl w:ilvl="0">
      <w:lvlJc w:val="left"/>
      <w:lvlText w:val="(%1)"/>
      <w:numFmt w:val="lowerRoman"/>
      <w:start w:val="2"/>
    </w:lvl>
  </w:abstractNum>
  <w:abstractNum w:abstractNumId="231">
    <w:nsid w:val="6A92EF4C"/>
    <w:multiLevelType w:val="hybridMultilevel"/>
    <w:lvl w:ilvl="0">
      <w:lvlJc w:val="left"/>
      <w:lvlText w:val="(%1)"/>
      <w:numFmt w:val="lowerLetter"/>
      <w:start w:val="1"/>
    </w:lvl>
  </w:abstractNum>
  <w:abstractNum w:abstractNumId="232">
    <w:nsid w:val="41ED20D7"/>
    <w:multiLevelType w:val="hybridMultilevel"/>
    <w:lvl w:ilvl="0">
      <w:lvlJc w:val="left"/>
      <w:lvlText w:val="%1"/>
      <w:numFmt w:val="lowerLetter"/>
      <w:start w:val="1"/>
    </w:lvl>
    <w:lvl w:ilvl="1">
      <w:lvlJc w:val="left"/>
      <w:lvlText w:val="(%2)"/>
      <w:numFmt w:val="lowerLetter"/>
      <w:start w:val="2"/>
    </w:lvl>
  </w:abstractNum>
  <w:abstractNum w:abstractNumId="233">
    <w:nsid w:val="E6B3F6A"/>
    <w:multiLevelType w:val="hybridMultilevel"/>
    <w:lvl w:ilvl="0">
      <w:lvlJc w:val="left"/>
      <w:lvlText w:val="(%1)"/>
      <w:numFmt w:val="lowerLetter"/>
      <w:start w:val="9"/>
    </w:lvl>
    <w:lvl w:ilvl="1">
      <w:lvlJc w:val="left"/>
      <w:lvlText w:val="(%2)"/>
      <w:numFmt w:val="lowerLetter"/>
      <w:start w:val="3"/>
    </w:lvl>
  </w:abstractNum>
  <w:abstractNum w:abstractNumId="234">
    <w:nsid w:val="3EB21819"/>
    <w:multiLevelType w:val="hybridMultilevel"/>
    <w:lvl w:ilvl="0">
      <w:lvlJc w:val="left"/>
      <w:lvlText w:val="%1"/>
      <w:numFmt w:val="lowerLetter"/>
      <w:start w:val="1"/>
    </w:lvl>
    <w:lvl w:ilvl="1">
      <w:lvlJc w:val="left"/>
      <w:lvlText w:val="(%2)"/>
      <w:numFmt w:val="lowerLetter"/>
      <w:start w:val="1"/>
    </w:lvl>
  </w:abstractNum>
  <w:abstractNum w:abstractNumId="235">
    <w:nsid w:val="41531DED"/>
    <w:multiLevelType w:val="hybridMultilevel"/>
    <w:lvl w:ilvl="0">
      <w:lvlJc w:val="left"/>
      <w:lvlText w:val="(%1)"/>
      <w:numFmt w:val="lowerLetter"/>
      <w:start w:val="9"/>
    </w:lvl>
    <w:lvl w:ilvl="1">
      <w:lvlJc w:val="left"/>
      <w:lvlText w:val="(%2)"/>
      <w:numFmt w:val="lowerLetter"/>
      <w:start w:val="2"/>
    </w:lvl>
  </w:abstractNum>
  <w:abstractNum w:abstractNumId="236">
    <w:nsid w:val="6353CD2"/>
    <w:multiLevelType w:val="hybridMultilevel"/>
    <w:lvl w:ilvl="0">
      <w:lvlJc w:val="left"/>
      <w:lvlText w:val="(%1)"/>
      <w:numFmt w:val="lowerLetter"/>
      <w:start w:val="3"/>
    </w:lvl>
  </w:abstractNum>
  <w:abstractNum w:abstractNumId="237">
    <w:nsid w:val="683CAAD3"/>
    <w:multiLevelType w:val="hybridMultilevel"/>
    <w:lvl w:ilvl="0">
      <w:lvlJc w:val="left"/>
      <w:lvlText w:val="%1"/>
      <w:numFmt w:val="decimal"/>
      <w:start w:val="1"/>
    </w:lvl>
    <w:lvl w:ilvl="1">
      <w:lvlJc w:val="left"/>
      <w:lvlText w:val="(%2)"/>
      <w:numFmt w:val="lowerLetter"/>
      <w:start w:val="1"/>
    </w:lvl>
  </w:abstractNum>
  <w:abstractNum w:abstractNumId="238">
    <w:nsid w:val="313C7C99"/>
    <w:multiLevelType w:val="hybridMultilevel"/>
    <w:lvl w:ilvl="0">
      <w:lvlJc w:val="left"/>
      <w:lvlText w:val="(%1)"/>
      <w:numFmt w:val="decimal"/>
      <w:start w:val="9"/>
    </w:lvl>
    <w:lvl w:ilvl="1">
      <w:lvlJc w:val="left"/>
      <w:lvlText w:val="(%2)"/>
      <w:numFmt w:val="lowerLetter"/>
      <w:start w:val="2"/>
    </w:lvl>
  </w:abstractNum>
  <w:abstractNum w:abstractNumId="239">
    <w:nsid w:val="519EB94C"/>
    <w:multiLevelType w:val="hybridMultilevel"/>
    <w:lvl w:ilvl="0">
      <w:lvlJc w:val="left"/>
      <w:lvlText w:val="(%1)"/>
      <w:numFmt w:val="lowerLetter"/>
      <w:start w:val="3"/>
    </w:lvl>
  </w:abstractNum>
  <w:abstractNum w:abstractNumId="240">
    <w:nsid w:val="39DF2579"/>
    <w:multiLevelType w:val="hybridMultilevel"/>
    <w:lvl w:ilvl="0">
      <w:lvlJc w:val="left"/>
      <w:lvlText w:val="(%1)"/>
      <w:numFmt w:val="lowerLetter"/>
      <w:start w:val="1"/>
    </w:lvl>
  </w:abstractNum>
  <w:abstractNum w:abstractNumId="241">
    <w:nsid w:val="126E008B"/>
    <w:multiLevelType w:val="hybridMultilevel"/>
    <w:lvl w:ilvl="0">
      <w:lvlJc w:val="left"/>
      <w:lvlText w:val="(%1)"/>
      <w:numFmt w:val="lowerLetter"/>
      <w:start w:val="1"/>
    </w:lvl>
  </w:abstractNum>
  <w:abstractNum w:abstractNumId="242">
    <w:nsid w:val="34DFBC00"/>
    <w:multiLevelType w:val="hybridMultilevel"/>
    <w:lvl w:ilvl="0">
      <w:lvlJc w:val="left"/>
      <w:lvlText w:val="(%1)"/>
      <w:numFmt w:val="lowerLetter"/>
      <w:start w:val="2"/>
    </w:lvl>
  </w:abstractNum>
  <w:abstractNum w:abstractNumId="243">
    <w:nsid w:val="1F9EC322"/>
    <w:multiLevelType w:val="hybridMultilevel"/>
    <w:lvl w:ilvl="0">
      <w:lvlJc w:val="left"/>
      <w:lvlText w:val="(%1)"/>
      <w:numFmt w:val="lowerLetter"/>
      <w:start w:val="1"/>
    </w:lvl>
  </w:abstractNum>
  <w:abstractNum w:abstractNumId="244">
    <w:nsid w:val="3410ED56"/>
    <w:multiLevelType w:val="hybridMultilevel"/>
    <w:lvl w:ilvl="0">
      <w:lvlJc w:val="left"/>
      <w:lvlText w:val="(%1)"/>
      <w:numFmt w:val="lowerLetter"/>
      <w:start w:val="2"/>
    </w:lvl>
  </w:abstractNum>
  <w:abstractNum w:abstractNumId="245">
    <w:nsid w:val="23C049A"/>
    <w:multiLevelType w:val="hybridMultilevel"/>
    <w:lvl w:ilvl="0">
      <w:lvlJc w:val="left"/>
      <w:lvlText w:val="%1"/>
      <w:numFmt w:val="lowerLetter"/>
      <w:start w:val="1"/>
    </w:lvl>
    <w:lvl w:ilvl="1">
      <w:lvlJc w:val="left"/>
      <w:lvlText w:val="(%2)"/>
      <w:numFmt w:val="lowerLetter"/>
      <w:start w:val="1"/>
    </w:lvl>
  </w:abstractNum>
  <w:abstractNum w:abstractNumId="246">
    <w:nsid w:val="5BDA35D4"/>
    <w:multiLevelType w:val="hybridMultilevel"/>
    <w:lvl w:ilvl="0">
      <w:lvlJc w:val="left"/>
      <w:lvlText w:val="(%1)"/>
      <w:numFmt w:val="lowerLetter"/>
      <w:start w:val="35"/>
    </w:lvl>
    <w:lvl w:ilvl="1">
      <w:lvlJc w:val="left"/>
      <w:lvlText w:val="(%2)"/>
      <w:numFmt w:val="lowerLetter"/>
      <w:start w:val="3"/>
    </w:lvl>
  </w:abstractNum>
  <w:abstractNum w:abstractNumId="247">
    <w:nsid w:val="496FB218"/>
    <w:multiLevelType w:val="hybridMultilevel"/>
    <w:lvl w:ilvl="0">
      <w:lvlJc w:val="left"/>
      <w:lvlText w:val="(%1)"/>
      <w:numFmt w:val="lowerRoman"/>
      <w:start w:val="2"/>
    </w:lvl>
  </w:abstractNum>
  <w:abstractNum w:abstractNumId="248">
    <w:nsid w:val="680EA5D1"/>
    <w:multiLevelType w:val="hybridMultilevel"/>
    <w:lvl w:ilvl="0">
      <w:lvlJc w:val="left"/>
      <w:lvlText w:val="(%1)"/>
      <w:numFmt w:val="lowerRoman"/>
      <w:start w:val="2"/>
    </w:lvl>
  </w:abstractNum>
  <w:abstractNum w:abstractNumId="249">
    <w:nsid w:val="4A9554FE"/>
    <w:multiLevelType w:val="hybridMultilevel"/>
    <w:lvl w:ilvl="0">
      <w:lvlJc w:val="left"/>
      <w:lvlText w:val="(%1)"/>
      <w:numFmt w:val="lowerLetter"/>
      <w:start w:val="1"/>
    </w:lvl>
  </w:abstractNum>
  <w:abstractNum w:abstractNumId="250">
    <w:nsid w:val="392EDBE4"/>
    <w:multiLevelType w:val="hybridMultilevel"/>
    <w:lvl w:ilvl="0">
      <w:lvlJc w:val="left"/>
      <w:lvlText w:val="(%1)"/>
      <w:numFmt w:val="lowerRoman"/>
      <w:start w:val="1"/>
    </w:lvl>
  </w:abstractNum>
  <w:abstractNum w:abstractNumId="251">
    <w:nsid w:val="3D1A2DD9"/>
    <w:multiLevelType w:val="hybridMultilevel"/>
    <w:lvl w:ilvl="0">
      <w:lvlJc w:val="left"/>
      <w:lvlText w:val="(%1)"/>
      <w:numFmt w:val="decimal"/>
      <w:start w:val="1"/>
    </w:lvl>
  </w:abstractNum>
  <w:abstractNum w:abstractNumId="252">
    <w:nsid w:val="7F618FCD"/>
    <w:multiLevelType w:val="hybridMultilevel"/>
    <w:lvl w:ilvl="0">
      <w:lvlJc w:val="left"/>
      <w:lvlText w:val="(%1)"/>
      <w:numFmt w:val="lowerLetter"/>
      <w:start w:val="2"/>
    </w:lvl>
  </w:abstractNum>
  <w:abstractNum w:abstractNumId="253">
    <w:nsid w:val="7843E45"/>
    <w:multiLevelType w:val="hybridMultilevel"/>
    <w:lvl w:ilvl="0">
      <w:lvlJc w:val="left"/>
      <w:lvlText w:val="(%1)"/>
      <w:numFmt w:val="decimal"/>
      <w:start w:val="2"/>
    </w:lvl>
  </w:abstractNum>
  <w:abstractNum w:abstractNumId="254">
    <w:nsid w:val="9815DA3"/>
    <w:multiLevelType w:val="hybridMultilevel"/>
    <w:lvl w:ilvl="0">
      <w:lvlJc w:val="left"/>
      <w:lvlText w:val="(%1)"/>
      <w:numFmt w:val="decimal"/>
      <w:start w:val="22"/>
    </w:lvl>
  </w:abstractNum>
  <w:abstractNum w:abstractNumId="255">
    <w:nsid w:val="5204A191"/>
    <w:multiLevelType w:val="hybridMultilevel"/>
    <w:lvl w:ilvl="0">
      <w:lvlJc w:val="left"/>
      <w:lvlText w:val="(%1)"/>
      <w:numFmt w:val="decimal"/>
      <w:start w:val="3"/>
    </w:lvl>
  </w:abstractNum>
  <w:abstractNum w:abstractNumId="256">
    <w:nsid w:val="4C73A9C6"/>
    <w:multiLevelType w:val="hybridMultilevel"/>
    <w:lvl w:ilvl="0">
      <w:lvlJc w:val="left"/>
      <w:lvlText w:val="(%1)"/>
      <w:numFmt w:val="decimal"/>
      <w:start w:val="4"/>
    </w:lvl>
  </w:abstractNum>
  <w:abstractNum w:abstractNumId="257">
    <w:nsid w:val="1C7E3C01"/>
    <w:multiLevelType w:val="hybridMultilevel"/>
    <w:lvl w:ilvl="0">
      <w:lvlJc w:val="left"/>
      <w:lvlText w:val="(%1)"/>
      <w:numFmt w:val="decimal"/>
      <w:start w:val="5"/>
    </w:lvl>
  </w:abstractNum>
  <w:abstractNum w:abstractNumId="258">
    <w:nsid w:val="1C2201FF"/>
    <w:multiLevelType w:val="hybridMultilevel"/>
    <w:lvl w:ilvl="0">
      <w:lvlJc w:val="left"/>
      <w:lvlText w:val="(%1)"/>
      <w:numFmt w:val="decimal"/>
      <w:start w:val="6"/>
    </w:lvl>
  </w:abstractNum>
  <w:abstractNum w:abstractNumId="259">
    <w:nsid w:val="50ABCEC9"/>
    <w:multiLevelType w:val="hybridMultilevel"/>
    <w:lvl w:ilvl="0">
      <w:lvlJc w:val="left"/>
      <w:lvlText w:val="(%1)"/>
      <w:numFmt w:val="decimal"/>
      <w:start w:val="7"/>
    </w:lvl>
  </w:abstractNum>
  <w:abstractNum w:abstractNumId="260">
    <w:nsid w:val="7635AA2A"/>
    <w:multiLevelType w:val="hybridMultilevel"/>
    <w:lvl w:ilvl="0">
      <w:lvlJc w:val="left"/>
      <w:lvlText w:val="(%1)"/>
      <w:numFmt w:val="decimal"/>
      <w:start w:val="8"/>
    </w:lvl>
  </w:abstractNum>
  <w:abstractNum w:abstractNumId="261">
    <w:nsid w:val="5E74C4D9"/>
    <w:multiLevelType w:val="hybridMultilevel"/>
    <w:lvl w:ilvl="0">
      <w:lvlJc w:val="left"/>
      <w:lvlText w:val="(%1)"/>
      <w:numFmt w:val="decimal"/>
      <w:start w:val="9"/>
    </w:lvl>
    <w:lvl w:ilvl="1">
      <w:lvlJc w:val="left"/>
      <w:lvlText w:val="(%2)"/>
      <w:numFmt w:val="lowerRoman"/>
      <w:start w:val="1"/>
    </w:lvl>
  </w:abstractNum>
  <w:abstractNum w:abstractNumId="262">
    <w:nsid w:val="3B3EBE15"/>
    <w:multiLevelType w:val="hybridMultilevel"/>
    <w:lvl w:ilvl="0">
      <w:lvlJc w:val="left"/>
      <w:lvlText w:val="(%1)"/>
      <w:numFmt w:val="lowerRoman"/>
      <w:start w:val="5"/>
    </w:lvl>
  </w:abstractNum>
  <w:abstractNum w:abstractNumId="263">
    <w:nsid w:val="3822CB01"/>
    <w:multiLevelType w:val="hybridMultilevel"/>
    <w:lvl w:ilvl="0">
      <w:lvlJc w:val="left"/>
      <w:lvlText w:val="(%1)"/>
      <w:numFmt w:val="lowerRoman"/>
      <w:start w:val="1"/>
    </w:lvl>
  </w:abstractNum>
  <w:abstractNum w:abstractNumId="264">
    <w:nsid w:val="6CE00443"/>
    <w:multiLevelType w:val="hybridMultilevel"/>
    <w:lvl w:ilvl="0">
      <w:lvlJc w:val="left"/>
      <w:lvlText w:val="(%1)"/>
      <w:numFmt w:val="decimal"/>
      <w:start w:val="10"/>
    </w:lvl>
  </w:abstractNum>
  <w:abstractNum w:abstractNumId="265">
    <w:nsid w:val="79F0D62F"/>
    <w:multiLevelType w:val="hybridMultilevel"/>
    <w:lvl w:ilvl="0">
      <w:lvlJc w:val="left"/>
      <w:lvlText w:val="(%1)"/>
      <w:numFmt w:val="decimal"/>
      <w:start w:val="13"/>
    </w:lvl>
  </w:abstractNum>
  <w:abstractNum w:abstractNumId="266">
    <w:nsid w:val="7975E8EE"/>
    <w:multiLevelType w:val="hybridMultilevel"/>
    <w:lvl w:ilvl="0">
      <w:lvlJc w:val="left"/>
      <w:lvlText w:val="(%1)"/>
      <w:numFmt w:val="lowerRoman"/>
      <w:start w:val="1"/>
    </w:lvl>
  </w:abstractNum>
  <w:abstractNum w:abstractNumId="267">
    <w:nsid w:val="73154115"/>
    <w:multiLevelType w:val="hybridMultilevel"/>
    <w:lvl w:ilvl="0">
      <w:lvlJc w:val="left"/>
      <w:lvlText w:val="(%1)"/>
      <w:numFmt w:val="lowerLetter"/>
      <w:start w:val="1"/>
    </w:lvl>
  </w:abstractNum>
  <w:abstractNum w:abstractNumId="268">
    <w:nsid w:val="622D8102"/>
    <w:multiLevelType w:val="hybridMultilevel"/>
    <w:lvl w:ilvl="0">
      <w:lvlJc w:val="left"/>
      <w:lvlText w:val="(%1)"/>
      <w:numFmt w:val="lowerRoman"/>
      <w:start w:val="1"/>
    </w:lvl>
  </w:abstractNum>
  <w:abstractNum w:abstractNumId="269">
    <w:nsid w:val="2AB26587"/>
    <w:multiLevelType w:val="hybridMultilevel"/>
    <w:lvl w:ilvl="0">
      <w:lvlJc w:val="left"/>
      <w:lvlText w:val="(%1)"/>
      <w:numFmt w:val="lowerRoman"/>
      <w:start w:val="2"/>
    </w:lvl>
  </w:abstractNum>
  <w:abstractNum w:abstractNumId="270">
    <w:nsid w:val="44B3FA61"/>
    <w:multiLevelType w:val="hybridMultilevel"/>
    <w:lvl w:ilvl="0">
      <w:lvlJc w:val="left"/>
      <w:lvlText w:val="(%1)"/>
      <w:numFmt w:val="decimal"/>
      <w:start w:val="14"/>
    </w:lvl>
  </w:abstractNum>
  <w:abstractNum w:abstractNumId="271">
    <w:nsid w:val="1C0CA67C"/>
    <w:multiLevelType w:val="hybridMultilevel"/>
    <w:lvl w:ilvl="0">
      <w:lvlJc w:val="left"/>
      <w:lvlText w:val="(%1)"/>
      <w:numFmt w:val="decimal"/>
      <w:start w:val="15"/>
    </w:lvl>
  </w:abstractNum>
  <w:abstractNum w:abstractNumId="272">
    <w:nsid w:val="3D206613"/>
    <w:multiLevelType w:val="hybridMultilevel"/>
    <w:lvl w:ilvl="0">
      <w:lvlJc w:val="left"/>
      <w:lvlText w:val="(%1)"/>
      <w:numFmt w:val="decimal"/>
      <w:start w:val="16"/>
    </w:lvl>
  </w:abstractNum>
  <w:abstractNum w:abstractNumId="273">
    <w:nsid w:val="7993B662"/>
    <w:multiLevelType w:val="hybridMultilevel"/>
    <w:lvl w:ilvl="0">
      <w:lvlJc w:val="left"/>
      <w:lvlText w:val="(%1)"/>
      <w:numFmt w:val="decimal"/>
      <w:start w:val="17"/>
    </w:lvl>
  </w:abstractNum>
  <w:abstractNum w:abstractNumId="274">
    <w:nsid w:val="3BAB699E"/>
    <w:multiLevelType w:val="hybridMultilevel"/>
    <w:lvl w:ilvl="0">
      <w:lvlJc w:val="left"/>
      <w:lvlText w:val="(%1)"/>
      <w:numFmt w:val="decimal"/>
      <w:start w:val="18"/>
    </w:lvl>
  </w:abstractNum>
  <w:abstractNum w:abstractNumId="275">
    <w:nsid w:val="71315369"/>
    <w:multiLevelType w:val="hybridMultilevel"/>
    <w:lvl w:ilvl="0">
      <w:lvlJc w:val="left"/>
      <w:lvlText w:val="(%1)"/>
      <w:numFmt w:val="decimal"/>
      <w:start w:val="20"/>
    </w:lvl>
  </w:abstractNum>
  <w:abstractNum w:abstractNumId="276">
    <w:nsid w:val="7BCFBAFC"/>
    <w:multiLevelType w:val="hybridMultilevel"/>
    <w:lvl w:ilvl="0">
      <w:lvlJc w:val="left"/>
      <w:lvlText w:val="(%1)"/>
      <w:numFmt w:val="decimal"/>
      <w:start w:val="21"/>
    </w:lvl>
  </w:abstractNum>
  <w:abstractNum w:abstractNumId="277">
    <w:nsid w:val="17859F72"/>
    <w:multiLevelType w:val="hybridMultilevel"/>
    <w:lvl w:ilvl="0">
      <w:lvlJc w:val="left"/>
      <w:lvlText w:val="(%1)"/>
      <w:numFmt w:val="decimal"/>
      <w:start w:val="2"/>
    </w:lvl>
  </w:abstractNum>
  <w:abstractNum w:abstractNumId="278">
    <w:nsid w:val="3AA10581"/>
    <w:multiLevelType w:val="hybridMultilevel"/>
    <w:lvl w:ilvl="0">
      <w:lvlJc w:val="left"/>
      <w:lvlText w:val="(%1)"/>
      <w:numFmt w:val="decimal"/>
      <w:start w:val="22"/>
    </w:lvl>
  </w:abstractNum>
  <w:abstractNum w:abstractNumId="279">
    <w:nsid w:val="63DE60CD"/>
    <w:multiLevelType w:val="hybridMultilevel"/>
    <w:lvl w:ilvl="0">
      <w:lvlJc w:val="left"/>
      <w:lvlText w:val="*"/>
      <w:numFmt w:val="bullet"/>
      <w:start w:val="1"/>
    </w:lvl>
  </w:abstractNum>
  <w:abstractNum w:abstractNumId="280">
    <w:nsid w:val="621AF471"/>
    <w:multiLevelType w:val="hybridMultilevel"/>
    <w:lvl w:ilvl="0">
      <w:lvlJc w:val="left"/>
      <w:lvlText w:val="•"/>
      <w:numFmt w:val="bullet"/>
      <w:start w:val="1"/>
    </w:lvl>
  </w:abstractNum>
  <w:abstractNum w:abstractNumId="281">
    <w:nsid w:val="73CFE165"/>
    <w:multiLevelType w:val="hybridMultilevel"/>
    <w:lvl w:ilvl="0">
      <w:lvlJc w:val="left"/>
      <w:lvlText w:val="•"/>
      <w:numFmt w:val="bullet"/>
      <w:start w:val="1"/>
    </w:lvl>
  </w:abstractNum>
  <w:abstractNum w:abstractNumId="282">
    <w:nsid w:val="20F88EA6"/>
    <w:multiLevelType w:val="hybridMultilevel"/>
    <w:lvl w:ilvl="0">
      <w:lvlJc w:val="left"/>
      <w:lvlText w:val="(%1)"/>
      <w:numFmt w:val="lowerRoman"/>
      <w:start w:val="1"/>
    </w:lvl>
  </w:abstractNum>
  <w:abstractNum w:abstractNumId="283">
    <w:nsid w:val="617C843E"/>
    <w:multiLevelType w:val="hybridMultilevel"/>
    <w:lvl w:ilvl="0">
      <w:lvlJc w:val="left"/>
      <w:lvlText w:val="(%1)"/>
      <w:numFmt w:val="lowerRoman"/>
      <w:start w:val="3"/>
    </w:lvl>
  </w:abstractNum>
  <w:abstractNum w:abstractNumId="284">
    <w:nsid w:val="7B541FAB"/>
    <w:multiLevelType w:val="hybridMultilevel"/>
    <w:lvl w:ilvl="0">
      <w:lvlJc w:val="left"/>
      <w:lvlText w:val="(%1)"/>
      <w:numFmt w:val="lowerLetter"/>
      <w:start w:val="1"/>
    </w:lvl>
  </w:abstractNum>
  <w:abstractNum w:abstractNumId="285">
    <w:nsid w:val="2A79EC49"/>
    <w:multiLevelType w:val="hybridMultilevel"/>
    <w:lvl w:ilvl="0">
      <w:lvlJc w:val="left"/>
      <w:lvlText w:val="•"/>
      <w:numFmt w:val="bullet"/>
      <w:start w:val="1"/>
    </w:lvl>
  </w:abstractNum>
  <w:abstractNum w:abstractNumId="286">
    <w:nsid w:val="338125CF"/>
    <w:multiLevelType w:val="hybridMultilevel"/>
    <w:lvl w:ilvl="0">
      <w:lvlJc w:val="left"/>
      <w:lvlText w:val="•"/>
      <w:numFmt w:val="bullet"/>
      <w:start w:val="1"/>
    </w:lvl>
  </w:abstractNum>
  <w:abstractNum w:abstractNumId="287">
    <w:nsid w:val="47C7C971"/>
    <w:multiLevelType w:val="hybridMultilevel"/>
    <w:lvl w:ilvl="0">
      <w:lvlJc w:val="left"/>
      <w:lvlText w:val="•"/>
      <w:numFmt w:val="bullet"/>
      <w:start w:val="1"/>
    </w:lvl>
  </w:abstractNum>
  <w:abstractNum w:abstractNumId="288">
    <w:nsid w:val="46F8284B"/>
    <w:multiLevelType w:val="hybridMultilevel"/>
    <w:lvl w:ilvl="0">
      <w:lvlJc w:val="left"/>
      <w:lvlText w:val="•"/>
      <w:numFmt w:val="bullet"/>
      <w:start w:val="1"/>
    </w:lvl>
  </w:abstractNum>
  <w:abstractNum w:abstractNumId="289">
    <w:nsid w:val="4FA327CE"/>
    <w:multiLevelType w:val="hybridMultilevel"/>
    <w:lvl w:ilvl="0">
      <w:lvlJc w:val="left"/>
      <w:lvlText w:val="•"/>
      <w:numFmt w:val="bullet"/>
      <w:start w:val="1"/>
    </w:lvl>
  </w:abstractNum>
  <w:abstractNum w:abstractNumId="290">
    <w:nsid w:val="1873983A"/>
    <w:multiLevelType w:val="hybridMultilevel"/>
    <w:lvl w:ilvl="0">
      <w:lvlJc w:val="left"/>
      <w:lvlText w:val="•"/>
      <w:numFmt w:val="bullet"/>
      <w:start w:val="1"/>
    </w:lvl>
  </w:abstractNum>
  <w:abstractNum w:abstractNumId="291">
    <w:nsid w:val="3D2DD275"/>
    <w:multiLevelType w:val="hybridMultilevel"/>
    <w:lvl w:ilvl="0">
      <w:lvlJc w:val="left"/>
      <w:lvlText w:val="•"/>
      <w:numFmt w:val="bullet"/>
      <w:start w:val="1"/>
    </w:lvl>
  </w:abstractNum>
  <w:abstractNum w:abstractNumId="292">
    <w:nsid w:val="2E17ECA7"/>
    <w:multiLevelType w:val="hybridMultilevel"/>
    <w:lvl w:ilvl="0">
      <w:lvlJc w:val="left"/>
      <w:lvlText w:val="•"/>
      <w:numFmt w:val="bullet"/>
      <w:start w:val="1"/>
    </w:lvl>
  </w:abstractNum>
  <w:abstractNum w:abstractNumId="293">
    <w:nsid w:val="53B2564F"/>
    <w:multiLevelType w:val="hybridMultilevel"/>
    <w:lvl w:ilvl="0">
      <w:lvlJc w:val="left"/>
      <w:lvlText w:val="•"/>
      <w:numFmt w:val="bullet"/>
      <w:start w:val="1"/>
    </w:lvl>
  </w:abstractNum>
  <w:abstractNum w:abstractNumId="294">
    <w:nsid w:val="75509D76"/>
    <w:multiLevelType w:val="hybridMultilevel"/>
    <w:lvl w:ilvl="0">
      <w:lvlJc w:val="left"/>
      <w:lvlText w:val="(%1)"/>
      <w:numFmt w:val="decimal"/>
      <w:start w:val="1"/>
    </w:lvl>
  </w:abstractNum>
  <w:abstractNum w:abstractNumId="295">
    <w:nsid w:val="1AF7F0EA"/>
    <w:multiLevelType w:val="hybridMultilevel"/>
    <w:lvl w:ilvl="0">
      <w:lvlJc w:val="left"/>
      <w:lvlText w:val="•"/>
      <w:numFmt w:val="bullet"/>
      <w:start w:val="1"/>
    </w:lvl>
  </w:abstractNum>
  <w:abstractNum w:abstractNumId="296">
    <w:nsid w:val="4DA32C7E"/>
    <w:multiLevelType w:val="hybridMultilevel"/>
    <w:lvl w:ilvl="0">
      <w:lvlJc w:val="left"/>
      <w:lvlText w:val="•"/>
      <w:numFmt w:val="bullet"/>
      <w:start w:val="1"/>
    </w:lvl>
  </w:abstractNum>
  <w:abstractNum w:abstractNumId="297">
    <w:nsid w:val="6EC68664"/>
    <w:multiLevelType w:val="hybridMultilevel"/>
    <w:lvl w:ilvl="0">
      <w:lvlJc w:val="left"/>
      <w:lvlText w:val="•"/>
      <w:numFmt w:val="bullet"/>
      <w:start w:val="1"/>
    </w:lvl>
  </w:abstractNum>
  <w:abstractNum w:abstractNumId="298">
    <w:nsid w:val="E0D31FF"/>
    <w:multiLevelType w:val="hybridMultilevel"/>
    <w:lvl w:ilvl="0">
      <w:lvlJc w:val="left"/>
      <w:lvlText w:val="•"/>
      <w:numFmt w:val="bullet"/>
      <w:start w:val="1"/>
    </w:lvl>
  </w:abstractNum>
  <w:abstractNum w:abstractNumId="299">
    <w:nsid w:val="2FD0AD81"/>
    <w:multiLevelType w:val="hybridMultilevel"/>
    <w:lvl w:ilvl="0">
      <w:lvlJc w:val="left"/>
      <w:lvlText w:val="•"/>
      <w:numFmt w:val="bullet"/>
      <w:start w:val="1"/>
    </w:lvl>
  </w:abstractNum>
  <w:abstractNum w:abstractNumId="300">
    <w:nsid w:val="1978EBEB"/>
    <w:multiLevelType w:val="hybridMultilevel"/>
    <w:lvl w:ilvl="0">
      <w:lvlJc w:val="left"/>
      <w:lvlText w:val="%1."/>
      <w:numFmt w:val="decimal"/>
      <w:start w:val="1"/>
    </w:lvl>
    <w:lvl w:ilvl="1">
      <w:lvlJc w:val="left"/>
      <w:lvlText w:val="(%2)"/>
      <w:numFmt w:val="lowerLetter"/>
      <w:start w:val="1"/>
    </w:lvl>
  </w:abstractNum>
  <w:abstractNum w:abstractNumId="301">
    <w:nsid w:val="52C12C61"/>
    <w:multiLevelType w:val="hybridMultilevel"/>
    <w:lvl w:ilvl="0">
      <w:lvlJc w:val="left"/>
      <w:lvlText w:val="%1."/>
      <w:numFmt w:val="decimal"/>
      <w:start w:val="5"/>
    </w:lvl>
    <w:lvl w:ilvl="1">
      <w:lvlJc w:val="left"/>
      <w:lvlText w:val="(%2)"/>
      <w:numFmt w:val="lowerLetter"/>
      <w:start w:val="1"/>
    </w:lvl>
  </w:abstractNum>
  <w:abstractNum w:abstractNumId="302">
    <w:nsid w:val="4BDD53FD"/>
    <w:multiLevelType w:val="hybridMultilevel"/>
    <w:lvl w:ilvl="0">
      <w:lvlJc w:val="left"/>
      <w:lvlText w:val="%1."/>
      <w:numFmt w:val="decimal"/>
      <w:start w:val="1"/>
    </w:lvl>
    <w:lvl w:ilvl="1">
      <w:lvlJc w:val="left"/>
      <w:lvlText w:val="(%2)"/>
      <w:numFmt w:val="lowerLetter"/>
      <w:start w:val="1"/>
    </w:lvl>
  </w:abstractNum>
  <w:abstractNum w:abstractNumId="303">
    <w:nsid w:val="569951FE"/>
    <w:multiLevelType w:val="hybridMultilevel"/>
    <w:lvl w:ilvl="0">
      <w:lvlJc w:val="left"/>
      <w:lvlText w:val="%1."/>
      <w:numFmt w:val="decimal"/>
      <w:start w:val="5"/>
    </w:lvl>
    <w:lvl w:ilvl="1">
      <w:lvlJc w:val="left"/>
      <w:lvlText w:val="(%2)"/>
      <w:numFmt w:val="lowerLetter"/>
      <w:start w:val="1"/>
    </w:lvl>
  </w:abstractNum>
  <w:abstractNum w:abstractNumId="304">
    <w:nsid w:val="4C54E2C3"/>
    <w:multiLevelType w:val="hybridMultilevel"/>
    <w:lvl w:ilvl="0">
      <w:lvlJc w:val="left"/>
      <w:lvlText w:val="%1."/>
      <w:numFmt w:val="decimal"/>
      <w:start w:val="1"/>
    </w:lvl>
  </w:abstractNum>
  <w:abstractNum w:abstractNumId="305">
    <w:nsid w:val="788BD9B"/>
    <w:multiLevelType w:val="hybridMultilevel"/>
    <w:lvl w:ilvl="0">
      <w:lvlJc w:val="left"/>
      <w:lvlText w:val="%1."/>
      <w:numFmt w:val="decimal"/>
      <w:start w:val="1"/>
    </w:lvl>
  </w:abstractNum>
  <w:abstractNum w:abstractNumId="306">
    <w:nsid w:val="47CAA567"/>
    <w:multiLevelType w:val="hybridMultilevel"/>
    <w:lvl w:ilvl="0">
      <w:lvlJc w:val="left"/>
      <w:lvlText w:val="%1."/>
      <w:numFmt w:val="decimal"/>
      <w:start w:val="10"/>
    </w:lvl>
  </w:abstractNum>
  <w:abstractNum w:abstractNumId="307">
    <w:nsid w:val="48249DBF"/>
    <w:multiLevelType w:val="hybridMultilevel"/>
    <w:lvl w:ilvl="0">
      <w:lvlJc w:val="left"/>
      <w:lvlText w:val="%1."/>
      <w:numFmt w:val="decimal"/>
      <w:start w:val="1"/>
    </w:lvl>
    <w:lvl w:ilvl="1">
      <w:lvlJc w:val="left"/>
      <w:lvlText w:val="%2)"/>
      <w:numFmt w:val="lowerLetter"/>
      <w:start w:val="1"/>
    </w:lvl>
  </w:abstractNum>
  <w:abstractNum w:abstractNumId="308">
    <w:nsid w:val="1F0E5D0D"/>
    <w:multiLevelType w:val="hybridMultilevel"/>
    <w:lvl w:ilvl="0">
      <w:lvlJc w:val="left"/>
      <w:lvlText w:val="%1)"/>
      <w:numFmt w:val="lowerLetter"/>
      <w:start w:val="7"/>
    </w:lvl>
  </w:abstractNum>
  <w:abstractNum w:abstractNumId="309">
    <w:nsid w:val="26BAAE9"/>
    <w:multiLevelType w:val="hybridMultilevel"/>
    <w:lvl w:ilvl="0">
      <w:lvlJc w:val="left"/>
      <w:lvlText w:val="%1"/>
      <w:numFmt w:val="decimal"/>
      <w:start w:val="1"/>
    </w:lvl>
    <w:lvl w:ilvl="1">
      <w:lvlJc w:val="left"/>
      <w:lvlText w:val="%2)"/>
      <w:numFmt w:val="lowerLetter"/>
      <w:start w:val="14"/>
    </w:lvl>
  </w:abstractNum>
  <w:abstractNum w:abstractNumId="310">
    <w:nsid w:val="2C02FE8C"/>
    <w:multiLevelType w:val="hybridMultilevel"/>
    <w:lvl w:ilvl="0">
      <w:lvlJc w:val="left"/>
      <w:lvlText w:val="%1."/>
      <w:numFmt w:val="decimal"/>
      <w:start w:val="2"/>
    </w:lvl>
    <w:lvl w:ilvl="1">
      <w:lvlJc w:val="left"/>
      <w:lvlText w:val="%2"/>
      <w:numFmt w:val="lowerLetter"/>
      <w:start w:val="1"/>
    </w:lvl>
  </w:abstractNum>
  <w:abstractNum w:abstractNumId="311">
    <w:nsid w:val="129517E"/>
    <w:multiLevelType w:val="hybridMultilevel"/>
    <w:lvl w:ilvl="0">
      <w:lvlJc w:val="left"/>
      <w:lvlText w:val="(%1)"/>
      <w:numFmt w:val="lowerRoman"/>
      <w:start w:val="2"/>
    </w:lvl>
  </w:abstractNum>
  <w:abstractNum w:abstractNumId="312">
    <w:nsid w:val="763B8C4E"/>
    <w:multiLevelType w:val="hybridMultilevel"/>
    <w:lvl w:ilvl="0">
      <w:lvlJc w:val="left"/>
      <w:lvlText w:val="%1."/>
      <w:numFmt w:val="decimal"/>
      <w:start w:val="3"/>
    </w:lvl>
  </w:abstractNum>
  <w:abstractNum w:abstractNumId="313">
    <w:nsid w:val="4CFB8D32"/>
    <w:multiLevelType w:val="hybridMultilevel"/>
    <w:lvl w:ilvl="0">
      <w:lvlJc w:val="left"/>
      <w:lvlText w:val="%1."/>
      <w:numFmt w:val="decimal"/>
      <w:start w:val="4"/>
    </w:lvl>
  </w:abstractNum>
  <w:abstractNum w:abstractNumId="314">
    <w:nsid w:val="62A5D5BD"/>
    <w:multiLevelType w:val="hybridMultilevel"/>
    <w:lvl w:ilvl="0">
      <w:lvlJc w:val="left"/>
      <w:lvlText w:val="%1."/>
      <w:numFmt w:val="decimal"/>
      <w:start w:val="5"/>
    </w:lvl>
  </w:abstractNum>
  <w:abstractNum w:abstractNumId="315">
    <w:nsid w:val="718FABF9"/>
    <w:multiLevelType w:val="hybridMultilevel"/>
    <w:lvl w:ilvl="0">
      <w:lvlJc w:val="left"/>
      <w:lvlText w:val="%1."/>
      <w:numFmt w:val="decimal"/>
      <w:start w:val="6"/>
    </w:lvl>
  </w:abstractNum>
  <w:abstractNum w:abstractNumId="316">
    <w:nsid w:val="7775797C"/>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97" Type="http://schemas.openxmlformats.org/officeDocument/2006/relationships/image" Target="media/image181.png"/><Relationship Id="rId212" Type="http://schemas.openxmlformats.org/officeDocument/2006/relationships/image" Target="media/image182.png"/><Relationship Id="rId216" Type="http://schemas.openxmlformats.org/officeDocument/2006/relationships/image" Target="media/image183.png"/><Relationship Id="rId217" Type="http://schemas.openxmlformats.org/officeDocument/2006/relationships/image" Target="media/image184.png"/><Relationship Id="rId218" Type="http://schemas.openxmlformats.org/officeDocument/2006/relationships/image" Target="media/image185.png"/><Relationship Id="rId219" Type="http://schemas.openxmlformats.org/officeDocument/2006/relationships/image" Target="media/image186.png"/><Relationship Id="rId220" Type="http://schemas.openxmlformats.org/officeDocument/2006/relationships/image" Target="media/image187.png"/><Relationship Id="rId221" Type="http://schemas.openxmlformats.org/officeDocument/2006/relationships/image" Target="media/image188.png"/><Relationship Id="rId222" Type="http://schemas.openxmlformats.org/officeDocument/2006/relationships/image" Target="media/image189.png"/><Relationship Id="rId223" Type="http://schemas.openxmlformats.org/officeDocument/2006/relationships/image" Target="media/image190.png"/><Relationship Id="rId224" Type="http://schemas.openxmlformats.org/officeDocument/2006/relationships/image" Target="media/image191.png"/><Relationship Id="rId225" Type="http://schemas.openxmlformats.org/officeDocument/2006/relationships/image" Target="media/image192.png"/><Relationship Id="rId226" Type="http://schemas.openxmlformats.org/officeDocument/2006/relationships/image" Target="media/image193.png"/><Relationship Id="rId227" Type="http://schemas.openxmlformats.org/officeDocument/2006/relationships/image" Target="media/image194.png"/><Relationship Id="rId228" Type="http://schemas.openxmlformats.org/officeDocument/2006/relationships/image" Target="media/image195.png"/><Relationship Id="rId229" Type="http://schemas.openxmlformats.org/officeDocument/2006/relationships/image" Target="media/image196.png"/><Relationship Id="rId230" Type="http://schemas.openxmlformats.org/officeDocument/2006/relationships/image" Target="media/image197.png"/><Relationship Id="rId231" Type="http://schemas.openxmlformats.org/officeDocument/2006/relationships/image" Target="media/image198.png"/><Relationship Id="rId232" Type="http://schemas.openxmlformats.org/officeDocument/2006/relationships/image" Target="media/image199.png"/><Relationship Id="rId233" Type="http://schemas.openxmlformats.org/officeDocument/2006/relationships/image" Target="media/image200.png"/><Relationship Id="rId234" Type="http://schemas.openxmlformats.org/officeDocument/2006/relationships/image" Target="media/image201.png"/><Relationship Id="rId235" Type="http://schemas.openxmlformats.org/officeDocument/2006/relationships/image" Target="media/image202.png"/><Relationship Id="rId236" Type="http://schemas.openxmlformats.org/officeDocument/2006/relationships/image" Target="media/image203.png"/><Relationship Id="rId237" Type="http://schemas.openxmlformats.org/officeDocument/2006/relationships/image" Target="media/image204.png"/><Relationship Id="rId238" Type="http://schemas.openxmlformats.org/officeDocument/2006/relationships/image" Target="media/image205.png"/><Relationship Id="rId239" Type="http://schemas.openxmlformats.org/officeDocument/2006/relationships/image" Target="media/image206.png"/><Relationship Id="rId240" Type="http://schemas.openxmlformats.org/officeDocument/2006/relationships/image" Target="media/image207.png"/><Relationship Id="rId241" Type="http://schemas.openxmlformats.org/officeDocument/2006/relationships/image" Target="media/image208.png"/><Relationship Id="rId242" Type="http://schemas.openxmlformats.org/officeDocument/2006/relationships/image" Target="media/image209.png"/><Relationship Id="rId243" Type="http://schemas.openxmlformats.org/officeDocument/2006/relationships/image" Target="media/image210.png"/><Relationship Id="rId244" Type="http://schemas.openxmlformats.org/officeDocument/2006/relationships/image" Target="media/image211.png"/><Relationship Id="rId245" Type="http://schemas.openxmlformats.org/officeDocument/2006/relationships/image" Target="media/image212.png"/><Relationship Id="rId246" Type="http://schemas.openxmlformats.org/officeDocument/2006/relationships/image" Target="media/image213.png"/><Relationship Id="rId247" Type="http://schemas.openxmlformats.org/officeDocument/2006/relationships/image" Target="media/image214.png"/><Relationship Id="rId248" Type="http://schemas.openxmlformats.org/officeDocument/2006/relationships/image" Target="media/image215.png"/><Relationship Id="rId249" Type="http://schemas.openxmlformats.org/officeDocument/2006/relationships/image" Target="media/image216.png"/><Relationship Id="rId250" Type="http://schemas.openxmlformats.org/officeDocument/2006/relationships/image" Target="media/image217.png"/><Relationship Id="rId251" Type="http://schemas.openxmlformats.org/officeDocument/2006/relationships/image" Target="media/image218.png"/><Relationship Id="rId252" Type="http://schemas.openxmlformats.org/officeDocument/2006/relationships/image" Target="media/image219.png"/><Relationship Id="rId253" Type="http://schemas.openxmlformats.org/officeDocument/2006/relationships/image" Target="media/image220.png"/><Relationship Id="rId254" Type="http://schemas.openxmlformats.org/officeDocument/2006/relationships/image" Target="media/image221.png"/><Relationship Id="rId255" Type="http://schemas.openxmlformats.org/officeDocument/2006/relationships/image" Target="media/image222.png"/><Relationship Id="rId256" Type="http://schemas.openxmlformats.org/officeDocument/2006/relationships/image" Target="media/image223.png"/><Relationship Id="rId257" Type="http://schemas.openxmlformats.org/officeDocument/2006/relationships/image" Target="media/image224.png"/><Relationship Id="rId258" Type="http://schemas.openxmlformats.org/officeDocument/2006/relationships/image" Target="media/image225.png"/><Relationship Id="rId259" Type="http://schemas.openxmlformats.org/officeDocument/2006/relationships/image" Target="media/image226.png"/><Relationship Id="rId260" Type="http://schemas.openxmlformats.org/officeDocument/2006/relationships/image" Target="media/image227.png"/><Relationship Id="rId261" Type="http://schemas.openxmlformats.org/officeDocument/2006/relationships/image" Target="media/image228.png"/><Relationship Id="rId262" Type="http://schemas.openxmlformats.org/officeDocument/2006/relationships/image" Target="media/image229.png"/><Relationship Id="rId263" Type="http://schemas.openxmlformats.org/officeDocument/2006/relationships/image" Target="media/image230.png"/><Relationship Id="rId264" Type="http://schemas.openxmlformats.org/officeDocument/2006/relationships/image" Target="media/image231.png"/><Relationship Id="rId265" Type="http://schemas.openxmlformats.org/officeDocument/2006/relationships/image" Target="media/image232.png"/><Relationship Id="rId266" Type="http://schemas.openxmlformats.org/officeDocument/2006/relationships/image" Target="media/image233.png"/><Relationship Id="rId267" Type="http://schemas.openxmlformats.org/officeDocument/2006/relationships/image" Target="media/image234.png"/><Relationship Id="rId268" Type="http://schemas.openxmlformats.org/officeDocument/2006/relationships/image" Target="media/image235.png"/><Relationship Id="rId269" Type="http://schemas.openxmlformats.org/officeDocument/2006/relationships/image" Target="media/image236.png"/><Relationship Id="rId270" Type="http://schemas.openxmlformats.org/officeDocument/2006/relationships/image" Target="media/image237.png"/><Relationship Id="rId271" Type="http://schemas.openxmlformats.org/officeDocument/2006/relationships/image" Target="media/image238.png"/><Relationship Id="rId272" Type="http://schemas.openxmlformats.org/officeDocument/2006/relationships/image" Target="media/image239.png"/><Relationship Id="rId273" Type="http://schemas.openxmlformats.org/officeDocument/2006/relationships/image" Target="media/image240.png"/><Relationship Id="rId274" Type="http://schemas.openxmlformats.org/officeDocument/2006/relationships/image" Target="media/image241.png"/><Relationship Id="rId275" Type="http://schemas.openxmlformats.org/officeDocument/2006/relationships/image" Target="media/image242.png"/><Relationship Id="rId276" Type="http://schemas.openxmlformats.org/officeDocument/2006/relationships/image" Target="media/image243.png"/><Relationship Id="rId277" Type="http://schemas.openxmlformats.org/officeDocument/2006/relationships/image" Target="media/image244.png"/><Relationship Id="rId278" Type="http://schemas.openxmlformats.org/officeDocument/2006/relationships/image" Target="media/image245.png"/><Relationship Id="rId279" Type="http://schemas.openxmlformats.org/officeDocument/2006/relationships/image" Target="media/image246.png"/><Relationship Id="rId280" Type="http://schemas.openxmlformats.org/officeDocument/2006/relationships/image" Target="media/image247.png"/><Relationship Id="rId281" Type="http://schemas.openxmlformats.org/officeDocument/2006/relationships/image" Target="media/image248.png"/><Relationship Id="rId282" Type="http://schemas.openxmlformats.org/officeDocument/2006/relationships/image" Target="media/image249.png"/><Relationship Id="rId283" Type="http://schemas.openxmlformats.org/officeDocument/2006/relationships/image" Target="media/image250.png"/><Relationship Id="rId284" Type="http://schemas.openxmlformats.org/officeDocument/2006/relationships/image" Target="media/image251.png"/><Relationship Id="rId285" Type="http://schemas.openxmlformats.org/officeDocument/2006/relationships/image" Target="media/image252.png"/><Relationship Id="rId286" Type="http://schemas.openxmlformats.org/officeDocument/2006/relationships/image" Target="media/image253.png"/><Relationship Id="rId287" Type="http://schemas.openxmlformats.org/officeDocument/2006/relationships/image" Target="media/image254.png"/><Relationship Id="rId288" Type="http://schemas.openxmlformats.org/officeDocument/2006/relationships/image" Target="media/image255.png"/><Relationship Id="rId289" Type="http://schemas.openxmlformats.org/officeDocument/2006/relationships/image" Target="media/image256.png"/><Relationship Id="rId290" Type="http://schemas.openxmlformats.org/officeDocument/2006/relationships/image" Target="media/image257.png"/><Relationship Id="rId291" Type="http://schemas.openxmlformats.org/officeDocument/2006/relationships/image" Target="media/image258.png"/><Relationship Id="rId292" Type="http://schemas.openxmlformats.org/officeDocument/2006/relationships/image" Target="media/image259.png"/><Relationship Id="rId293" Type="http://schemas.openxmlformats.org/officeDocument/2006/relationships/image" Target="media/image260.png"/><Relationship Id="rId294" Type="http://schemas.openxmlformats.org/officeDocument/2006/relationships/image" Target="media/image261.png"/><Relationship Id="rId295" Type="http://schemas.openxmlformats.org/officeDocument/2006/relationships/image" Target="media/image262.png"/><Relationship Id="rId296" Type="http://schemas.openxmlformats.org/officeDocument/2006/relationships/image" Target="media/image263.png"/><Relationship Id="rId297" Type="http://schemas.openxmlformats.org/officeDocument/2006/relationships/image" Target="media/image264.png"/><Relationship Id="rId298" Type="http://schemas.openxmlformats.org/officeDocument/2006/relationships/image" Target="media/image265.png"/><Relationship Id="rId299" Type="http://schemas.openxmlformats.org/officeDocument/2006/relationships/image" Target="media/image266.png"/><Relationship Id="rId300" Type="http://schemas.openxmlformats.org/officeDocument/2006/relationships/image" Target="media/image267.png"/><Relationship Id="rId301" Type="http://schemas.openxmlformats.org/officeDocument/2006/relationships/image" Target="media/image268.png"/><Relationship Id="rId302" Type="http://schemas.openxmlformats.org/officeDocument/2006/relationships/image" Target="media/image269.png"/><Relationship Id="rId303" Type="http://schemas.openxmlformats.org/officeDocument/2006/relationships/image" Target="media/image270.png"/><Relationship Id="rId304" Type="http://schemas.openxmlformats.org/officeDocument/2006/relationships/image" Target="media/image271.png"/><Relationship Id="rId305" Type="http://schemas.openxmlformats.org/officeDocument/2006/relationships/image" Target="media/image272.png"/><Relationship Id="rId306" Type="http://schemas.openxmlformats.org/officeDocument/2006/relationships/image" Target="media/image273.png"/><Relationship Id="rId307" Type="http://schemas.openxmlformats.org/officeDocument/2006/relationships/image" Target="media/image274.png"/><Relationship Id="rId308" Type="http://schemas.openxmlformats.org/officeDocument/2006/relationships/image" Target="media/image275.png"/><Relationship Id="rId309" Type="http://schemas.openxmlformats.org/officeDocument/2006/relationships/image" Target="media/image276.png"/><Relationship Id="rId310" Type="http://schemas.openxmlformats.org/officeDocument/2006/relationships/image" Target="media/image277.png"/><Relationship Id="rId311" Type="http://schemas.openxmlformats.org/officeDocument/2006/relationships/image" Target="media/image278.png"/><Relationship Id="rId312" Type="http://schemas.openxmlformats.org/officeDocument/2006/relationships/image" Target="media/image279.png"/><Relationship Id="rId313" Type="http://schemas.openxmlformats.org/officeDocument/2006/relationships/image" Target="media/image280.png"/><Relationship Id="rId314" Type="http://schemas.openxmlformats.org/officeDocument/2006/relationships/image" Target="media/image281.png"/><Relationship Id="rId315" Type="http://schemas.openxmlformats.org/officeDocument/2006/relationships/image" Target="media/image282.png"/><Relationship Id="rId316" Type="http://schemas.openxmlformats.org/officeDocument/2006/relationships/image" Target="media/image283.png"/><Relationship Id="rId317" Type="http://schemas.openxmlformats.org/officeDocument/2006/relationships/image" Target="media/image284.png"/><Relationship Id="rId318" Type="http://schemas.openxmlformats.org/officeDocument/2006/relationships/image" Target="media/image285.png"/><Relationship Id="rId319" Type="http://schemas.openxmlformats.org/officeDocument/2006/relationships/image" Target="media/image286.png"/><Relationship Id="rId320" Type="http://schemas.openxmlformats.org/officeDocument/2006/relationships/image" Target="media/image287.png"/><Relationship Id="rId321" Type="http://schemas.openxmlformats.org/officeDocument/2006/relationships/image" Target="media/image288.png"/><Relationship Id="rId322" Type="http://schemas.openxmlformats.org/officeDocument/2006/relationships/image" Target="media/image289.png"/><Relationship Id="rId323" Type="http://schemas.openxmlformats.org/officeDocument/2006/relationships/image" Target="media/image290.png"/><Relationship Id="rId324" Type="http://schemas.openxmlformats.org/officeDocument/2006/relationships/image" Target="media/image291.png"/><Relationship Id="rId325" Type="http://schemas.openxmlformats.org/officeDocument/2006/relationships/image" Target="media/image292.png"/><Relationship Id="rId326" Type="http://schemas.openxmlformats.org/officeDocument/2006/relationships/image" Target="media/image293.png"/><Relationship Id="rId327" Type="http://schemas.openxmlformats.org/officeDocument/2006/relationships/image" Target="media/image294.png"/><Relationship Id="rId328" Type="http://schemas.openxmlformats.org/officeDocument/2006/relationships/image" Target="media/image295.png"/><Relationship Id="rId329" Type="http://schemas.openxmlformats.org/officeDocument/2006/relationships/image" Target="media/image296.png"/><Relationship Id="rId330" Type="http://schemas.openxmlformats.org/officeDocument/2006/relationships/image" Target="media/image297.png"/><Relationship Id="rId331" Type="http://schemas.openxmlformats.org/officeDocument/2006/relationships/image" Target="media/image298.png"/><Relationship Id="rId332" Type="http://schemas.openxmlformats.org/officeDocument/2006/relationships/image" Target="media/image299.png"/><Relationship Id="rId333" Type="http://schemas.openxmlformats.org/officeDocument/2006/relationships/image" Target="media/image300.png"/><Relationship Id="rId334" Type="http://schemas.openxmlformats.org/officeDocument/2006/relationships/image" Target="media/image301.png"/><Relationship Id="rId335" Type="http://schemas.openxmlformats.org/officeDocument/2006/relationships/image" Target="media/image302.png"/><Relationship Id="rId336" Type="http://schemas.openxmlformats.org/officeDocument/2006/relationships/image" Target="media/image303.png"/><Relationship Id="rId337" Type="http://schemas.openxmlformats.org/officeDocument/2006/relationships/image" Target="media/image304.png"/><Relationship Id="rId338" Type="http://schemas.openxmlformats.org/officeDocument/2006/relationships/image" Target="media/image305.png"/><Relationship Id="rId339" Type="http://schemas.openxmlformats.org/officeDocument/2006/relationships/image" Target="media/image306.png"/><Relationship Id="rId340" Type="http://schemas.openxmlformats.org/officeDocument/2006/relationships/image" Target="media/image307.png"/><Relationship Id="rId341" Type="http://schemas.openxmlformats.org/officeDocument/2006/relationships/image" Target="media/image308.png"/><Relationship Id="rId342" Type="http://schemas.openxmlformats.org/officeDocument/2006/relationships/image" Target="media/image309.png"/><Relationship Id="rId343" Type="http://schemas.openxmlformats.org/officeDocument/2006/relationships/image" Target="media/image310.png"/><Relationship Id="rId344" Type="http://schemas.openxmlformats.org/officeDocument/2006/relationships/image" Target="media/image311.png"/><Relationship Id="rId345" Type="http://schemas.openxmlformats.org/officeDocument/2006/relationships/image" Target="media/image312.png"/><Relationship Id="rId346" Type="http://schemas.openxmlformats.org/officeDocument/2006/relationships/image" Target="media/image313.png"/><Relationship Id="rId347" Type="http://schemas.openxmlformats.org/officeDocument/2006/relationships/image" Target="media/image314.png"/><Relationship Id="rId348" Type="http://schemas.openxmlformats.org/officeDocument/2006/relationships/image" Target="media/image315.png"/><Relationship Id="rId349" Type="http://schemas.openxmlformats.org/officeDocument/2006/relationships/image" Target="media/image316.png"/><Relationship Id="rId350" Type="http://schemas.openxmlformats.org/officeDocument/2006/relationships/image" Target="media/image317.png"/><Relationship Id="rId351" Type="http://schemas.openxmlformats.org/officeDocument/2006/relationships/image" Target="media/image318.png"/><Relationship Id="rId352" Type="http://schemas.openxmlformats.org/officeDocument/2006/relationships/image" Target="media/image319.png"/><Relationship Id="rId353" Type="http://schemas.openxmlformats.org/officeDocument/2006/relationships/image" Target="media/image320.png"/><Relationship Id="rId354" Type="http://schemas.openxmlformats.org/officeDocument/2006/relationships/image" Target="media/image321.png"/><Relationship Id="rId355" Type="http://schemas.openxmlformats.org/officeDocument/2006/relationships/image" Target="media/image322.png"/><Relationship Id="rId356" Type="http://schemas.openxmlformats.org/officeDocument/2006/relationships/image" Target="media/image323.png"/><Relationship Id="rId357" Type="http://schemas.openxmlformats.org/officeDocument/2006/relationships/image" Target="media/image324.png"/><Relationship Id="rId358" Type="http://schemas.openxmlformats.org/officeDocument/2006/relationships/image" Target="media/image325.png"/><Relationship Id="rId359" Type="http://schemas.openxmlformats.org/officeDocument/2006/relationships/image" Target="media/image326.png"/><Relationship Id="rId360" Type="http://schemas.openxmlformats.org/officeDocument/2006/relationships/image" Target="media/image327.png"/><Relationship Id="rId361" Type="http://schemas.openxmlformats.org/officeDocument/2006/relationships/image" Target="media/image328.png"/><Relationship Id="rId362" Type="http://schemas.openxmlformats.org/officeDocument/2006/relationships/image" Target="media/image329.png"/><Relationship Id="rId363" Type="http://schemas.openxmlformats.org/officeDocument/2006/relationships/image" Target="media/image330.png"/><Relationship Id="rId364" Type="http://schemas.openxmlformats.org/officeDocument/2006/relationships/image" Target="media/image331.png"/><Relationship Id="rId365" Type="http://schemas.openxmlformats.org/officeDocument/2006/relationships/image" Target="media/image332.png"/><Relationship Id="rId366" Type="http://schemas.openxmlformats.org/officeDocument/2006/relationships/image" Target="media/image333.png"/><Relationship Id="rId367" Type="http://schemas.openxmlformats.org/officeDocument/2006/relationships/image" Target="media/image334.png"/><Relationship Id="rId368" Type="http://schemas.openxmlformats.org/officeDocument/2006/relationships/image" Target="media/image335.png"/><Relationship Id="rId369" Type="http://schemas.openxmlformats.org/officeDocument/2006/relationships/image" Target="media/image336.png"/><Relationship Id="rId370" Type="http://schemas.openxmlformats.org/officeDocument/2006/relationships/image" Target="media/image337.png"/><Relationship Id="rId371" Type="http://schemas.openxmlformats.org/officeDocument/2006/relationships/image" Target="media/image338.png"/><Relationship Id="rId372" Type="http://schemas.openxmlformats.org/officeDocument/2006/relationships/image" Target="media/image339.png"/><Relationship Id="rId373" Type="http://schemas.openxmlformats.org/officeDocument/2006/relationships/image" Target="media/image340.png"/><Relationship Id="rId374" Type="http://schemas.openxmlformats.org/officeDocument/2006/relationships/image" Target="media/image341.png"/><Relationship Id="rId375" Type="http://schemas.openxmlformats.org/officeDocument/2006/relationships/image" Target="media/image342.png"/><Relationship Id="rId376" Type="http://schemas.openxmlformats.org/officeDocument/2006/relationships/image" Target="media/image343.png"/><Relationship Id="rId377" Type="http://schemas.openxmlformats.org/officeDocument/2006/relationships/image" Target="media/image344.png"/><Relationship Id="rId378" Type="http://schemas.openxmlformats.org/officeDocument/2006/relationships/image" Target="media/image345.png"/><Relationship Id="rId379" Type="http://schemas.openxmlformats.org/officeDocument/2006/relationships/image" Target="media/image346.png"/><Relationship Id="rId380" Type="http://schemas.openxmlformats.org/officeDocument/2006/relationships/image" Target="media/image347.png"/><Relationship Id="rId381" Type="http://schemas.openxmlformats.org/officeDocument/2006/relationships/image" Target="media/image348.png"/><Relationship Id="rId382" Type="http://schemas.openxmlformats.org/officeDocument/2006/relationships/image" Target="media/image349.png"/><Relationship Id="rId383" Type="http://schemas.openxmlformats.org/officeDocument/2006/relationships/image" Target="media/image350.png"/><Relationship Id="rId384" Type="http://schemas.openxmlformats.org/officeDocument/2006/relationships/image" Target="media/image351.png"/><Relationship Id="rId385" Type="http://schemas.openxmlformats.org/officeDocument/2006/relationships/image" Target="media/image352.png"/><Relationship Id="rId386" Type="http://schemas.openxmlformats.org/officeDocument/2006/relationships/image" Target="media/image353.png"/><Relationship Id="rId387" Type="http://schemas.openxmlformats.org/officeDocument/2006/relationships/image" Target="media/image354.png"/><Relationship Id="rId388" Type="http://schemas.openxmlformats.org/officeDocument/2006/relationships/image" Target="media/image355.png"/><Relationship Id="rId389" Type="http://schemas.openxmlformats.org/officeDocument/2006/relationships/image" Target="media/image356.png"/><Relationship Id="rId390" Type="http://schemas.openxmlformats.org/officeDocument/2006/relationships/image" Target="media/image357.png"/><Relationship Id="rId391" Type="http://schemas.openxmlformats.org/officeDocument/2006/relationships/image" Target="media/image358.png"/><Relationship Id="rId392" Type="http://schemas.openxmlformats.org/officeDocument/2006/relationships/image" Target="media/image359.png"/><Relationship Id="rId393" Type="http://schemas.openxmlformats.org/officeDocument/2006/relationships/image" Target="media/image360.png"/><Relationship Id="rId394" Type="http://schemas.openxmlformats.org/officeDocument/2006/relationships/image" Target="media/image361.png"/><Relationship Id="rId395" Type="http://schemas.openxmlformats.org/officeDocument/2006/relationships/image" Target="media/image362.png"/><Relationship Id="rId396" Type="http://schemas.openxmlformats.org/officeDocument/2006/relationships/image" Target="media/image363.png"/><Relationship Id="rId397" Type="http://schemas.openxmlformats.org/officeDocument/2006/relationships/image" Target="media/image364.png"/><Relationship Id="rId398" Type="http://schemas.openxmlformats.org/officeDocument/2006/relationships/image" Target="media/image365.png"/><Relationship Id="rId399" Type="http://schemas.openxmlformats.org/officeDocument/2006/relationships/image" Target="media/image366.png"/><Relationship Id="rId400" Type="http://schemas.openxmlformats.org/officeDocument/2006/relationships/image" Target="media/image367.jpeg"/><Relationship Id="rId401" Type="http://schemas.openxmlformats.org/officeDocument/2006/relationships/image" Target="media/image368.png"/><Relationship Id="rId402" Type="http://schemas.openxmlformats.org/officeDocument/2006/relationships/image" Target="media/image369.jpeg"/><Relationship Id="rId403" Type="http://schemas.openxmlformats.org/officeDocument/2006/relationships/image" Target="media/image370.jpeg"/><Relationship Id="rId404" Type="http://schemas.openxmlformats.org/officeDocument/2006/relationships/image" Target="media/image371.jpeg"/><Relationship Id="rId405" Type="http://schemas.openxmlformats.org/officeDocument/2006/relationships/image" Target="media/image372.png"/><Relationship Id="rId406" Type="http://schemas.openxmlformats.org/officeDocument/2006/relationships/image" Target="media/image373.png"/><Relationship Id="rId407" Type="http://schemas.openxmlformats.org/officeDocument/2006/relationships/image" Target="media/image374.png"/><Relationship Id="rId408" Type="http://schemas.openxmlformats.org/officeDocument/2006/relationships/image" Target="media/image375.png"/><Relationship Id="rId188" Type="http://schemas.openxmlformats.org/officeDocument/2006/relationships/hyperlink" Target="http://www.sec.gov/Archives/edgar/data/1867729/000119312524186293/d343706dex32.htm" TargetMode="External"/><Relationship Id="rId189" Type="http://schemas.openxmlformats.org/officeDocument/2006/relationships/hyperlink" Target="http://www.sec.gov/Archives/edgar/data/1867729/000119312524186293/d343706dex42.htm" TargetMode="External"/><Relationship Id="rId190" Type="http://schemas.openxmlformats.org/officeDocument/2006/relationships/hyperlink" Target="http://www.sec.gov/Archives/edgar/data/1867729/000119312524186293/d343706dex44.htm" TargetMode="External"/><Relationship Id="rId191" Type="http://schemas.openxmlformats.org/officeDocument/2006/relationships/hyperlink" Target="http://www.sec.gov/Archives/edgar/data/1867729/000119312524186293/d343706dex101.htm" TargetMode="External"/><Relationship Id="rId192" Type="http://schemas.openxmlformats.org/officeDocument/2006/relationships/hyperlink" Target="http://www.sec.gov/Archives/edgar/data/1867729/000119312524186293/d343706dex102.htm" TargetMode="External"/><Relationship Id="rId193" Type="http://schemas.openxmlformats.org/officeDocument/2006/relationships/hyperlink" Target="http://www.sec.gov/Archives/edgar/data/0001867729/000119312524186293/d343706dex103.htm" TargetMode="External"/><Relationship Id="rId194" Type="http://schemas.openxmlformats.org/officeDocument/2006/relationships/hyperlink" Target="http://www.sec.gov/Archives/edgar/data/0001867729/000119312524186293/d343706dex105.htm" TargetMode="External"/><Relationship Id="rId195" Type="http://schemas.openxmlformats.org/officeDocument/2006/relationships/hyperlink" Target="http://www.sec.gov/Archives/edgar/data/0001867729/000119312524186293/d343706dex106.htm" TargetMode="External"/><Relationship Id="rId196" Type="http://schemas.openxmlformats.org/officeDocument/2006/relationships/hyperlink" Target="http://www.sec.gov/Archives/edgar/data/0001867729/000119312524186293/d343706dex107.htm" TargetMode="External"/><Relationship Id="rId198" Type="http://schemas.openxmlformats.org/officeDocument/2006/relationships/hyperlink" Target="http://www.sec.gov/Archives/edgar/data/0001867729/000119312524186293/d343706dex108.htm" TargetMode="External"/><Relationship Id="rId199" Type="http://schemas.openxmlformats.org/officeDocument/2006/relationships/hyperlink" Target="http://www.sec.gov/Archives/edgar/data/0001867729/000119312524186293/d343706dex109.htm" TargetMode="External"/><Relationship Id="rId200" Type="http://schemas.openxmlformats.org/officeDocument/2006/relationships/hyperlink" Target="http://www.sec.gov/Archives/edgar/data/0001867729/000119312524186293/d343706dex1010.htm" TargetMode="External"/><Relationship Id="rId201" Type="http://schemas.openxmlformats.org/officeDocument/2006/relationships/hyperlink" Target="http://www.sec.gov/Archives/edgar/data/0001867729/000119312524197868/d343706dex1011.htm" TargetMode="External"/><Relationship Id="rId202" Type="http://schemas.openxmlformats.org/officeDocument/2006/relationships/hyperlink" Target="http://www.sec.gov/Archives/edgar/data/0001867729/000119312524186293/d343706dex1012.htm" TargetMode="External"/><Relationship Id="rId203" Type="http://schemas.openxmlformats.org/officeDocument/2006/relationships/hyperlink" Target="http://www.sec.gov/Archives/edgar/data/0001867729/000119312524186293/d343706dex1013.htm" TargetMode="External"/><Relationship Id="rId204" Type="http://schemas.openxmlformats.org/officeDocument/2006/relationships/hyperlink" Target="http://www.sec.gov/Archives/edgar/data/1867729/000119312524186293/d343706dex1014.htm" TargetMode="External"/><Relationship Id="rId205" Type="http://schemas.openxmlformats.org/officeDocument/2006/relationships/hyperlink" Target="http://www.sec.gov/Archives/edgar/data/0001867729/000119312524186293/d343706dex1015.htm" TargetMode="External"/><Relationship Id="rId206" Type="http://schemas.openxmlformats.org/officeDocument/2006/relationships/hyperlink" Target="http://www.sec.gov/Archives/edgar/data/0001867729/000119312524186293/d343706dex1016.htm" TargetMode="External"/><Relationship Id="rId207" Type="http://schemas.openxmlformats.org/officeDocument/2006/relationships/hyperlink" Target="http://www.sec.gov/Archives/edgar/data/0001867729/000119312524197868/d343706dex1017.htm" TargetMode="External"/><Relationship Id="rId208" Type="http://schemas.openxmlformats.org/officeDocument/2006/relationships/hyperlink" Target="http://www.sec.gov/Archives/edgar/data/0001867729/000119312524197868/d343706dex1018.htm" TargetMode="External"/><Relationship Id="rId209" Type="http://schemas.openxmlformats.org/officeDocument/2006/relationships/hyperlink" Target="http://www.sec.gov/Archives/edgar/data/0001867729/000119312524197868/d343706dex1019.htm" TargetMode="External"/><Relationship Id="rId210" Type="http://schemas.openxmlformats.org/officeDocument/2006/relationships/hyperlink" Target="http://www.sec.gov/Archives/edgar/data/1867729/000119312524197868/d343706dex1020.htm" TargetMode="External"/><Relationship Id="rId211" Type="http://schemas.openxmlformats.org/officeDocument/2006/relationships/hyperlink" Target="http://www.sec.gov/Archives/edgar/data/0001867729/000119312524197868/d343706dex1021.htm" TargetMode="External"/><Relationship Id="rId213" Type="http://schemas.openxmlformats.org/officeDocument/2006/relationships/hyperlink" Target="http://www.sec.gov/Archives/edgar/data/1867729/000119312524197868/d343706dex1022.htm" TargetMode="External"/><Relationship Id="rId214" Type="http://schemas.openxmlformats.org/officeDocument/2006/relationships/hyperlink" Target="http://www.sec.gov/Archives/edgar/data/1867729/000119312524203296/d343706dex1023.htm" TargetMode="External"/><Relationship Id="rId215" Type="http://schemas.openxmlformats.org/officeDocument/2006/relationships/hyperlink" Target="http://www.sec.gov/Archives/edgar/data/0001867729/000119312524186293/d343706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2025-03-25T15:19:11Z</dcterms:created>
  <dcterms:modified xsi:type="dcterms:W3CDTF">2025-03-25T15:19:11Z</dcterms:modified>
</cp:coreProperties>
</file>