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As confidentially submitted to the Securities and Exchange Commission on February 23, 2023</w:t>
      </w:r>
    </w:p>
    <w:p>
      <w:pPr>
        <w:spacing w:after="0" w:line="28" w:lineRule="exact"/>
        <w:rPr>
          <w:sz w:val="24"/>
          <w:szCs w:val="24"/>
          <w:color w:val="auto"/>
        </w:rPr>
      </w:pPr>
    </w:p>
    <w:p>
      <w:pPr>
        <w:ind w:left="9020"/>
        <w:spacing w:after="0"/>
        <w:rPr>
          <w:sz w:val="20"/>
          <w:szCs w:val="20"/>
          <w:color w:val="auto"/>
        </w:rPr>
      </w:pPr>
      <w:r>
        <w:rPr>
          <w:rFonts w:ascii="Times New Roman" w:cs="Times New Roman" w:eastAsia="Times New Roman" w:hAnsi="Times New Roman"/>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84455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4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146050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FORM F-1</w:t>
      </w:r>
    </w:p>
    <w:p>
      <w:pPr>
        <w:spacing w:after="0" w:line="4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REGISTRATION STATEMENT</w:t>
      </w:r>
    </w:p>
    <w:p>
      <w:pPr>
        <w:spacing w:after="0" w:line="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151765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43"/>
          <w:szCs w:val="43"/>
          <w:b w:val="1"/>
          <w:bCs w:val="1"/>
          <w:color w:val="auto"/>
        </w:rPr>
        <w:t>WeRide Inc.</w:t>
      </w:r>
    </w:p>
    <w:p>
      <w:pPr>
        <w:spacing w:after="0" w:line="6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163195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3"/>
          <w:szCs w:val="13"/>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149225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tbl>
      <w:tblPr>
        <w:tblLayout w:type="fixed"/>
        <w:tblInd w:w="1160" w:type="dxa"/>
        <w:tblCellMar>
          <w:top w:w="0" w:type="dxa"/>
          <w:left w:w="0" w:type="dxa"/>
          <w:bottom w:w="0" w:type="dxa"/>
          <w:right w:w="0" w:type="dxa"/>
        </w:tblCellMar>
      </w:tblPr>
      <w:tr>
        <w:trPr>
          <w:trHeight w:val="198"/>
        </w:trPr>
        <w:tc>
          <w:tcPr>
            <w:tcW w:w="2720" w:type="dxa"/>
            <w:vAlign w:val="bottom"/>
          </w:tcPr>
          <w:p>
            <w:pPr>
              <w:jc w:val="center"/>
              <w:ind w:right="1011"/>
              <w:spacing w:after="0"/>
              <w:rPr>
                <w:sz w:val="20"/>
                <w:szCs w:val="20"/>
                <w:color w:val="auto"/>
              </w:rPr>
            </w:pPr>
            <w:r>
              <w:rPr>
                <w:rFonts w:ascii="Times New Roman" w:cs="Times New Roman" w:eastAsia="Times New Roman" w:hAnsi="Times New Roman"/>
                <w:sz w:val="16"/>
                <w:szCs w:val="16"/>
                <w:b w:val="1"/>
                <w:bCs w:val="1"/>
                <w:color w:val="auto"/>
              </w:rPr>
              <w:t>Cayman Islands</w:t>
            </w:r>
          </w:p>
        </w:tc>
        <w:tc>
          <w:tcPr>
            <w:tcW w:w="3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7373</w:t>
            </w:r>
          </w:p>
        </w:tc>
        <w:tc>
          <w:tcPr>
            <w:tcW w:w="2360" w:type="dxa"/>
            <w:vAlign w:val="bottom"/>
          </w:tcPr>
          <w:p>
            <w:pPr>
              <w:jc w:val="center"/>
              <w:ind w:left="1051"/>
              <w:spacing w:after="0"/>
              <w:rPr>
                <w:sz w:val="20"/>
                <w:szCs w:val="20"/>
                <w:color w:val="auto"/>
              </w:rPr>
            </w:pPr>
            <w:r>
              <w:rPr>
                <w:rFonts w:ascii="Times New Roman" w:cs="Times New Roman" w:eastAsia="Times New Roman" w:hAnsi="Times New Roman"/>
                <w:sz w:val="16"/>
                <w:szCs w:val="16"/>
                <w:b w:val="1"/>
                <w:bCs w:val="1"/>
                <w:color w:val="auto"/>
              </w:rPr>
              <w:t>Not Applicable</w:t>
            </w:r>
          </w:p>
        </w:tc>
      </w:tr>
      <w:tr>
        <w:trPr>
          <w:trHeight w:val="135"/>
        </w:trPr>
        <w:tc>
          <w:tcPr>
            <w:tcW w:w="2720" w:type="dxa"/>
            <w:vAlign w:val="bottom"/>
          </w:tcPr>
          <w:p>
            <w:pPr>
              <w:jc w:val="center"/>
              <w:ind w:right="991"/>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3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(Primary Standard Industrial</w:t>
            </w:r>
          </w:p>
        </w:tc>
        <w:tc>
          <w:tcPr>
            <w:tcW w:w="2360" w:type="dxa"/>
            <w:vAlign w:val="bottom"/>
          </w:tcPr>
          <w:p>
            <w:pPr>
              <w:jc w:val="center"/>
              <w:ind w:left="1031"/>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2720" w:type="dxa"/>
            <w:vAlign w:val="bottom"/>
          </w:tcPr>
          <w:p>
            <w:pPr>
              <w:jc w:val="center"/>
              <w:ind w:right="1011"/>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3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Classification Code Number)</w:t>
            </w:r>
          </w:p>
        </w:tc>
        <w:tc>
          <w:tcPr>
            <w:tcW w:w="2360" w:type="dxa"/>
            <w:vAlign w:val="bottom"/>
          </w:tcPr>
          <w:p>
            <w:pPr>
              <w:jc w:val="center"/>
              <w:ind w:left="1031"/>
              <w:spacing w:after="0"/>
              <w:rPr>
                <w:sz w:val="20"/>
                <w:szCs w:val="20"/>
                <w:color w:val="auto"/>
              </w:rPr>
            </w:pPr>
            <w:r>
              <w:rPr>
                <w:rFonts w:ascii="Times New Roman" w:cs="Times New Roman" w:eastAsia="Times New Roman" w:hAnsi="Times New Roman"/>
                <w:sz w:val="13"/>
                <w:szCs w:val="13"/>
                <w:b w:val="1"/>
                <w:bCs w:val="1"/>
                <w:color w:val="auto"/>
                <w:w w:val="97"/>
              </w:rPr>
              <w:t>Identification Number)</w:t>
            </w:r>
          </w:p>
        </w:tc>
      </w:tr>
    </w:tbl>
    <w:p>
      <w:pPr>
        <w:spacing w:after="0" w:line="4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21</w:t>
      </w:r>
      <w:r>
        <w:rPr>
          <w:rFonts w:ascii="Times New Roman" w:cs="Times New Roman" w:eastAsia="Times New Roman" w:hAnsi="Times New Roman"/>
          <w:sz w:val="24"/>
          <w:szCs w:val="24"/>
          <w:b w:val="1"/>
          <w:bCs w:val="1"/>
          <w:color w:val="auto"/>
          <w:vertAlign w:val="superscript"/>
        </w:rPr>
        <w:t>st</w:t>
      </w:r>
      <w:r>
        <w:rPr>
          <w:rFonts w:ascii="Times New Roman" w:cs="Times New Roman" w:eastAsia="Times New Roman" w:hAnsi="Times New Roman"/>
          <w:sz w:val="16"/>
          <w:szCs w:val="16"/>
          <w:b w:val="1"/>
          <w:bCs w:val="1"/>
          <w:color w:val="auto"/>
        </w:rPr>
        <w:t xml:space="preserve"> Floor, Tower A, Guanzhou Life Science Innovation Center,</w:t>
      </w: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No. 51, Luoxuan Road, Guangzhou International Biotech Island,</w:t>
      </w:r>
    </w:p>
    <w:p>
      <w:pPr>
        <w:spacing w:after="0" w:line="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Guangzhou 510005</w:t>
      </w:r>
    </w:p>
    <w:p>
      <w:pPr>
        <w:spacing w:after="0" w:line="1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People’s Republic of China</w:t>
      </w:r>
    </w:p>
    <w:p>
      <w:pPr>
        <w:spacing w:after="0" w:line="1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+86 (20) 2909-3388</w:t>
      </w:r>
    </w:p>
    <w:p>
      <w:pPr>
        <w:spacing w:after="0" w:line="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3"/>
          <w:szCs w:val="13"/>
          <w:b w:val="1"/>
          <w:bCs w:val="1"/>
          <w:color w:val="auto"/>
        </w:rPr>
        <w:t>(Address, including zip code, and telephone number, including area code, of Registrant’s principal executive offices)</w:t>
      </w:r>
    </w:p>
    <w:p>
      <w:pPr>
        <w:jc w:val="center"/>
        <w:ind w:right="-139"/>
        <w:spacing w:after="0"/>
        <w:rPr>
          <w:sz w:val="20"/>
          <w:szCs w:val="20"/>
          <w:color w:val="auto"/>
        </w:rPr>
      </w:pPr>
      <w:r>
        <w:rPr>
          <w:rFonts w:ascii="Times New Roman" w:cs="Times New Roman" w:eastAsia="Times New Roman" w:hAnsi="Times New Roman"/>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139065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3" w:lineRule="exact"/>
        <w:rPr>
          <w:sz w:val="24"/>
          <w:szCs w:val="24"/>
          <w:color w:val="auto"/>
        </w:rPr>
      </w:pPr>
    </w:p>
    <w:tbl>
      <w:tblPr>
        <w:tblLayout w:type="fixed"/>
        <w:tblInd w:w="720" w:type="dxa"/>
        <w:tblCellMar>
          <w:top w:w="0" w:type="dxa"/>
          <w:left w:w="0" w:type="dxa"/>
          <w:bottom w:w="0" w:type="dxa"/>
          <w:right w:w="0" w:type="dxa"/>
        </w:tblCellMar>
      </w:tblPr>
      <w:tr>
        <w:trPr>
          <w:trHeight w:val="204"/>
        </w:trPr>
        <w:tc>
          <w:tcPr>
            <w:tcW w:w="3200" w:type="dxa"/>
            <w:vAlign w:val="bottom"/>
          </w:tcPr>
          <w:p>
            <w:pPr>
              <w:spacing w:after="0"/>
              <w:rPr>
                <w:sz w:val="17"/>
                <w:szCs w:val="17"/>
                <w:color w:val="auto"/>
              </w:rPr>
            </w:pPr>
          </w:p>
        </w:tc>
        <w:tc>
          <w:tcPr>
            <w:tcW w:w="3640" w:type="dxa"/>
            <w:vAlign w:val="bottom"/>
          </w:tcPr>
          <w:p>
            <w:pPr>
              <w:ind w:left="1360"/>
              <w:spacing w:after="0"/>
              <w:rPr>
                <w:sz w:val="20"/>
                <w:szCs w:val="20"/>
                <w:color w:val="auto"/>
              </w:rPr>
            </w:pPr>
            <w:r>
              <w:rPr>
                <w:rFonts w:ascii="Times New Roman" w:cs="Times New Roman" w:eastAsia="Times New Roman" w:hAnsi="Times New Roman"/>
                <w:sz w:val="16"/>
                <w:szCs w:val="16"/>
                <w:b w:val="1"/>
                <w:bCs w:val="1"/>
                <w:i w:val="1"/>
                <w:iCs w:val="1"/>
                <w:color w:val="auto"/>
              </w:rPr>
              <w:t>Copies to:</w:t>
            </w:r>
          </w:p>
        </w:tc>
        <w:tc>
          <w:tcPr>
            <w:tcW w:w="2980" w:type="dxa"/>
            <w:vAlign w:val="bottom"/>
          </w:tcPr>
          <w:p>
            <w:pPr>
              <w:spacing w:after="0"/>
              <w:rPr>
                <w:sz w:val="17"/>
                <w:szCs w:val="17"/>
                <w:color w:val="auto"/>
              </w:rPr>
            </w:pPr>
          </w:p>
        </w:tc>
      </w:tr>
      <w:tr>
        <w:trPr>
          <w:trHeight w:val="203"/>
        </w:trPr>
        <w:tc>
          <w:tcPr>
            <w:tcW w:w="3200" w:type="dxa"/>
            <w:vAlign w:val="bottom"/>
          </w:tcPr>
          <w:p>
            <w:pPr>
              <w:jc w:val="center"/>
              <w:ind w:right="579"/>
              <w:spacing w:after="0"/>
              <w:rPr>
                <w:sz w:val="20"/>
                <w:szCs w:val="20"/>
                <w:color w:val="auto"/>
              </w:rPr>
            </w:pPr>
            <w:r>
              <w:rPr>
                <w:rFonts w:ascii="Times New Roman" w:cs="Times New Roman" w:eastAsia="Times New Roman" w:hAnsi="Times New Roman"/>
                <w:sz w:val="16"/>
                <w:szCs w:val="16"/>
                <w:b w:val="1"/>
                <w:bCs w:val="1"/>
                <w:color w:val="auto"/>
              </w:rPr>
              <w:t>Haiping Li, Esq.</w:t>
            </w:r>
          </w:p>
        </w:tc>
        <w:tc>
          <w:tcPr>
            <w:tcW w:w="3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Brian V. Breheny, Esq.</w:t>
            </w:r>
          </w:p>
        </w:tc>
        <w:tc>
          <w:tcPr>
            <w:tcW w:w="2980" w:type="dxa"/>
            <w:vAlign w:val="bottom"/>
          </w:tcPr>
          <w:p>
            <w:pPr>
              <w:jc w:val="center"/>
              <w:ind w:left="559"/>
              <w:spacing w:after="0"/>
              <w:rPr>
                <w:sz w:val="20"/>
                <w:szCs w:val="20"/>
                <w:color w:val="auto"/>
              </w:rPr>
            </w:pPr>
            <w:r>
              <w:rPr>
                <w:rFonts w:ascii="Times New Roman" w:cs="Times New Roman" w:eastAsia="Times New Roman" w:hAnsi="Times New Roman"/>
                <w:sz w:val="16"/>
                <w:szCs w:val="16"/>
                <w:b w:val="1"/>
                <w:bCs w:val="1"/>
                <w:color w:val="auto"/>
                <w:w w:val="99"/>
              </w:rPr>
              <w:t>Benjamin Su, Esq.</w:t>
            </w:r>
          </w:p>
        </w:tc>
      </w:tr>
      <w:tr>
        <w:trPr>
          <w:trHeight w:val="203"/>
        </w:trPr>
        <w:tc>
          <w:tcPr>
            <w:tcW w:w="3200" w:type="dxa"/>
            <w:vAlign w:val="bottom"/>
          </w:tcPr>
          <w:p>
            <w:pPr>
              <w:jc w:val="center"/>
              <w:ind w:right="599"/>
              <w:spacing w:after="0"/>
              <w:rPr>
                <w:sz w:val="20"/>
                <w:szCs w:val="20"/>
                <w:color w:val="auto"/>
              </w:rPr>
            </w:pPr>
            <w:r>
              <w:rPr>
                <w:rFonts w:ascii="Times New Roman" w:cs="Times New Roman" w:eastAsia="Times New Roman" w:hAnsi="Times New Roman"/>
                <w:sz w:val="16"/>
                <w:szCs w:val="16"/>
                <w:b w:val="1"/>
                <w:bCs w:val="1"/>
                <w:color w:val="auto"/>
              </w:rPr>
              <w:t>Skadden, Arps, Slate, Meagher &amp;</w:t>
            </w:r>
          </w:p>
        </w:tc>
        <w:tc>
          <w:tcPr>
            <w:tcW w:w="3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Skadden, Arps, Slate, Meagher &amp;</w:t>
            </w:r>
          </w:p>
        </w:tc>
        <w:tc>
          <w:tcPr>
            <w:tcW w:w="2980" w:type="dxa"/>
            <w:vAlign w:val="bottom"/>
          </w:tcPr>
          <w:p>
            <w:pPr>
              <w:jc w:val="center"/>
              <w:ind w:left="559"/>
              <w:spacing w:after="0"/>
              <w:rPr>
                <w:sz w:val="20"/>
                <w:szCs w:val="20"/>
                <w:color w:val="auto"/>
              </w:rPr>
            </w:pPr>
            <w:r>
              <w:rPr>
                <w:rFonts w:ascii="Times New Roman" w:cs="Times New Roman" w:eastAsia="Times New Roman" w:hAnsi="Times New Roman"/>
                <w:sz w:val="16"/>
                <w:szCs w:val="16"/>
                <w:b w:val="1"/>
                <w:bCs w:val="1"/>
                <w:color w:val="auto"/>
              </w:rPr>
              <w:t>Latham &amp; Watkins LLP</w:t>
            </w:r>
          </w:p>
        </w:tc>
      </w:tr>
      <w:tr>
        <w:trPr>
          <w:trHeight w:val="203"/>
        </w:trPr>
        <w:tc>
          <w:tcPr>
            <w:tcW w:w="3200" w:type="dxa"/>
            <w:vAlign w:val="bottom"/>
          </w:tcPr>
          <w:p>
            <w:pPr>
              <w:jc w:val="center"/>
              <w:ind w:right="599"/>
              <w:spacing w:after="0"/>
              <w:rPr>
                <w:sz w:val="20"/>
                <w:szCs w:val="20"/>
                <w:color w:val="auto"/>
              </w:rPr>
            </w:pPr>
            <w:r>
              <w:rPr>
                <w:rFonts w:ascii="Times New Roman" w:cs="Times New Roman" w:eastAsia="Times New Roman" w:hAnsi="Times New Roman"/>
                <w:sz w:val="16"/>
                <w:szCs w:val="16"/>
                <w:b w:val="1"/>
                <w:bCs w:val="1"/>
                <w:color w:val="auto"/>
              </w:rPr>
              <w:t>Flom LLP</w:t>
            </w:r>
          </w:p>
        </w:tc>
        <w:tc>
          <w:tcPr>
            <w:tcW w:w="3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Flom LLP</w:t>
            </w:r>
          </w:p>
        </w:tc>
        <w:tc>
          <w:tcPr>
            <w:tcW w:w="2980" w:type="dxa"/>
            <w:vAlign w:val="bottom"/>
          </w:tcPr>
          <w:p>
            <w:pPr>
              <w:jc w:val="center"/>
              <w:ind w:left="559"/>
              <w:spacing w:after="0"/>
              <w:rPr>
                <w:sz w:val="20"/>
                <w:szCs w:val="20"/>
                <w:color w:val="auto"/>
              </w:rPr>
            </w:pPr>
            <w:r>
              <w:rPr>
                <w:rFonts w:ascii="Times New Roman" w:cs="Times New Roman" w:eastAsia="Times New Roman" w:hAnsi="Times New Roman"/>
                <w:sz w:val="16"/>
                <w:szCs w:val="16"/>
                <w:b w:val="1"/>
                <w:bCs w:val="1"/>
                <w:color w:val="auto"/>
              </w:rPr>
              <w:t>18th Floor, One Exchange Square</w:t>
            </w:r>
          </w:p>
        </w:tc>
      </w:tr>
      <w:tr>
        <w:trPr>
          <w:trHeight w:val="203"/>
        </w:trPr>
        <w:tc>
          <w:tcPr>
            <w:tcW w:w="3200" w:type="dxa"/>
            <w:vAlign w:val="bottom"/>
          </w:tcPr>
          <w:p>
            <w:pPr>
              <w:jc w:val="center"/>
              <w:ind w:right="579"/>
              <w:spacing w:after="0"/>
              <w:rPr>
                <w:sz w:val="20"/>
                <w:szCs w:val="20"/>
                <w:color w:val="auto"/>
              </w:rPr>
            </w:pPr>
            <w:r>
              <w:rPr>
                <w:rFonts w:ascii="Times New Roman" w:cs="Times New Roman" w:eastAsia="Times New Roman" w:hAnsi="Times New Roman"/>
                <w:sz w:val="16"/>
                <w:szCs w:val="16"/>
                <w:b w:val="1"/>
                <w:bCs w:val="1"/>
                <w:color w:val="auto"/>
              </w:rPr>
              <w:t>JingAn Kerry Center, Tower II, 46/F</w:t>
            </w:r>
          </w:p>
        </w:tc>
        <w:tc>
          <w:tcPr>
            <w:tcW w:w="3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1440 New York Avenue, N.W.</w:t>
            </w:r>
          </w:p>
        </w:tc>
        <w:tc>
          <w:tcPr>
            <w:tcW w:w="2980" w:type="dxa"/>
            <w:vAlign w:val="bottom"/>
          </w:tcPr>
          <w:p>
            <w:pPr>
              <w:jc w:val="center"/>
              <w:ind w:left="559"/>
              <w:spacing w:after="0"/>
              <w:rPr>
                <w:sz w:val="20"/>
                <w:szCs w:val="20"/>
                <w:color w:val="auto"/>
              </w:rPr>
            </w:pPr>
            <w:r>
              <w:rPr>
                <w:rFonts w:ascii="Times New Roman" w:cs="Times New Roman" w:eastAsia="Times New Roman" w:hAnsi="Times New Roman"/>
                <w:sz w:val="16"/>
                <w:szCs w:val="16"/>
                <w:b w:val="1"/>
                <w:bCs w:val="1"/>
                <w:color w:val="auto"/>
              </w:rPr>
              <w:t>8 Connaught Place</w:t>
            </w:r>
          </w:p>
        </w:tc>
      </w:tr>
      <w:tr>
        <w:trPr>
          <w:trHeight w:val="203"/>
        </w:trPr>
        <w:tc>
          <w:tcPr>
            <w:tcW w:w="3200" w:type="dxa"/>
            <w:vAlign w:val="bottom"/>
          </w:tcPr>
          <w:p>
            <w:pPr>
              <w:jc w:val="center"/>
              <w:ind w:right="599"/>
              <w:spacing w:after="0"/>
              <w:rPr>
                <w:sz w:val="20"/>
                <w:szCs w:val="20"/>
                <w:color w:val="auto"/>
              </w:rPr>
            </w:pPr>
            <w:r>
              <w:rPr>
                <w:rFonts w:ascii="Times New Roman" w:cs="Times New Roman" w:eastAsia="Times New Roman" w:hAnsi="Times New Roman"/>
                <w:sz w:val="16"/>
                <w:szCs w:val="16"/>
                <w:b w:val="1"/>
                <w:bCs w:val="1"/>
                <w:color w:val="auto"/>
              </w:rPr>
              <w:t>1539 Nanjing West Road</w:t>
            </w:r>
          </w:p>
        </w:tc>
        <w:tc>
          <w:tcPr>
            <w:tcW w:w="3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20005</w:t>
            </w:r>
          </w:p>
        </w:tc>
        <w:tc>
          <w:tcPr>
            <w:tcW w:w="2980" w:type="dxa"/>
            <w:vAlign w:val="bottom"/>
          </w:tcPr>
          <w:p>
            <w:pPr>
              <w:jc w:val="center"/>
              <w:ind w:left="559"/>
              <w:spacing w:after="0"/>
              <w:rPr>
                <w:sz w:val="20"/>
                <w:szCs w:val="20"/>
                <w:color w:val="auto"/>
              </w:rPr>
            </w:pPr>
            <w:r>
              <w:rPr>
                <w:rFonts w:ascii="Times New Roman" w:cs="Times New Roman" w:eastAsia="Times New Roman" w:hAnsi="Times New Roman"/>
                <w:sz w:val="16"/>
                <w:szCs w:val="16"/>
                <w:b w:val="1"/>
                <w:bCs w:val="1"/>
                <w:color w:val="auto"/>
              </w:rPr>
              <w:t>Central, Hong Kong</w:t>
            </w:r>
          </w:p>
        </w:tc>
      </w:tr>
      <w:tr>
        <w:trPr>
          <w:trHeight w:val="203"/>
        </w:trPr>
        <w:tc>
          <w:tcPr>
            <w:tcW w:w="3200" w:type="dxa"/>
            <w:vAlign w:val="bottom"/>
          </w:tcPr>
          <w:p>
            <w:pPr>
              <w:jc w:val="center"/>
              <w:ind w:right="599"/>
              <w:spacing w:after="0"/>
              <w:rPr>
                <w:sz w:val="20"/>
                <w:szCs w:val="20"/>
                <w:color w:val="auto"/>
              </w:rPr>
            </w:pPr>
            <w:r>
              <w:rPr>
                <w:rFonts w:ascii="Times New Roman" w:cs="Times New Roman" w:eastAsia="Times New Roman" w:hAnsi="Times New Roman"/>
                <w:sz w:val="16"/>
                <w:szCs w:val="16"/>
                <w:b w:val="1"/>
                <w:bCs w:val="1"/>
                <w:color w:val="auto"/>
              </w:rPr>
              <w:t>Shanghai, the People’s Republic of</w:t>
            </w:r>
          </w:p>
        </w:tc>
        <w:tc>
          <w:tcPr>
            <w:tcW w:w="3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+1-202-371-7000</w:t>
            </w:r>
          </w:p>
        </w:tc>
        <w:tc>
          <w:tcPr>
            <w:tcW w:w="2980" w:type="dxa"/>
            <w:vAlign w:val="bottom"/>
          </w:tcPr>
          <w:p>
            <w:pPr>
              <w:jc w:val="center"/>
              <w:ind w:left="559"/>
              <w:spacing w:after="0"/>
              <w:rPr>
                <w:sz w:val="20"/>
                <w:szCs w:val="20"/>
                <w:color w:val="auto"/>
              </w:rPr>
            </w:pPr>
            <w:r>
              <w:rPr>
                <w:rFonts w:ascii="Times New Roman" w:cs="Times New Roman" w:eastAsia="Times New Roman" w:hAnsi="Times New Roman"/>
                <w:sz w:val="16"/>
                <w:szCs w:val="16"/>
                <w:b w:val="1"/>
                <w:bCs w:val="1"/>
                <w:color w:val="auto"/>
                <w:w w:val="99"/>
              </w:rPr>
              <w:t>+852 2912-2500</w:t>
            </w:r>
          </w:p>
        </w:tc>
      </w:tr>
      <w:tr>
        <w:trPr>
          <w:trHeight w:val="203"/>
        </w:trPr>
        <w:tc>
          <w:tcPr>
            <w:tcW w:w="3200" w:type="dxa"/>
            <w:vAlign w:val="bottom"/>
          </w:tcPr>
          <w:p>
            <w:pPr>
              <w:jc w:val="center"/>
              <w:ind w:right="579"/>
              <w:spacing w:after="0"/>
              <w:rPr>
                <w:sz w:val="20"/>
                <w:szCs w:val="20"/>
                <w:color w:val="auto"/>
              </w:rPr>
            </w:pPr>
            <w:r>
              <w:rPr>
                <w:rFonts w:ascii="Times New Roman" w:cs="Times New Roman" w:eastAsia="Times New Roman" w:hAnsi="Times New Roman"/>
                <w:sz w:val="16"/>
                <w:szCs w:val="16"/>
                <w:b w:val="1"/>
                <w:bCs w:val="1"/>
                <w:color w:val="auto"/>
              </w:rPr>
              <w:t>China</w:t>
            </w:r>
          </w:p>
        </w:tc>
        <w:tc>
          <w:tcPr>
            <w:tcW w:w="3640" w:type="dxa"/>
            <w:vAlign w:val="bottom"/>
          </w:tcPr>
          <w:p>
            <w:pPr>
              <w:spacing w:after="0"/>
              <w:rPr>
                <w:sz w:val="17"/>
                <w:szCs w:val="17"/>
                <w:color w:val="auto"/>
              </w:rPr>
            </w:pPr>
          </w:p>
        </w:tc>
        <w:tc>
          <w:tcPr>
            <w:tcW w:w="2980" w:type="dxa"/>
            <w:vAlign w:val="bottom"/>
          </w:tcPr>
          <w:p>
            <w:pPr>
              <w:spacing w:after="0"/>
              <w:rPr>
                <w:sz w:val="17"/>
                <w:szCs w:val="17"/>
                <w:color w:val="auto"/>
              </w:rPr>
            </w:pPr>
          </w:p>
        </w:tc>
      </w:tr>
      <w:tr>
        <w:trPr>
          <w:trHeight w:val="212"/>
        </w:trPr>
        <w:tc>
          <w:tcPr>
            <w:tcW w:w="3200" w:type="dxa"/>
            <w:vAlign w:val="bottom"/>
          </w:tcPr>
          <w:p>
            <w:pPr>
              <w:jc w:val="center"/>
              <w:ind w:right="579"/>
              <w:spacing w:after="0"/>
              <w:rPr>
                <w:sz w:val="20"/>
                <w:szCs w:val="20"/>
                <w:color w:val="auto"/>
              </w:rPr>
            </w:pPr>
            <w:r>
              <w:rPr>
                <w:rFonts w:ascii="Times New Roman" w:cs="Times New Roman" w:eastAsia="Times New Roman" w:hAnsi="Times New Roman"/>
                <w:sz w:val="16"/>
                <w:szCs w:val="16"/>
                <w:b w:val="1"/>
                <w:bCs w:val="1"/>
                <w:color w:val="auto"/>
              </w:rPr>
              <w:t>+86 21-6193-8200</w:t>
            </w:r>
          </w:p>
        </w:tc>
        <w:tc>
          <w:tcPr>
            <w:tcW w:w="3640" w:type="dxa"/>
            <w:vAlign w:val="bottom"/>
          </w:tcPr>
          <w:p>
            <w:pPr>
              <w:spacing w:after="0"/>
              <w:rPr>
                <w:sz w:val="18"/>
                <w:szCs w:val="18"/>
                <w:color w:val="auto"/>
              </w:rPr>
            </w:pPr>
          </w:p>
        </w:tc>
        <w:tc>
          <w:tcPr>
            <w:tcW w:w="298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158115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3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Approximate date of commencement of proposed sale to the public:</w:t>
      </w:r>
    </w:p>
    <w:p>
      <w:pPr>
        <w:spacing w:after="0" w:line="2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as soon as practicable after the effective date of this registration statement.</w:t>
      </w:r>
    </w:p>
    <w:p>
      <w:pPr>
        <w:spacing w:after="0" w:line="119" w:lineRule="exact"/>
        <w:rPr>
          <w:sz w:val="24"/>
          <w:szCs w:val="24"/>
          <w:color w:val="auto"/>
        </w:rPr>
      </w:pPr>
    </w:p>
    <w:p>
      <w:pPr>
        <w:ind w:left="120" w:right="34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75" w:lineRule="exact"/>
        <w:rPr>
          <w:sz w:val="24"/>
          <w:szCs w:val="24"/>
          <w:color w:val="auto"/>
        </w:rPr>
      </w:pPr>
    </w:p>
    <w:p>
      <w:pPr>
        <w:ind w:left="120" w:right="2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75" w:lineRule="exact"/>
        <w:rPr>
          <w:sz w:val="24"/>
          <w:szCs w:val="24"/>
          <w:color w:val="auto"/>
        </w:rPr>
      </w:pPr>
    </w:p>
    <w:p>
      <w:pPr>
        <w:ind w:left="120" w:right="16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75" w:lineRule="exact"/>
        <w:rPr>
          <w:sz w:val="24"/>
          <w:szCs w:val="24"/>
          <w:color w:val="auto"/>
        </w:rPr>
      </w:pPr>
    </w:p>
    <w:p>
      <w:pPr>
        <w:ind w:left="120" w:right="14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75" w:lineRule="exact"/>
        <w:rPr>
          <w:sz w:val="24"/>
          <w:szCs w:val="24"/>
          <w:color w:val="auto"/>
        </w:rPr>
      </w:pPr>
    </w:p>
    <w:p>
      <w:pPr>
        <w:ind w:left="120" w:right="84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an emerging growth company as defined in Rule 405 of the Securities Act of 1933. Emerging growth company </w:t>
      </w:r>
      <w:r>
        <w:rPr>
          <w:rFonts w:ascii="MS PGothic" w:cs="MS PGothic" w:eastAsia="MS PGothic" w:hAnsi="MS PGothic"/>
          <w:sz w:val="16"/>
          <w:szCs w:val="16"/>
          <w:color w:val="auto"/>
        </w:rPr>
        <w:t>☒</w:t>
      </w:r>
    </w:p>
    <w:p>
      <w:pPr>
        <w:spacing w:after="0" w:line="75" w:lineRule="exact"/>
        <w:rPr>
          <w:sz w:val="24"/>
          <w:szCs w:val="24"/>
          <w:color w:val="auto"/>
        </w:rPr>
      </w:pPr>
    </w:p>
    <w:p>
      <w:pPr>
        <w:ind w:left="120" w:right="240" w:firstLine="440"/>
        <w:spacing w:after="0" w:line="214" w:lineRule="exact"/>
        <w:rPr>
          <w:sz w:val="20"/>
          <w:szCs w:val="20"/>
          <w:color w:val="auto"/>
        </w:rPr>
      </w:pPr>
      <w:r>
        <w:rPr>
          <w:rFonts w:ascii="Times New Roman" w:cs="Times New Roman" w:eastAsia="Times New Roman" w:hAnsi="Times New Roman"/>
          <w:sz w:val="16"/>
          <w:szCs w:val="16"/>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90" w:lineRule="exact"/>
        <w:rPr>
          <w:sz w:val="24"/>
          <w:szCs w:val="24"/>
          <w:color w:val="auto"/>
        </w:rPr>
      </w:pPr>
    </w:p>
    <w:p>
      <w:pPr>
        <w:ind w:left="340" w:right="520" w:hanging="224"/>
        <w:spacing w:after="0" w:line="298" w:lineRule="auto"/>
        <w:tabs>
          <w:tab w:leader="none" w:pos="3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“new or revised financial accounting standard” refers to any update issued by the Financial Accounting Standards Board to its Accounting Standards Codification after April 5, 2012.</w:t>
      </w:r>
    </w:p>
    <w:p>
      <w:pPr>
        <w:spacing w:after="0" w:line="54" w:lineRule="exact"/>
        <w:rPr>
          <w:sz w:val="24"/>
          <w:szCs w:val="24"/>
          <w:color w:val="auto"/>
        </w:rPr>
      </w:pPr>
    </w:p>
    <w:p>
      <w:pPr>
        <w:ind w:left="120" w:firstLine="440"/>
        <w:spacing w:after="0" w:line="276" w:lineRule="auto"/>
        <w:rPr>
          <w:sz w:val="20"/>
          <w:szCs w:val="20"/>
          <w:color w:val="auto"/>
        </w:rPr>
      </w:pPr>
      <w:r>
        <w:rPr>
          <w:rFonts w:ascii="Times New Roman" w:cs="Times New Roman" w:eastAsia="Times New Roman" w:hAnsi="Times New Roman"/>
          <w:sz w:val="16"/>
          <w:szCs w:val="16"/>
          <w:b w:val="1"/>
          <w:bCs w:val="1"/>
          <w:color w:val="auto"/>
        </w:rPr>
        <w:t>The Registrant hereby amends this Registration Statement on such date or dates as may be necessary to delay its effective date until the Registrant files a further amendment which specifically states that this Registration Statement will thereafter become effective in accordance with Section 8(a) of the Securities Act of 1933 or until the Registration Statement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81280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124460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20"/>
          </w:cols>
          <w:pgMar w:left="320" w:top="226" w:right="459" w:bottom="1088"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EB0029"/>
        </w:rPr>
        <w:t>PRELIMINARY PROSPECTUS (Subject to Completion)</w:t>
      </w:r>
    </w:p>
    <w:p>
      <w:pPr>
        <w:spacing w:after="0" w:line="43" w:lineRule="exact"/>
        <w:rPr>
          <w:sz w:val="20"/>
          <w:szCs w:val="20"/>
          <w:color w:val="auto"/>
        </w:rPr>
      </w:pPr>
    </w:p>
    <w:p>
      <w:pPr>
        <w:ind w:left="4680"/>
        <w:spacing w:after="0"/>
        <w:tabs>
          <w:tab w:leader="none" w:pos="6060" w:val="left"/>
        </w:tabs>
        <w:rPr>
          <w:sz w:val="20"/>
          <w:szCs w:val="20"/>
          <w:color w:val="auto"/>
        </w:rPr>
      </w:pPr>
      <w:r>
        <w:rPr>
          <w:rFonts w:ascii="Times New Roman" w:cs="Times New Roman" w:eastAsia="Times New Roman" w:hAnsi="Times New Roman"/>
          <w:sz w:val="18"/>
          <w:szCs w:val="18"/>
          <w:b w:val="1"/>
          <w:bCs w:val="1"/>
          <w:color w:val="EB0029"/>
        </w:rPr>
        <w:t>Dated</w:t>
      </w:r>
      <w:r>
        <w:rPr>
          <w:sz w:val="20"/>
          <w:szCs w:val="20"/>
          <w:color w:val="auto"/>
        </w:rPr>
        <w:tab/>
      </w:r>
      <w:r>
        <w:rPr>
          <w:rFonts w:ascii="Times New Roman" w:cs="Times New Roman" w:eastAsia="Times New Roman" w:hAnsi="Times New Roman"/>
          <w:sz w:val="18"/>
          <w:szCs w:val="18"/>
          <w:b w:val="1"/>
          <w:bCs w:val="1"/>
          <w:color w:val="EB0029"/>
        </w:rPr>
        <w:t>, 2023.</w:t>
      </w: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2491105</wp:posOffset>
            </wp:positionH>
            <wp:positionV relativeFrom="paragraph">
              <wp:posOffset>173990</wp:posOffset>
            </wp:positionV>
            <wp:extent cx="2168525" cy="5403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6852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WeRide Inc.</w:t>
      </w:r>
    </w:p>
    <w:p>
      <w:pPr>
        <w:sectPr>
          <w:pgSz w:w="11900" w:h="16838" w:orient="portrait"/>
          <w:cols w:equalWidth="0" w:num="1">
            <w:col w:w="11120"/>
          </w:cols>
          <w:pgMar w:left="320" w:top="455" w:right="459" w:bottom="1440" w:gutter="0" w:footer="0" w:header="0"/>
        </w:sectPr>
      </w:pPr>
    </w:p>
    <w:p>
      <w:pPr>
        <w:spacing w:after="0" w:line="232"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Representing</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Class A Ordinary Shares</w:t>
      </w:r>
    </w:p>
    <w:p>
      <w:pPr>
        <w:spacing w:after="0" w:line="168" w:lineRule="exact"/>
        <w:rPr>
          <w:sz w:val="20"/>
          <w:szCs w:val="20"/>
          <w:color w:val="auto"/>
        </w:rPr>
      </w:pPr>
    </w:p>
    <w:p>
      <w:pPr>
        <w:sectPr>
          <w:pgSz w:w="11900" w:h="16838" w:orient="portrait"/>
          <w:cols w:equalWidth="0" w:num="2">
            <w:col w:w="5320" w:space="720"/>
            <w:col w:w="5080"/>
          </w:cols>
          <w:pgMar w:left="320" w:top="455" w:right="459" w:bottom="1440" w:gutter="0" w:footer="0" w:header="0"/>
          <w:type w:val="continuous"/>
        </w:sectPr>
      </w:pPr>
    </w:p>
    <w:p>
      <w:pPr>
        <w:ind w:left="120" w:right="20" w:firstLine="440"/>
        <w:spacing w:after="0" w:line="261" w:lineRule="auto"/>
        <w:rPr>
          <w:sz w:val="20"/>
          <w:szCs w:val="20"/>
          <w:color w:val="auto"/>
        </w:rPr>
      </w:pPr>
      <w:r>
        <w:rPr>
          <w:rFonts w:ascii="Times New Roman" w:cs="Times New Roman" w:eastAsia="Times New Roman" w:hAnsi="Times New Roman"/>
          <w:sz w:val="14"/>
          <w:szCs w:val="14"/>
          <w:color w:val="auto"/>
        </w:rPr>
        <w:t>This is an initial public offering of American depositary shares, or ADSs, of WeRide Inc. We are offering ADSs[, and the selling shareholders identified in this prospectus are offering an aggregate of additional ADSs]. Each ADS represents of our Class A ordinary shares, par value US$0.00001 per share.</w:t>
      </w:r>
    </w:p>
    <w:p>
      <w:pPr>
        <w:spacing w:after="0" w:line="95" w:lineRule="exact"/>
        <w:rPr>
          <w:sz w:val="20"/>
          <w:szCs w:val="20"/>
          <w:color w:val="auto"/>
        </w:rPr>
      </w:pPr>
    </w:p>
    <w:p>
      <w:pPr>
        <w:ind w:left="120" w:right="760" w:firstLine="440"/>
        <w:spacing w:after="0" w:line="261" w:lineRule="auto"/>
        <w:rPr>
          <w:sz w:val="20"/>
          <w:szCs w:val="20"/>
          <w:color w:val="auto"/>
        </w:rPr>
      </w:pPr>
      <w:r>
        <w:rPr>
          <w:rFonts w:ascii="Times New Roman" w:cs="Times New Roman" w:eastAsia="Times New Roman" w:hAnsi="Times New Roman"/>
          <w:sz w:val="14"/>
          <w:szCs w:val="14"/>
          <w:color w:val="auto"/>
        </w:rPr>
        <w:t>Prior to this offering, there has been no public market for the ADSs or our Class A ordinary shares. We anticipate that the initial public offering price will be between US$ and US$ per ADS. [We will not receive any proceeds from the ADSs sold by the selling shareholders.]</w:t>
      </w:r>
    </w:p>
    <w:p>
      <w:pPr>
        <w:spacing w:after="0" w:line="82" w:lineRule="exact"/>
        <w:rPr>
          <w:sz w:val="20"/>
          <w:szCs w:val="20"/>
          <w:color w:val="auto"/>
        </w:rPr>
      </w:pPr>
    </w:p>
    <w:p>
      <w:pPr>
        <w:ind w:left="120" w:right="100" w:firstLine="440"/>
        <w:spacing w:after="0" w:line="250" w:lineRule="auto"/>
        <w:rPr>
          <w:sz w:val="20"/>
          <w:szCs w:val="20"/>
          <w:color w:val="auto"/>
        </w:rPr>
      </w:pPr>
      <w:r>
        <w:rPr>
          <w:rFonts w:ascii="Times New Roman" w:cs="Times New Roman" w:eastAsia="Times New Roman" w:hAnsi="Times New Roman"/>
          <w:sz w:val="14"/>
          <w:szCs w:val="14"/>
          <w:color w:val="auto"/>
        </w:rPr>
        <w:t>Upon the completion of this offering, our outstanding share capital will consist of Class A ordinary shares and Class B ordinary shares. and will beneficially own all of our issued Class B ordinary shares and will be able to exercise an aggregate of approximately % of the total voting power of our issued and outstanding share capital</w:t>
      </w:r>
    </w:p>
    <w:p>
      <w:pPr>
        <w:sectPr>
          <w:pgSz w:w="11900" w:h="16838" w:orient="portrait"/>
          <w:cols w:equalWidth="0" w:num="1">
            <w:col w:w="11120"/>
          </w:cols>
          <w:pgMar w:left="320" w:top="455" w:right="459" w:bottom="1440" w:gutter="0" w:footer="0" w:header="0"/>
          <w:type w:val="continuous"/>
        </w:sectPr>
      </w:pPr>
    </w:p>
    <w:p>
      <w:pPr>
        <w:spacing w:after="0" w:line="1" w:lineRule="exact"/>
        <w:rPr>
          <w:sz w:val="20"/>
          <w:szCs w:val="20"/>
          <w:color w:val="auto"/>
        </w:rPr>
      </w:pPr>
    </w:p>
    <w:p>
      <w:pPr>
        <w:ind w:left="120" w:right="120"/>
        <w:spacing w:after="0" w:line="203" w:lineRule="auto"/>
        <w:rPr>
          <w:sz w:val="20"/>
          <w:szCs w:val="20"/>
          <w:color w:val="auto"/>
        </w:rPr>
      </w:pPr>
      <w:r>
        <w:rPr>
          <w:rFonts w:ascii="Times New Roman" w:cs="Times New Roman" w:eastAsia="Times New Roman" w:hAnsi="Times New Roman"/>
          <w:sz w:val="14"/>
          <w:szCs w:val="14"/>
          <w:color w:val="auto"/>
        </w:rPr>
        <w:t>immediately following the completion of this offering, assuming that the underwriters do not exercise their option to purchase additional ADSs. Holders of Class A ordinary shares and Class B ordinary shares will have the same rights other than voting and conversion rights. Each holder of Class A ordinary shares is entitled to one vote per share, and each holder of Class B</w:t>
      </w:r>
    </w:p>
    <w:p>
      <w:pPr>
        <w:spacing w:after="0" w:line="1" w:lineRule="exact"/>
        <w:rPr>
          <w:sz w:val="20"/>
          <w:szCs w:val="20"/>
          <w:color w:val="auto"/>
        </w:rPr>
      </w:pPr>
    </w:p>
    <w:p>
      <w:pPr>
        <w:ind w:left="120" w:right="60"/>
        <w:spacing w:after="0" w:line="239" w:lineRule="auto"/>
        <w:rPr>
          <w:sz w:val="20"/>
          <w:szCs w:val="20"/>
          <w:color w:val="auto"/>
        </w:rPr>
      </w:pPr>
      <w:r>
        <w:rPr>
          <w:rFonts w:ascii="Times New Roman" w:cs="Times New Roman" w:eastAsia="Times New Roman" w:hAnsi="Times New Roman"/>
          <w:sz w:val="14"/>
          <w:szCs w:val="14"/>
          <w:color w:val="auto"/>
        </w:rPr>
        <w:t>ordinary shares is entitled to votes per share on all matters submitted to them for a vote. Each of the Class B ordinary shares is convertible into one Class A ordinary share, whereas Class A ordinary shares are not convertible into Class B ordinary shares under any circumstances.</w:t>
      </w:r>
    </w:p>
    <w:p>
      <w:pPr>
        <w:spacing w:after="0" w:line="1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We intend to apply for the listing of the ADSs on the [New York Stock Exchange/Nasdaq Stock Market] under the symbol “WRD.”</w:t>
      </w:r>
    </w:p>
    <w:p>
      <w:pPr>
        <w:spacing w:after="0" w:line="1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i w:val="1"/>
          <w:iCs w:val="1"/>
          <w:color w:val="auto"/>
        </w:rPr>
        <w:t>Investing in the ADSs involves risks. See “</w:t>
      </w:r>
      <w:r>
        <w:rPr>
          <w:rFonts w:ascii="Times New Roman" w:cs="Times New Roman" w:eastAsia="Times New Roman" w:hAnsi="Times New Roman"/>
          <w:sz w:val="14"/>
          <w:szCs w:val="14"/>
          <w:i w:val="1"/>
          <w:iCs w:val="1"/>
          <w:u w:val="single" w:color="auto"/>
          <w:color w:val="0000EE"/>
        </w:rPr>
        <w:t>Risk Factors</w:t>
      </w:r>
      <w:r>
        <w:rPr>
          <w:rFonts w:ascii="Times New Roman" w:cs="Times New Roman" w:eastAsia="Times New Roman" w:hAnsi="Times New Roman"/>
          <w:sz w:val="14"/>
          <w:szCs w:val="14"/>
          <w:i w:val="1"/>
          <w:iCs w:val="1"/>
          <w:color w:val="auto"/>
        </w:rPr>
        <w:t>” beginning on page 33 for additional information and factors you should consider before buying the ADSs.</w:t>
      </w:r>
    </w:p>
    <w:p>
      <w:pPr>
        <w:spacing w:after="0" w:line="125" w:lineRule="exact"/>
        <w:rPr>
          <w:sz w:val="20"/>
          <w:szCs w:val="20"/>
          <w:color w:val="auto"/>
        </w:rPr>
      </w:pPr>
    </w:p>
    <w:p>
      <w:pPr>
        <w:ind w:left="120" w:right="60" w:firstLine="440"/>
        <w:spacing w:after="0" w:line="229" w:lineRule="auto"/>
        <w:rPr>
          <w:sz w:val="20"/>
          <w:szCs w:val="20"/>
          <w:color w:val="auto"/>
        </w:rPr>
      </w:pPr>
      <w:r>
        <w:rPr>
          <w:rFonts w:ascii="Times New Roman" w:cs="Times New Roman" w:eastAsia="Times New Roman" w:hAnsi="Times New Roman"/>
          <w:sz w:val="14"/>
          <w:szCs w:val="14"/>
          <w:color w:val="auto"/>
        </w:rPr>
        <w:t>WeRide Inc. is not an operating company in mainland China, but a Cayman Islands holding company with operations mainly conducted by its subsidiaries in mainland China. In addition, our Cayman Islands holding company currently has no equity ownership in Guangzhou Jingqi Technology Ltd., or the VIE. We currently rely on contractual arrangements among Guangzhou Wenyuan Zhixing Technology Co., Ltd., or the WFOE, the VIE and its nominee shareholders to direct the business operations of the VIE. Revenue contributed by the VIE and its subsidiaries accounted for 25%, 10% and 25% of our total revenue for the years ended December 31, 2020 and 2021 and the six months ended June 30, 2022, respectively. As used in this registration statement, “we,” “us,” “our company,” “the Company” or “our” refers to WeRide Inc., our Cayman Islands holding company, its subsidiaries and, in the context of describing its operations and consolidated financial information, the VIE and its subsidiaries. Investors of our ADSs are not purchasing equity interest in the VIE, but instead are purchasing equity interest in a Cayman Islands holding company.</w:t>
      </w:r>
    </w:p>
    <w:p>
      <w:pPr>
        <w:spacing w:after="0" w:line="113" w:lineRule="exact"/>
        <w:rPr>
          <w:sz w:val="20"/>
          <w:szCs w:val="20"/>
          <w:color w:val="auto"/>
        </w:rPr>
      </w:pPr>
    </w:p>
    <w:p>
      <w:pPr>
        <w:ind w:left="120" w:firstLine="440"/>
        <w:spacing w:after="0"/>
        <w:rPr>
          <w:sz w:val="20"/>
          <w:szCs w:val="20"/>
          <w:color w:val="auto"/>
        </w:rPr>
      </w:pPr>
      <w:r>
        <w:rPr>
          <w:rFonts w:ascii="Times New Roman" w:cs="Times New Roman" w:eastAsia="Times New Roman" w:hAnsi="Times New Roman"/>
          <w:sz w:val="14"/>
          <w:szCs w:val="14"/>
          <w:color w:val="auto"/>
        </w:rPr>
        <w:t>A series of contractual agreements, including exclusive technology consulting and service agreement, exclusive option agreement, equity interest pledge agreement, powers of attorney and spousal consent letters, have been entered into by and among the WFOE, the VIE and its nominee shareholders. Under the contractual agreements, our Cayman Island holding company has (i) the power to direct the management, financial and operating policies of the VIE, and (ii) exposure or rights to variable returns from its involvement with the VIE and the ability to use its power over the VIE to affect the amount of the returns. As a result, we treat the VIE and its subsidiaries as our consolidated entities under IFRS, and we consolidate the financial results of the VIE and its subsidiaries in our consolidated financial statements in accordance with IFRS. We are in the process of unwinding the VIE structure and terminating the contractual arrangements among the WFOE, the VIE and its nominee shareholders, after which the VIE will become a wholly-owned subsidiary of our company. We expect to complete the unwinding of the VIE structure within the next six weeks. For more details of these contractual arrangements, see “Corporate History and Structure—Contractual Arrangements with the Consolidated VIE and Its Nominee Shareholders.”</w:t>
      </w:r>
    </w:p>
    <w:p>
      <w:pPr>
        <w:spacing w:after="0" w:line="210" w:lineRule="exact"/>
        <w:rPr>
          <w:sz w:val="20"/>
          <w:szCs w:val="20"/>
          <w:color w:val="auto"/>
        </w:rPr>
      </w:pPr>
    </w:p>
    <w:p>
      <w:pPr>
        <w:ind w:left="120" w:right="20" w:firstLine="440"/>
        <w:spacing w:after="0" w:line="229" w:lineRule="auto"/>
        <w:rPr>
          <w:sz w:val="20"/>
          <w:szCs w:val="20"/>
          <w:color w:val="auto"/>
        </w:rPr>
      </w:pPr>
      <w:r>
        <w:rPr>
          <w:rFonts w:ascii="Times New Roman" w:cs="Times New Roman" w:eastAsia="Times New Roman" w:hAnsi="Times New Roman"/>
          <w:sz w:val="14"/>
          <w:szCs w:val="14"/>
          <w:color w:val="auto"/>
        </w:rPr>
        <w:t>For the years ended December 31, 2020 and 2021 and the six months ended June 30, 2022, there were intra-group loans, capital contributions and amounts paid under intra-group transactions. See “Prospectus Summary—Cash Flows through Our Organization.” For the years ended December 31, 2020 and 2021 and the six months ended June 30, 2022, the amount of service fees paid by the VIE to our WFOE under the exclusive technology consulting and service agreement was nil, nil and RMB4.0 million (US$0.6 million). We intend to continue to determine the amount of service fee and payment method based on the working capital needs of the WFOE and the VIE, and settle such service fees accordingly in the future. The cash transfers through our organization are subject to restrictions and limitations under PRC laws and regulations, which may restrict our subsidiaries’ ability to pay dividends or make payments to the Cayman Islands holding company, and thus cause the value of our securities you invest in this offering to significantly decline or become of little or no value. For the years ended December 31, 2020 and 2021 and the six months ended June 30, 2022, no assets other than cash were transferred between the Cayman Islands</w:t>
      </w:r>
    </w:p>
    <w:p>
      <w:pPr>
        <w:sectPr>
          <w:pgSz w:w="11900" w:h="16838" w:orient="portrait"/>
          <w:cols w:equalWidth="0" w:num="1">
            <w:col w:w="11120"/>
          </w:cols>
          <w:pgMar w:left="320" w:top="455" w:right="45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80"/>
        <w:spacing w:after="0" w:line="236" w:lineRule="auto"/>
        <w:rPr>
          <w:sz w:val="20"/>
          <w:szCs w:val="20"/>
          <w:color w:val="auto"/>
        </w:rPr>
      </w:pPr>
      <w:r>
        <w:rPr>
          <w:rFonts w:ascii="Times New Roman" w:cs="Times New Roman" w:eastAsia="Times New Roman" w:hAnsi="Times New Roman"/>
          <w:sz w:val="14"/>
          <w:szCs w:val="14"/>
          <w:color w:val="auto"/>
        </w:rPr>
        <w:t>holding company, its subsidiaries, and the VIE and its subsidiaries. As of the date of this prospectus, no subsidiaries have paid dividends or made other distributions to the Cayman Islands holding company, and no dividends or distributions have been paid or made to U.S. investors. In the future, cash proceeds raised from overseas financing activities, including this offering, may be transferred by us to our mainland China subsidiaries via capital contribution or shareholder loans, as the case may be. For a detailed description of how cash is transferred through our organization and these restrictions, see “Prospectus Summary—Cash Flows through Our Organization.”</w:t>
      </w:r>
    </w:p>
    <w:p>
      <w:pPr>
        <w:spacing w:after="0" w:line="109" w:lineRule="exact"/>
        <w:rPr>
          <w:sz w:val="20"/>
          <w:szCs w:val="20"/>
          <w:color w:val="auto"/>
        </w:rPr>
      </w:pPr>
    </w:p>
    <w:p>
      <w:pPr>
        <w:ind w:left="120" w:right="80" w:firstLine="440"/>
        <w:spacing w:after="0" w:line="233" w:lineRule="auto"/>
        <w:rPr>
          <w:sz w:val="20"/>
          <w:szCs w:val="20"/>
          <w:color w:val="auto"/>
        </w:rPr>
      </w:pPr>
      <w:r>
        <w:rPr>
          <w:rFonts w:ascii="Times New Roman" w:cs="Times New Roman" w:eastAsia="Times New Roman" w:hAnsi="Times New Roman"/>
          <w:sz w:val="14"/>
          <w:szCs w:val="14"/>
          <w:color w:val="auto"/>
        </w:rPr>
        <w:t>We face various legal and operational risks and uncertainties associated with being based in or having our operations primarily in mainland China and the complex and evolving PRC laws and regulations. For example, we face risks associated with the fact that the PRC government has significant authority in regulating our operations and may influence or intervene in our operations at any time, regulatory approvals on offerings conducted overseas by, and foreign investment in, China-based issuers, anti-monopoly regulatory actions, oversight on data security and the use of variable interest entities. These risks could result in a material adverse change in our operations and the value of our ADSs, significantly limit or hinder our ability to offer or continue to offer securities to investors, or cause the value of such securities to significantly decline or become worthless.</w:t>
      </w:r>
    </w:p>
    <w:p>
      <w:pPr>
        <w:spacing w:after="0" w:line="110" w:lineRule="exact"/>
        <w:rPr>
          <w:sz w:val="20"/>
          <w:szCs w:val="20"/>
          <w:color w:val="auto"/>
        </w:rPr>
      </w:pPr>
    </w:p>
    <w:p>
      <w:pPr>
        <w:ind w:left="120" w:right="20" w:firstLine="440"/>
        <w:spacing w:after="0" w:line="236" w:lineRule="auto"/>
        <w:rPr>
          <w:sz w:val="20"/>
          <w:szCs w:val="20"/>
          <w:color w:val="auto"/>
        </w:rPr>
      </w:pPr>
      <w:r>
        <w:rPr>
          <w:rFonts w:ascii="Times New Roman" w:cs="Times New Roman" w:eastAsia="Times New Roman" w:hAnsi="Times New Roman"/>
          <w:sz w:val="14"/>
          <w:szCs w:val="14"/>
          <w:color w:val="auto"/>
        </w:rPr>
        <w:t>On December 16, 2021, the PCAOB issued its report notifying the SEC of its determination that it was unable to inspect or investigate completely registered public accounting firms headquartered in mainland China or Hong Kong, including our auditor. Under the Holding Foreign Companies Accountable Act, or the HFCAA, if the SEC determines that we have filed audit reports issued by a registered public accounting firm that has not been subject to inspections for two consecutive years, the SEC shall prohibit our shares or ADSs from being traded on a national securities exchange or in the over the counter trading market in the U.S. The delisting of our ADSs, or the threat of their being delisted, may materially and adversely affect the value of your investment. These risks could result in a material adverse change in our operations and the value of our ADSs, significantly limit or hinder our ability to offer or continue to offer securities to investors, or cause the value of such securities to significantly decline or become worthless. Furthermore, on December 2, 2021, the SEC adopted final amendments implementing the disclosure and submission requirements under the HFCAA, pursuant to which the SEC will identify a “Commission-Identified Issuer” if an issuer has filed an annual report containing an audit report issued by a registered public accounting firm that the PCAOB has determined it is unable to inspect or investigate completely because of a position taken by an authority in the foreign jurisdiction, and will then impose a trading prohibition on an issuer after it is identified as a Commission-Identified Issuer for two consecutive years. On December 15, 2022, the PCAOB issued a report that vacated its December 16, 2021 determination and removed mainland China and Hong Kong from the list of jurisdictions where it is unable to inspect or investigate completely registered public accounting firms. 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and Hong Kong and we continue to use an accounting firm headquartered in one of these jurisdictions to issue an audit report on our financial statements filed with the SEC,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in the U.S. under the HFCAA. For more details, see “Risk Factors—Risks Related to Doing Business in Mainland China—The PRC government’s significant oversight and discretion over our business operation could result in a material adverse change in our operations and the value of our ADSs,” “Risk Factors—Risks Related to Our Business and Industry—The PCAOB had historically been unable to inspect our auditor in relation to their audit work,” and “Risk Factors—Risks Related to Our Business and Industry—Our ADSs may be prohibited from trading in the United States under the HFCAA in the future if the PCAOB is unable to inspect or investigate completely auditors located in China. The delisting of the ADSs, or the threat of their being delisted, may materially and adversely affect the value of your investment.”</w:t>
      </w:r>
    </w:p>
    <w:p>
      <w:pPr>
        <w:spacing w:after="0" w:line="179" w:lineRule="exact"/>
        <w:rPr>
          <w:sz w:val="20"/>
          <w:szCs w:val="20"/>
          <w:color w:val="auto"/>
        </w:rPr>
      </w:pPr>
    </w:p>
    <w:p>
      <w:pPr>
        <w:ind w:left="4380"/>
        <w:spacing w:after="0"/>
        <w:tabs>
          <w:tab w:leader="none" w:pos="6080" w:val="left"/>
        </w:tabs>
        <w:rPr>
          <w:sz w:val="20"/>
          <w:szCs w:val="20"/>
          <w:color w:val="auto"/>
        </w:rPr>
      </w:pPr>
      <w:r>
        <w:rPr>
          <w:rFonts w:ascii="Times New Roman" w:cs="Times New Roman" w:eastAsia="Times New Roman" w:hAnsi="Times New Roman"/>
          <w:sz w:val="18"/>
          <w:szCs w:val="18"/>
          <w:b w:val="1"/>
          <w:bCs w:val="1"/>
          <w:color w:val="auto"/>
        </w:rPr>
        <w:t>PRICE US$</w:t>
      </w:r>
      <w:r>
        <w:rPr>
          <w:sz w:val="20"/>
          <w:szCs w:val="20"/>
          <w:color w:val="auto"/>
        </w:rPr>
        <w:tab/>
      </w:r>
      <w:r>
        <w:rPr>
          <w:rFonts w:ascii="Times New Roman" w:cs="Times New Roman" w:eastAsia="Times New Roman" w:hAnsi="Times New Roman"/>
          <w:sz w:val="18"/>
          <w:szCs w:val="18"/>
          <w:b w:val="1"/>
          <w:bCs w:val="1"/>
          <w:color w:val="auto"/>
        </w:rPr>
        <w:t>PER ADS</w:t>
      </w:r>
    </w:p>
    <w:p>
      <w:pPr>
        <w:spacing w:after="0" w:line="225" w:lineRule="exact"/>
        <w:rPr>
          <w:sz w:val="20"/>
          <w:szCs w:val="20"/>
          <w:color w:val="auto"/>
        </w:rPr>
      </w:pPr>
    </w:p>
    <w:p>
      <w:pPr>
        <w:ind w:left="120" w:right="4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United States Securities and Exchange Commission nor any other regulatory body has approved or disapproved of these securities or determined if this prospectus is truthful or complete. Any representation to the contrary is a criminal offense.</w:t>
      </w:r>
    </w:p>
    <w:p>
      <w:pPr>
        <w:spacing w:after="0" w:line="181"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5820" w:type="dxa"/>
            <w:vAlign w:val="bottom"/>
            <w:tcBorders>
              <w:bottom w:val="single" w:sz="8" w:color="CCEEFF"/>
            </w:tcBorders>
          </w:tcPr>
          <w:p>
            <w:pPr>
              <w:spacing w:after="0"/>
              <w:rPr>
                <w:sz w:val="14"/>
                <w:szCs w:val="14"/>
                <w:color w:val="auto"/>
              </w:rPr>
            </w:pPr>
          </w:p>
        </w:tc>
        <w:tc>
          <w:tcPr>
            <w:tcW w:w="19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9"/>
              </w:rPr>
              <w:t>Per ADS</w:t>
            </w:r>
          </w:p>
        </w:tc>
        <w:tc>
          <w:tcPr>
            <w:tcW w:w="86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r>
      <w:tr>
        <w:trPr>
          <w:trHeight w:val="21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public offering price</w:t>
            </w:r>
          </w:p>
        </w:tc>
        <w:tc>
          <w:tcPr>
            <w:tcW w:w="1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Underwriting discounts and commissions</w:t>
            </w:r>
            <w:r>
              <w:rPr>
                <w:rFonts w:ascii="Times New Roman" w:cs="Times New Roman" w:eastAsia="Times New Roman" w:hAnsi="Times New Roman"/>
                <w:sz w:val="25"/>
                <w:szCs w:val="25"/>
                <w:color w:val="auto"/>
                <w:vertAlign w:val="superscript"/>
              </w:rPr>
              <w:t>(1)</w:t>
            </w:r>
          </w:p>
        </w:tc>
        <w:tc>
          <w:tcPr>
            <w:tcW w:w="242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US$</w:t>
            </w:r>
          </w:p>
        </w:tc>
        <w:tc>
          <w:tcPr>
            <w:tcW w:w="16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US$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2420" w:type="dxa"/>
            <w:vAlign w:val="bottom"/>
            <w:gridSpan w:val="2"/>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rPr>
              <w:t>US$</w:t>
            </w:r>
          </w:p>
        </w:tc>
        <w:tc>
          <w:tcPr>
            <w:tcW w:w="16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US$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[Proceeds, before expenses, to the selling shareholders</w:t>
            </w:r>
          </w:p>
        </w:tc>
        <w:tc>
          <w:tcPr>
            <w:tcW w:w="242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US$</w:t>
            </w:r>
          </w:p>
        </w:tc>
        <w:tc>
          <w:tcPr>
            <w:tcW w:w="16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US$</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2" w:lineRule="exact"/>
        <w:rPr>
          <w:sz w:val="20"/>
          <w:szCs w:val="20"/>
          <w:color w:val="auto"/>
        </w:rPr>
      </w:pPr>
    </w:p>
    <w:p>
      <w:pPr>
        <w:ind w:left="540" w:hanging="424"/>
        <w:spacing w:after="0"/>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“Underwriting” for additional information regarding compensation payable by us to the underwriters.</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7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We [and the selling shareholders] have granted the underwriters a 30-day option to purchase up to</w:t>
            </w:r>
          </w:p>
        </w:tc>
        <w:tc>
          <w:tcPr>
            <w:tcW w:w="32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additional ADSs at the initial public</w:t>
            </w:r>
          </w:p>
        </w:tc>
      </w:tr>
      <w:tr>
        <w:trPr>
          <w:trHeight w:val="234"/>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offering less the underwriting discounts and commissions.</w:t>
            </w:r>
          </w:p>
        </w:tc>
        <w:tc>
          <w:tcPr>
            <w:tcW w:w="12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32"/>
        </w:trPr>
        <w:tc>
          <w:tcPr>
            <w:tcW w:w="90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The underwriters expect to deliver the ADSs against payment in U.S. dollars in New York, New York on or about</w:t>
            </w:r>
          </w:p>
        </w:tc>
        <w:tc>
          <w:tcPr>
            <w:tcW w:w="202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 2023.</w:t>
            </w:r>
          </w:p>
        </w:tc>
      </w:tr>
      <w:tr>
        <w:trPr>
          <w:trHeight w:val="115"/>
        </w:trPr>
        <w:tc>
          <w:tcPr>
            <w:tcW w:w="78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tcPr>
          <w:p>
            <w:pPr>
              <w:spacing w:after="0"/>
              <w:rPr>
                <w:sz w:val="10"/>
                <w:szCs w:val="10"/>
                <w:color w:val="auto"/>
              </w:rPr>
            </w:pPr>
          </w:p>
        </w:tc>
      </w:tr>
    </w:tbl>
    <w:p>
      <w:pPr>
        <w:spacing w:after="0" w:line="200" w:lineRule="exact"/>
        <w:rPr>
          <w:sz w:val="20"/>
          <w:szCs w:val="20"/>
          <w:color w:val="auto"/>
        </w:rPr>
      </w:pPr>
    </w:p>
    <w:p>
      <w:pPr>
        <w:sectPr>
          <w:pgSz w:w="11900" w:h="16838" w:orient="portrait"/>
          <w:cols w:equalWidth="0" w:num="1">
            <w:col w:w="11140"/>
          </w:cols>
          <w:pgMar w:left="320" w:top="455" w:right="439" w:bottom="1440" w:gutter="0" w:footer="0" w:header="0"/>
        </w:sectPr>
      </w:pPr>
    </w:p>
    <w:p>
      <w:pPr>
        <w:spacing w:after="0" w:line="5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b w:val="1"/>
          <w:bCs w:val="1"/>
          <w:color w:val="auto"/>
        </w:rPr>
        <w:t>Morgan Stanley</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J.P. Morgan</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CICC</w:t>
      </w:r>
    </w:p>
    <w:p>
      <w:pPr>
        <w:spacing w:after="0" w:line="200" w:lineRule="exact"/>
        <w:rPr>
          <w:sz w:val="20"/>
          <w:szCs w:val="20"/>
          <w:color w:val="auto"/>
        </w:rPr>
      </w:pPr>
    </w:p>
    <w:p>
      <w:pPr>
        <w:sectPr>
          <w:pgSz w:w="11900" w:h="16838" w:orient="portrait"/>
          <w:cols w:equalWidth="0" w:num="3">
            <w:col w:w="4460" w:space="720"/>
            <w:col w:w="3200" w:space="720"/>
            <w:col w:w="2040"/>
          </w:cols>
          <w:pgMar w:left="320" w:top="455" w:right="439" w:bottom="1440" w:gutter="0" w:footer="0" w:header="0"/>
          <w:type w:val="continuous"/>
        </w:sectPr>
      </w:pPr>
    </w:p>
    <w:p>
      <w:pPr>
        <w:spacing w:after="0" w:line="3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7"/>
          <w:szCs w:val="17"/>
          <w:color w:val="auto"/>
        </w:rPr>
        <w:t>The date of this prospectus is</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2023.</w:t>
      </w:r>
    </w:p>
    <w:p>
      <w:pPr>
        <w:sectPr>
          <w:pgSz w:w="11900" w:h="16838" w:orient="portrait"/>
          <w:cols w:equalWidth="0" w:num="2">
            <w:col w:w="6160" w:space="720"/>
            <w:col w:w="4260"/>
          </w:cols>
          <w:pgMar w:left="320" w:top="455" w:right="4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ind w:right="2979"/>
        <w:spacing w:after="0"/>
        <w:rPr>
          <w:sz w:val="20"/>
          <w:szCs w:val="20"/>
          <w:color w:val="auto"/>
        </w:rPr>
      </w:pPr>
      <w:r>
        <w:rPr>
          <w:rFonts w:ascii="Times New Roman" w:cs="Times New Roman" w:eastAsia="Times New Roman" w:hAnsi="Times New Roman"/>
          <w:sz w:val="18"/>
          <w:szCs w:val="18"/>
          <w:color w:val="auto"/>
        </w:rPr>
        <w:t>[Page intentionally left blank for graphics]</w:t>
      </w:r>
    </w:p>
    <w:p>
      <w:pPr>
        <w:sectPr>
          <w:pgSz w:w="11900" w:h="16838" w:orient="portrait"/>
          <w:cols w:equalWidth="0" w:num="1">
            <w:col w:w="10139"/>
          </w:cols>
          <w:pgMar w:left="320" w:top="455"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9920" w:type="dxa"/>
            <w:vAlign w:val="bottom"/>
            <w:gridSpan w:val="29"/>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16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6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980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PROSPECTUS SUMMARY</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6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7"/>
              </w:rPr>
              <w:t>SUMMARY CONSOLIDATED FINANCIAL DATA</w:t>
            </w:r>
          </w:p>
        </w:tc>
        <w:tc>
          <w:tcPr>
            <w:tcW w:w="5940" w:type="dxa"/>
            <w:vAlign w:val="bottom"/>
            <w:gridSpan w:val="6"/>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120" w:type="dxa"/>
            <w:vAlign w:val="bottom"/>
          </w:tcPr>
          <w:p>
            <w:pPr>
              <w:spacing w:after="0"/>
              <w:rPr>
                <w:sz w:val="17"/>
                <w:szCs w:val="17"/>
                <w:color w:val="auto"/>
              </w:rPr>
            </w:pPr>
          </w:p>
        </w:tc>
        <w:tc>
          <w:tcPr>
            <w:tcW w:w="12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7"/>
              </w:rPr>
              <w:t>RISK FACTORS</w:t>
            </w:r>
          </w:p>
        </w:tc>
        <w:tc>
          <w:tcPr>
            <w:tcW w:w="8540" w:type="dxa"/>
            <w:vAlign w:val="bottom"/>
            <w:gridSpan w:val="21"/>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196"/>
        </w:trPr>
        <w:tc>
          <w:tcPr>
            <w:tcW w:w="120" w:type="dxa"/>
            <w:vAlign w:val="bottom"/>
          </w:tcPr>
          <w:p>
            <w:pPr>
              <w:spacing w:after="0"/>
              <w:rPr>
                <w:sz w:val="17"/>
                <w:szCs w:val="17"/>
                <w:color w:val="auto"/>
              </w:rPr>
            </w:pPr>
          </w:p>
        </w:tc>
        <w:tc>
          <w:tcPr>
            <w:tcW w:w="98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88</w:t>
            </w:r>
          </w:p>
        </w:tc>
      </w:tr>
      <w:tr>
        <w:trPr>
          <w:trHeight w:val="196"/>
        </w:trPr>
        <w:tc>
          <w:tcPr>
            <w:tcW w:w="120" w:type="dxa"/>
            <w:vAlign w:val="bottom"/>
          </w:tcPr>
          <w:p>
            <w:pPr>
              <w:spacing w:after="0"/>
              <w:rPr>
                <w:sz w:val="17"/>
                <w:szCs w:val="17"/>
                <w:color w:val="auto"/>
              </w:rPr>
            </w:pPr>
          </w:p>
        </w:tc>
        <w:tc>
          <w:tcPr>
            <w:tcW w:w="160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USE OF PROCEEDS</w:t>
            </w:r>
          </w:p>
        </w:tc>
        <w:tc>
          <w:tcPr>
            <w:tcW w:w="3720" w:type="dxa"/>
            <w:vAlign w:val="bottom"/>
            <w:tcBorders>
              <w:top w:val="single" w:sz="8" w:color="0000EE"/>
            </w:tcBorders>
            <w:gridSpan w:val="13"/>
          </w:tcPr>
          <w:p>
            <w:pPr>
              <w:spacing w:after="0"/>
              <w:rPr>
                <w:sz w:val="17"/>
                <w:szCs w:val="17"/>
                <w:color w:val="auto"/>
              </w:rPr>
            </w:pPr>
          </w:p>
        </w:tc>
        <w:tc>
          <w:tcPr>
            <w:tcW w:w="4480" w:type="dxa"/>
            <w:vAlign w:val="bottom"/>
            <w:gridSpan w:val="2"/>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POLICY</w:t>
            </w:r>
          </w:p>
        </w:tc>
        <w:tc>
          <w:tcPr>
            <w:tcW w:w="8220" w:type="dxa"/>
            <w:vAlign w:val="bottom"/>
            <w:gridSpan w:val="16"/>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r>
      <w:tr>
        <w:trPr>
          <w:trHeight w:val="196"/>
        </w:trPr>
        <w:tc>
          <w:tcPr>
            <w:tcW w:w="120" w:type="dxa"/>
            <w:vAlign w:val="bottom"/>
          </w:tcPr>
          <w:p>
            <w:pPr>
              <w:spacing w:after="0"/>
              <w:rPr>
                <w:sz w:val="17"/>
                <w:szCs w:val="17"/>
                <w:color w:val="auto"/>
              </w:rPr>
            </w:pPr>
          </w:p>
        </w:tc>
        <w:tc>
          <w:tcPr>
            <w:tcW w:w="14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7"/>
              </w:rPr>
              <w:t>CAPITALIZATION</w:t>
            </w:r>
          </w:p>
        </w:tc>
        <w:tc>
          <w:tcPr>
            <w:tcW w:w="8320" w:type="dxa"/>
            <w:vAlign w:val="bottom"/>
            <w:gridSpan w:val="17"/>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r>
      <w:tr>
        <w:trPr>
          <w:trHeight w:val="196"/>
        </w:trPr>
        <w:tc>
          <w:tcPr>
            <w:tcW w:w="120" w:type="dxa"/>
            <w:vAlign w:val="bottom"/>
          </w:tcPr>
          <w:p>
            <w:pPr>
              <w:spacing w:after="0"/>
              <w:rPr>
                <w:sz w:val="17"/>
                <w:szCs w:val="17"/>
                <w:color w:val="auto"/>
              </w:rPr>
            </w:pPr>
          </w:p>
        </w:tc>
        <w:tc>
          <w:tcPr>
            <w:tcW w:w="8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DILUTION</w:t>
            </w:r>
          </w:p>
        </w:tc>
        <w:tc>
          <w:tcPr>
            <w:tcW w:w="8940" w:type="dxa"/>
            <w:vAlign w:val="bottom"/>
            <w:gridSpan w:val="25"/>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r>
      <w:tr>
        <w:trPr>
          <w:trHeight w:val="196"/>
        </w:trPr>
        <w:tc>
          <w:tcPr>
            <w:tcW w:w="120" w:type="dxa"/>
            <w:vAlign w:val="bottom"/>
          </w:tcPr>
          <w:p>
            <w:pPr>
              <w:spacing w:after="0"/>
              <w:rPr>
                <w:sz w:val="17"/>
                <w:szCs w:val="17"/>
                <w:color w:val="auto"/>
              </w:rPr>
            </w:pPr>
          </w:p>
        </w:tc>
        <w:tc>
          <w:tcPr>
            <w:tcW w:w="342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ENFORCEABILITY OF CIVIL LIABILITIES</w:t>
            </w:r>
          </w:p>
        </w:tc>
        <w:tc>
          <w:tcPr>
            <w:tcW w:w="6380" w:type="dxa"/>
            <w:vAlign w:val="bottom"/>
            <w:gridSpan w:val="8"/>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96</w:t>
            </w:r>
          </w:p>
        </w:tc>
      </w:tr>
      <w:tr>
        <w:trPr>
          <w:trHeight w:val="196"/>
        </w:trPr>
        <w:tc>
          <w:tcPr>
            <w:tcW w:w="120" w:type="dxa"/>
            <w:vAlign w:val="bottom"/>
          </w:tcPr>
          <w:p>
            <w:pPr>
              <w:spacing w:after="0"/>
              <w:rPr>
                <w:sz w:val="17"/>
                <w:szCs w:val="17"/>
                <w:color w:val="auto"/>
              </w:rPr>
            </w:pPr>
          </w:p>
        </w:tc>
        <w:tc>
          <w:tcPr>
            <w:tcW w:w="340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8"/>
              </w:rPr>
              <w:t>CORPORATE HISTORY AND STRUCTURE</w:t>
            </w:r>
          </w:p>
        </w:tc>
        <w:tc>
          <w:tcPr>
            <w:tcW w:w="6400" w:type="dxa"/>
            <w:vAlign w:val="bottom"/>
            <w:gridSpan w:val="9"/>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98</w:t>
            </w:r>
          </w:p>
        </w:tc>
      </w:tr>
      <w:tr>
        <w:trPr>
          <w:trHeight w:val="196"/>
        </w:trPr>
        <w:tc>
          <w:tcPr>
            <w:tcW w:w="120" w:type="dxa"/>
            <w:vAlign w:val="bottom"/>
          </w:tcPr>
          <w:p>
            <w:pPr>
              <w:spacing w:after="0"/>
              <w:rPr>
                <w:sz w:val="17"/>
                <w:szCs w:val="17"/>
                <w:color w:val="auto"/>
              </w:rPr>
            </w:pPr>
          </w:p>
        </w:tc>
        <w:tc>
          <w:tcPr>
            <w:tcW w:w="98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102</w:t>
            </w:r>
          </w:p>
        </w:tc>
      </w:tr>
      <w:tr>
        <w:trPr>
          <w:trHeight w:val="196"/>
        </w:trPr>
        <w:tc>
          <w:tcPr>
            <w:tcW w:w="120" w:type="dxa"/>
            <w:vAlign w:val="bottom"/>
          </w:tcPr>
          <w:p>
            <w:pPr>
              <w:spacing w:after="0"/>
              <w:rPr>
                <w:sz w:val="17"/>
                <w:szCs w:val="17"/>
                <w:color w:val="auto"/>
              </w:rPr>
            </w:pPr>
          </w:p>
        </w:tc>
        <w:tc>
          <w:tcPr>
            <w:tcW w:w="92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INDUSTRY</w:t>
            </w:r>
          </w:p>
        </w:tc>
        <w:tc>
          <w:tcPr>
            <w:tcW w:w="7980" w:type="dxa"/>
            <w:vAlign w:val="bottom"/>
            <w:tcBorders>
              <w:top w:val="single" w:sz="8" w:color="0000EE"/>
            </w:tcBorders>
            <w:gridSpan w:val="22"/>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125</w:t>
            </w:r>
          </w:p>
        </w:tc>
      </w:tr>
      <w:tr>
        <w:trPr>
          <w:trHeight w:val="196"/>
        </w:trPr>
        <w:tc>
          <w:tcPr>
            <w:tcW w:w="120" w:type="dxa"/>
            <w:vAlign w:val="bottom"/>
          </w:tcPr>
          <w:p>
            <w:pPr>
              <w:spacing w:after="0"/>
              <w:rPr>
                <w:sz w:val="17"/>
                <w:szCs w:val="17"/>
                <w:color w:val="auto"/>
              </w:rPr>
            </w:pPr>
          </w:p>
        </w:tc>
        <w:tc>
          <w:tcPr>
            <w:tcW w:w="98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BUSINESS</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135</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24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6"/>
              </w:rPr>
              <w:t>REGULATIONS</w:t>
            </w:r>
          </w:p>
        </w:tc>
        <w:tc>
          <w:tcPr>
            <w:tcW w:w="8560" w:type="dxa"/>
            <w:vAlign w:val="bottom"/>
            <w:gridSpan w:val="22"/>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164</w:t>
            </w:r>
          </w:p>
        </w:tc>
      </w:tr>
      <w:tr>
        <w:trPr>
          <w:trHeight w:val="196"/>
        </w:trPr>
        <w:tc>
          <w:tcPr>
            <w:tcW w:w="120" w:type="dxa"/>
            <w:vAlign w:val="bottom"/>
          </w:tcPr>
          <w:p>
            <w:pPr>
              <w:spacing w:after="0"/>
              <w:rPr>
                <w:sz w:val="17"/>
                <w:szCs w:val="17"/>
                <w:color w:val="auto"/>
              </w:rPr>
            </w:pPr>
          </w:p>
        </w:tc>
        <w:tc>
          <w:tcPr>
            <w:tcW w:w="13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MANAGEMENT</w:t>
            </w:r>
          </w:p>
        </w:tc>
        <w:tc>
          <w:tcPr>
            <w:tcW w:w="8500" w:type="dxa"/>
            <w:vAlign w:val="bottom"/>
            <w:gridSpan w:val="20"/>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185</w:t>
            </w:r>
          </w:p>
        </w:tc>
      </w:tr>
      <w:tr>
        <w:trPr>
          <w:trHeight w:val="196"/>
        </w:trPr>
        <w:tc>
          <w:tcPr>
            <w:tcW w:w="120" w:type="dxa"/>
            <w:vAlign w:val="bottom"/>
          </w:tcPr>
          <w:p>
            <w:pPr>
              <w:spacing w:after="0"/>
              <w:rPr>
                <w:sz w:val="17"/>
                <w:szCs w:val="17"/>
                <w:color w:val="auto"/>
              </w:rPr>
            </w:pPr>
          </w:p>
        </w:tc>
        <w:tc>
          <w:tcPr>
            <w:tcW w:w="98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PRINCIPAL [AND SELLING] SHAREHOLDERS</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192</w:t>
            </w:r>
          </w:p>
        </w:tc>
      </w:tr>
      <w:tr>
        <w:trPr>
          <w:trHeight w:val="196"/>
        </w:trPr>
        <w:tc>
          <w:tcPr>
            <w:tcW w:w="120" w:type="dxa"/>
            <w:vAlign w:val="bottom"/>
          </w:tcPr>
          <w:p>
            <w:pPr>
              <w:spacing w:after="0"/>
              <w:rPr>
                <w:sz w:val="17"/>
                <w:szCs w:val="17"/>
                <w:color w:val="auto"/>
              </w:rPr>
            </w:pPr>
          </w:p>
        </w:tc>
        <w:tc>
          <w:tcPr>
            <w:tcW w:w="282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7"/>
              </w:rPr>
              <w:t>RELATED PARTY TRANSACTIONS</w:t>
            </w:r>
          </w:p>
        </w:tc>
        <w:tc>
          <w:tcPr>
            <w:tcW w:w="900" w:type="dxa"/>
            <w:vAlign w:val="bottom"/>
            <w:tcBorders>
              <w:top w:val="single" w:sz="8" w:color="0000EE"/>
            </w:tcBorders>
            <w:gridSpan w:val="6"/>
          </w:tcPr>
          <w:p>
            <w:pPr>
              <w:spacing w:after="0"/>
              <w:rPr>
                <w:sz w:val="17"/>
                <w:szCs w:val="17"/>
                <w:color w:val="auto"/>
              </w:rPr>
            </w:pPr>
          </w:p>
        </w:tc>
        <w:tc>
          <w:tcPr>
            <w:tcW w:w="6080" w:type="dxa"/>
            <w:vAlign w:val="bottom"/>
            <w:gridSpan w:val="7"/>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196</w:t>
            </w:r>
          </w:p>
        </w:tc>
      </w:tr>
      <w:tr>
        <w:trPr>
          <w:trHeight w:val="196"/>
        </w:trPr>
        <w:tc>
          <w:tcPr>
            <w:tcW w:w="120" w:type="dxa"/>
            <w:vAlign w:val="bottom"/>
          </w:tcPr>
          <w:p>
            <w:pPr>
              <w:spacing w:after="0"/>
              <w:rPr>
                <w:sz w:val="17"/>
                <w:szCs w:val="17"/>
                <w:color w:val="auto"/>
              </w:rPr>
            </w:pPr>
          </w:p>
        </w:tc>
        <w:tc>
          <w:tcPr>
            <w:tcW w:w="98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DESCRIPTION OF SHARE CAPITAL</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197</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0" w:type="dxa"/>
            <w:vAlign w:val="bottom"/>
            <w:gridSpan w:val="6"/>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8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DESCRIPTION OF AMERICAN DEPOSITARY SHARES</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213</w:t>
            </w:r>
          </w:p>
        </w:tc>
      </w:tr>
      <w:tr>
        <w:trPr>
          <w:trHeight w:val="196"/>
        </w:trPr>
        <w:tc>
          <w:tcPr>
            <w:tcW w:w="120" w:type="dxa"/>
            <w:vAlign w:val="bottom"/>
          </w:tcPr>
          <w:p>
            <w:pPr>
              <w:spacing w:after="0"/>
              <w:rPr>
                <w:sz w:val="17"/>
                <w:szCs w:val="17"/>
                <w:color w:val="auto"/>
              </w:rPr>
            </w:pPr>
          </w:p>
        </w:tc>
        <w:tc>
          <w:tcPr>
            <w:tcW w:w="3180" w:type="dxa"/>
            <w:vAlign w:val="bottom"/>
            <w:tcBorders>
              <w:top w:val="single" w:sz="8" w:color="0000EE"/>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SHARES ELIGIBLE FOR FUTURE SALE</w:t>
            </w:r>
          </w:p>
        </w:tc>
        <w:tc>
          <w:tcPr>
            <w:tcW w:w="1140" w:type="dxa"/>
            <w:vAlign w:val="bottom"/>
            <w:tcBorders>
              <w:top w:val="single" w:sz="8" w:color="0000EE"/>
            </w:tcBorders>
            <w:gridSpan w:val="6"/>
          </w:tcPr>
          <w:p>
            <w:pPr>
              <w:spacing w:after="0"/>
              <w:rPr>
                <w:sz w:val="17"/>
                <w:szCs w:val="17"/>
                <w:color w:val="auto"/>
              </w:rPr>
            </w:pPr>
          </w:p>
        </w:tc>
        <w:tc>
          <w:tcPr>
            <w:tcW w:w="5480" w:type="dxa"/>
            <w:vAlign w:val="bottom"/>
            <w:gridSpan w:val="5"/>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224</w:t>
            </w:r>
          </w:p>
        </w:tc>
      </w:tr>
      <w:tr>
        <w:trPr>
          <w:trHeight w:val="196"/>
        </w:trPr>
        <w:tc>
          <w:tcPr>
            <w:tcW w:w="120" w:type="dxa"/>
            <w:vAlign w:val="bottom"/>
          </w:tcPr>
          <w:p>
            <w:pPr>
              <w:spacing w:after="0"/>
              <w:rPr>
                <w:sz w:val="17"/>
                <w:szCs w:val="17"/>
                <w:color w:val="auto"/>
              </w:rPr>
            </w:pPr>
          </w:p>
        </w:tc>
        <w:tc>
          <w:tcPr>
            <w:tcW w:w="9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4"/>
              </w:rPr>
              <w:t>TAXATION</w:t>
            </w:r>
          </w:p>
        </w:tc>
        <w:tc>
          <w:tcPr>
            <w:tcW w:w="8900" w:type="dxa"/>
            <w:vAlign w:val="bottom"/>
            <w:gridSpan w:val="24"/>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226</w:t>
            </w:r>
          </w:p>
        </w:tc>
      </w:tr>
      <w:tr>
        <w:trPr>
          <w:trHeight w:val="196"/>
        </w:trPr>
        <w:tc>
          <w:tcPr>
            <w:tcW w:w="120" w:type="dxa"/>
            <w:vAlign w:val="bottom"/>
          </w:tcPr>
          <w:p>
            <w:pPr>
              <w:spacing w:after="0"/>
              <w:rPr>
                <w:sz w:val="17"/>
                <w:szCs w:val="17"/>
                <w:color w:val="auto"/>
              </w:rPr>
            </w:pPr>
          </w:p>
        </w:tc>
        <w:tc>
          <w:tcPr>
            <w:tcW w:w="98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UNDERWRITING</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232</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20" w:type="dxa"/>
            <w:vAlign w:val="bottom"/>
            <w:gridSpan w:val="8"/>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gridSpan w:val="8"/>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8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EXPENSES RELATED TO THIS OFFERING</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245</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1920" w:type="dxa"/>
            <w:vAlign w:val="bottom"/>
            <w:tcBorders>
              <w:top w:val="single" w:sz="8" w:color="0000EE"/>
            </w:tcBorders>
            <w:gridSpan w:val="8"/>
          </w:tcPr>
          <w:p>
            <w:pPr>
              <w:spacing w:after="0"/>
              <w:rPr>
                <w:sz w:val="17"/>
                <w:szCs w:val="17"/>
                <w:color w:val="auto"/>
              </w:rPr>
            </w:pPr>
          </w:p>
        </w:tc>
        <w:tc>
          <w:tcPr>
            <w:tcW w:w="6420" w:type="dxa"/>
            <w:vAlign w:val="bottom"/>
            <w:gridSpan w:val="10"/>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246</w:t>
            </w:r>
          </w:p>
        </w:tc>
      </w:tr>
      <w:tr>
        <w:trPr>
          <w:trHeight w:val="196"/>
        </w:trPr>
        <w:tc>
          <w:tcPr>
            <w:tcW w:w="120" w:type="dxa"/>
            <w:vAlign w:val="bottom"/>
          </w:tcPr>
          <w:p>
            <w:pPr>
              <w:spacing w:after="0"/>
              <w:rPr>
                <w:sz w:val="17"/>
                <w:szCs w:val="17"/>
                <w:color w:val="auto"/>
              </w:rPr>
            </w:pPr>
          </w:p>
        </w:tc>
        <w:tc>
          <w:tcPr>
            <w:tcW w:w="98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247</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640" w:type="dxa"/>
            <w:vAlign w:val="bottom"/>
            <w:gridSpan w:val="2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8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248</w:t>
            </w:r>
          </w:p>
        </w:tc>
      </w:tr>
      <w:tr>
        <w:trPr>
          <w:trHeight w:val="20"/>
        </w:trPr>
        <w:tc>
          <w:tcPr>
            <w:tcW w:w="120" w:type="dxa"/>
            <w:vAlign w:val="bottom"/>
          </w:tcPr>
          <w:p>
            <w:pPr>
              <w:spacing w:after="0" w:line="20" w:lineRule="exact"/>
              <w:rPr>
                <w:sz w:val="1"/>
                <w:szCs w:val="1"/>
                <w:color w:val="auto"/>
              </w:rPr>
            </w:pPr>
          </w:p>
        </w:tc>
        <w:tc>
          <w:tcPr>
            <w:tcW w:w="4400" w:type="dxa"/>
            <w:vAlign w:val="bottom"/>
            <w:gridSpan w:val="24"/>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8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INDEX TO THE CONSOLIDATED FINANCIAL STATEMENTS</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20" w:right="80" w:firstLine="440"/>
        <w:spacing w:after="0" w:line="225" w:lineRule="auto"/>
        <w:rPr>
          <w:sz w:val="20"/>
          <w:szCs w:val="20"/>
          <w:color w:val="auto"/>
        </w:rPr>
      </w:pPr>
      <w:r>
        <w:rPr>
          <w:rFonts w:ascii="Times New Roman" w:cs="Times New Roman" w:eastAsia="Times New Roman" w:hAnsi="Times New Roman"/>
          <w:sz w:val="18"/>
          <w:szCs w:val="18"/>
          <w:b w:val="1"/>
          <w:bCs w:val="1"/>
          <w:color w:val="auto"/>
        </w:rPr>
        <w:t>Until , 2023 (the 25</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8"/>
          <w:szCs w:val="18"/>
          <w:b w:val="1"/>
          <w:bCs w:val="1"/>
          <w:color w:val="auto"/>
        </w:rPr>
        <w:t xml:space="preserve"> day after the date of this prospectus), all dealers that effect transactions in these ADSs, whether or not participating in this offering, may be required to deliver a prospectus. This is in addition to the dealer’ obligation to deliver a prospectus when acting as an underwriter and with respect to their unsold allotments or subscriptions.</w:t>
      </w:r>
    </w:p>
    <w:p>
      <w:pPr>
        <w:spacing w:after="0" w:line="200"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or in any free writing prospectus that we authorize to be distributed to you. We and the underwriters have not authorized anyone to provide you with any information other than that contained in this prospectus or in any free writing prospectus prepared by or on behalf of us or to which we have referred you, and neither we, nor the underwriters take responsibility for any other information others may give you. We [and the selling shareholders] are offering to sell, and seeking offers to buy the ADSs, only in jurisdictions where such offers and sales are permitted. The information in this prospectus or any free writing prospectus is accurate only as of its date, regardless of its time of delivery or the time of any sale of the ADSs. Our business, financial condition, results of operations and prospectus may have changed since that date.</w:t>
      </w:r>
    </w:p>
    <w:p>
      <w:pPr>
        <w:spacing w:after="0" w:line="18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Neither we nor any of the underwriters has taken any action to permit a public offering of the ADSs outside the United States or to permit the possession or distribution of this prospectus or any filed free writing prospectus outside the United States. Persons outside the United States who come into possession of this prospectus or any filed free writing prospectus must inform themselves about and observe any restrictions relating to the offering of the ADSs and the distribution of the prospectus or any filed free writing prospectus outside the United States.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46" w:right="4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261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626173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summary is qualified in its entirety by, and should be read in conjunction with, the more detailed information and financial statements appearing elsewhere in this prospectus. In addition to this summary, we urge you to read the entire prospectus carefully, especially the risks of investing in the ADSs discussed under “Risk Factors,” before deciding whether to invest in the ADSs. Unless otherwise indicated, information contained in this prospectus concerning our industry and the regions in which we operate, including our general expectations, market position, market size, market opportunity, market share, competitive landscape, market rankings, capabilities of market participants and other management estimates, is based on an industry report dated February 23, 2023 and commissioned by us and prepared by CIC, to provide information regarding our industry and our market position. Neither we nor any other party involved in this offering has independently verified such information, and neither we nor any other party involved in this offering makes any representation as to the accuracy or completeness of such information. Investors are cautioned not to place any undue reliance on the information, including statistics and estimates, set forth in this section or similar information included elsewhere in this prospectus.</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Mission</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To transform urban living with autonomous driving.</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right="100" w:firstLine="426"/>
        <w:spacing w:after="0" w:line="282" w:lineRule="auto"/>
        <w:rPr>
          <w:sz w:val="20"/>
          <w:szCs w:val="20"/>
          <w:color w:val="auto"/>
        </w:rPr>
      </w:pPr>
      <w:r>
        <w:rPr>
          <w:rFonts w:ascii="Times New Roman" w:cs="Times New Roman" w:eastAsia="Times New Roman" w:hAnsi="Times New Roman"/>
          <w:sz w:val="18"/>
          <w:szCs w:val="18"/>
          <w:color w:val="auto"/>
        </w:rPr>
        <w:t>We are the most commercially successful L4 autonomous driving company globally as measured by our commercialization revenue in 2021 and 2022.</w:t>
      </w:r>
    </w:p>
    <w:p>
      <w:pPr>
        <w:spacing w:after="0" w:line="162" w:lineRule="exact"/>
        <w:rPr>
          <w:sz w:val="20"/>
          <w:szCs w:val="20"/>
          <w:color w:val="auto"/>
        </w:rPr>
      </w:pPr>
    </w:p>
    <w:p>
      <w:pPr>
        <w:ind w:left="300" w:right="280" w:firstLine="426"/>
        <w:spacing w:after="0" w:line="266" w:lineRule="auto"/>
        <w:rPr>
          <w:sz w:val="20"/>
          <w:szCs w:val="20"/>
          <w:color w:val="auto"/>
        </w:rPr>
      </w:pPr>
      <w:r>
        <w:rPr>
          <w:rFonts w:ascii="Times New Roman" w:cs="Times New Roman" w:eastAsia="Times New Roman" w:hAnsi="Times New Roman"/>
          <w:sz w:val="18"/>
          <w:szCs w:val="18"/>
          <w:color w:val="auto"/>
        </w:rPr>
        <w:t>We believe our autonomous driving technology, designed primarily for vehicles that operate in urban environments, is among the most advanced and commercially proven in the world. We provide autonomous driving products and services across the widest range of use cases on open road, including in mobility, logistics, and sanitation industries.</w:t>
      </w:r>
    </w:p>
    <w:p>
      <w:pPr>
        <w:spacing w:after="0" w:line="17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are a global leader and a first mover in the autonomous driving industry. We have achieved many first-of-its-kind milestones:</w:t>
      </w:r>
    </w:p>
    <w:p>
      <w:pPr>
        <w:spacing w:after="0" w:line="131" w:lineRule="exact"/>
        <w:rPr>
          <w:sz w:val="20"/>
          <w:szCs w:val="20"/>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company to offer paid L4 robotaxi services to the public in the world, which we launched in 2019;</w:t>
      </w:r>
    </w:p>
    <w:p>
      <w:pPr>
        <w:spacing w:after="0" w:line="130" w:lineRule="exact"/>
        <w:rPr>
          <w:rFonts w:ascii="Times New Roman" w:cs="Times New Roman" w:eastAsia="Times New Roman" w:hAnsi="Times New Roman"/>
          <w:sz w:val="18"/>
          <w:szCs w:val="18"/>
          <w:color w:val="auto"/>
        </w:rPr>
      </w:pPr>
    </w:p>
    <w:p>
      <w:pPr>
        <w:ind w:left="1240" w:right="38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company in the world to develop a purpose-built L4 robobus designed for open road, as well as the first to launch driverless robobus services on open road to the public;</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company in the world to develop an L4 robovan dedicated to intra-city delivery of goods;</w:t>
      </w:r>
    </w:p>
    <w:p>
      <w:pPr>
        <w:spacing w:after="0" w:line="130" w:lineRule="exact"/>
        <w:rPr>
          <w:rFonts w:ascii="Times New Roman" w:cs="Times New Roman" w:eastAsia="Times New Roman" w:hAnsi="Times New Roman"/>
          <w:sz w:val="18"/>
          <w:szCs w:val="18"/>
          <w:color w:val="auto"/>
        </w:rPr>
      </w:pPr>
    </w:p>
    <w:p>
      <w:pPr>
        <w:ind w:left="1240" w:right="8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company in the world to develop a purpose-built L4 robosweeper designed for open road as well as the first to launch driverless robosweeper urban cleaning services;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autonomous driving company in the world to accumulate 10,000 purpose-built L4 autonomous driving vehicle orders;</w:t>
      </w:r>
    </w:p>
    <w:p>
      <w:pPr>
        <w:spacing w:after="0" w:line="130" w:lineRule="exact"/>
        <w:rPr>
          <w:rFonts w:ascii="Times New Roman" w:cs="Times New Roman" w:eastAsia="Times New Roman" w:hAnsi="Times New Roman"/>
          <w:sz w:val="18"/>
          <w:szCs w:val="18"/>
          <w:color w:val="auto"/>
        </w:rPr>
      </w:pPr>
    </w:p>
    <w:p>
      <w:pPr>
        <w:ind w:left="1240" w:right="24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and only pure-play autonomous driving company in the world to obtain driverless test permits in China and the United States; and</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autonomous driving company to secure an official license for online ride hailing operations in China.</w:t>
      </w:r>
    </w:p>
    <w:p>
      <w:pPr>
        <w:spacing w:after="0" w:line="225" w:lineRule="exact"/>
        <w:rPr>
          <w:sz w:val="20"/>
          <w:szCs w:val="20"/>
          <w:color w:val="auto"/>
        </w:rPr>
      </w:pPr>
    </w:p>
    <w:p>
      <w:pPr>
        <w:ind w:left="300" w:right="120" w:firstLine="426"/>
        <w:spacing w:after="0" w:line="282" w:lineRule="auto"/>
        <w:rPr>
          <w:sz w:val="20"/>
          <w:szCs w:val="20"/>
          <w:color w:val="auto"/>
        </w:rPr>
      </w:pPr>
      <w:r>
        <w:rPr>
          <w:rFonts w:ascii="Times New Roman" w:cs="Times New Roman" w:eastAsia="Times New Roman" w:hAnsi="Times New Roman"/>
          <w:sz w:val="18"/>
          <w:szCs w:val="18"/>
          <w:color w:val="auto"/>
        </w:rPr>
        <w:t>From day one, we decided to tackle the challenges of commercial viability, practicability and scalability of autonomous driving. We believe innovation does not flourish in a vacuum, but rather must be applied in real</w:t>
      </w:r>
    </w:p>
    <w:p>
      <w:pPr>
        <w:spacing w:after="0" w:line="27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00"/>
          </w:cols>
          <w:pgMar w:left="320" w:top="455" w:right="6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3049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630491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500"/>
        <w:spacing w:after="0" w:line="266" w:lineRule="auto"/>
        <w:rPr>
          <w:sz w:val="20"/>
          <w:szCs w:val="20"/>
          <w:color w:val="auto"/>
        </w:rPr>
      </w:pPr>
      <w:r>
        <w:rPr>
          <w:rFonts w:ascii="Times New Roman" w:cs="Times New Roman" w:eastAsia="Times New Roman" w:hAnsi="Times New Roman"/>
          <w:sz w:val="18"/>
          <w:szCs w:val="18"/>
          <w:color w:val="auto"/>
        </w:rPr>
        <w:t>world settings. Therefore, we embarked on a relentless pursuit of product and service offerings that are deployable, rather than experimental, commercializable, rather than conceptual, with the commitment to delivering premium products and services for our customers in various industries. This was not an easy path, but has been proven to be the right one.</w:t>
      </w:r>
    </w:p>
    <w:p>
      <w:pPr>
        <w:spacing w:after="0" w:line="176" w:lineRule="exact"/>
        <w:rPr>
          <w:sz w:val="20"/>
          <w:szCs w:val="20"/>
          <w:color w:val="auto"/>
        </w:rPr>
      </w:pPr>
    </w:p>
    <w:p>
      <w:pPr>
        <w:ind w:left="300" w:right="120" w:firstLine="426"/>
        <w:spacing w:after="0" w:line="255" w:lineRule="auto"/>
        <w:rPr>
          <w:sz w:val="20"/>
          <w:szCs w:val="20"/>
          <w:color w:val="auto"/>
        </w:rPr>
      </w:pPr>
      <w:r>
        <w:rPr>
          <w:rFonts w:ascii="Times New Roman" w:cs="Times New Roman" w:eastAsia="Times New Roman" w:hAnsi="Times New Roman"/>
          <w:sz w:val="18"/>
          <w:szCs w:val="18"/>
          <w:color w:val="auto"/>
        </w:rPr>
        <w:t>Today, we operate one of the world’s largest autonomous driving fleets, with over 500 vehicles and cumulative autonomous mileage of over 15 million kilometers. Our L4 autonomous driving vehicles are capable of navigating dense urban environments, operating all day and under all weather conditions. We have commenced trial and commercial operations of our autonomous driving vehicles which have been deployed to run testing and commercial pilots in 25 cities and five countries across Asia, the Middle East and North America. We are offering driverless robotaxis rides in three cities globally. Our leadership in L4 autonomous driving technology has also positioned us well for the development of cutting-edge ADAS solutions. We formed a strategic partnership with the largest Tier 1 supplier, and the partnership is expected to bring a state-of-the-art ADAS solution to the market in 2023.</w:t>
      </w:r>
    </w:p>
    <w:p>
      <w:pPr>
        <w:spacing w:after="0" w:line="189"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We achieved revenue of RMB138.2 million (US$20.6 million) in 2021, representing a 659.3% increase compared to 2020. For the six months ended June 30, 2022, our revenue was RMB139.7 million (US$20.9 million), representing a 463.3% increase compared to the same period in 2021. We generate revenue primarily from (i) the sales of our L4 autonomous driving vehicles, primarily including our robobuses and robotaxis, and related sensor suites, and (ii) the provision of L4 autonomous driving and ADAS services, including the provision of L4 autonomous driving operational and technical support services as well as ADAS research and development services. Our loss for the year/period was</w:t>
      </w:r>
    </w:p>
    <w:p>
      <w:pPr>
        <w:spacing w:after="0" w:line="3" w:lineRule="exact"/>
        <w:rPr>
          <w:sz w:val="20"/>
          <w:szCs w:val="20"/>
          <w:color w:val="auto"/>
        </w:rPr>
      </w:pPr>
    </w:p>
    <w:p>
      <w:pPr>
        <w:ind w:left="300" w:right="120"/>
        <w:spacing w:after="0" w:line="253" w:lineRule="auto"/>
        <w:rPr>
          <w:sz w:val="20"/>
          <w:szCs w:val="20"/>
          <w:color w:val="auto"/>
        </w:rPr>
      </w:pPr>
      <w:r>
        <w:rPr>
          <w:rFonts w:ascii="Times New Roman" w:cs="Times New Roman" w:eastAsia="Times New Roman" w:hAnsi="Times New Roman"/>
          <w:sz w:val="18"/>
          <w:szCs w:val="18"/>
          <w:color w:val="auto"/>
        </w:rPr>
        <w:t>RMB694.9 million, RMB1,007.3 million (US$150.4 million) and RMB657.9 million (US$98.2 million) in 2020, 2021 and the six months ended June 30, 2022, respectively. We had the smallest net loss among publicly-listed L4 companies globally in 2021. Our non-IFRS adjusted net loss was RMB337.8 million, RMB423.3 million (US$63.2 million) and RMB234.7 million (US$35.0 million) in 2020, 2021 and the six months ended June 30, 2022, respectively. For discussions of our adjusted net loss and reconciliation of adjusted net loss to loss for the year/period, see “Management’s Discussion and Analysis of Financial Condition and Results of Operations—Non-IFRS Financial Measures” for details.</w:t>
      </w:r>
    </w:p>
    <w:p>
      <w:pPr>
        <w:spacing w:after="0" w:line="1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Below are our major achievements to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1"/>
          <w:szCs w:val="11"/>
          <w:color w:val="auto"/>
        </w:rPr>
        <w:t>Source: CIC</w:t>
      </w:r>
    </w:p>
    <w:p>
      <w:pPr>
        <w:spacing w:after="0" w:line="1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1"/>
          <w:szCs w:val="11"/>
          <w:color w:val="auto"/>
        </w:rPr>
        <w:t>Notes:</w:t>
      </w:r>
    </w:p>
    <w:p>
      <w:pPr>
        <w:spacing w:after="0" w:line="2" w:lineRule="exact"/>
        <w:rPr>
          <w:sz w:val="20"/>
          <w:szCs w:val="20"/>
          <w:color w:val="auto"/>
        </w:rPr>
      </w:pPr>
    </w:p>
    <w:p>
      <w:pPr>
        <w:ind w:left="600" w:hanging="302"/>
        <w:spacing w:after="0"/>
        <w:tabs>
          <w:tab w:leader="none" w:pos="60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As of February 2023</w:t>
      </w:r>
    </w:p>
    <w:p>
      <w:pPr>
        <w:ind w:left="600" w:hanging="302"/>
        <w:spacing w:after="0"/>
        <w:tabs>
          <w:tab w:leader="none" w:pos="60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Subject to conditions</w:t>
      </w:r>
    </w:p>
    <w:p>
      <w:pPr>
        <w:spacing w:after="0" w:line="30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320" w:top="455" w:right="6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820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608203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Market Opportunity</w:t>
      </w:r>
    </w:p>
    <w:p>
      <w:pPr>
        <w:spacing w:after="0" w:line="121"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Aging populations, rising labor costs, and increasing use cases in cities around the world present vast opportunities for participants in the autonomous driving industry. Autonomous driving is expected to see tremendous growth. Autonomous driving technology effectively reduces human errors and road accidents, and substantially enhances operational efficiency by reducing labor costs and maximizing the operating hours of each vehicle. In addition, autonomous driving technology helps reduce energy consumption and greenhouse gas emissions, empowers people that are troubled with mobility difficulties and creates new forms of job opportunities, all contributing to immense environmental and social benefits. By 2030, the size of the global and mainland China’s autonomous driving market will reach US$1,724 billion and US$634 billion, respectively, representing CAGRs of 98% and 108% from 2021 to 2030, respectively. In particular, L4 autonomous driving is expected to gradually dominate the market worldwide and in mainland China, and is expected to account for 88% and 91% of the overall autonomous driving market globally and in mainland China, respectively, in terms of revenue in 2030.</w:t>
      </w:r>
    </w:p>
    <w:p>
      <w:pPr>
        <w:spacing w:after="0" w:line="188" w:lineRule="exact"/>
        <w:rPr>
          <w:sz w:val="20"/>
          <w:szCs w:val="20"/>
          <w:color w:val="auto"/>
        </w:rPr>
      </w:pPr>
    </w:p>
    <w:p>
      <w:pPr>
        <w:jc w:val="both"/>
        <w:ind w:left="300" w:right="340" w:firstLine="426"/>
        <w:spacing w:after="0" w:line="266" w:lineRule="auto"/>
        <w:rPr>
          <w:sz w:val="20"/>
          <w:szCs w:val="20"/>
          <w:color w:val="auto"/>
        </w:rPr>
      </w:pPr>
      <w:r>
        <w:rPr>
          <w:rFonts w:ascii="Times New Roman" w:cs="Times New Roman" w:eastAsia="Times New Roman" w:hAnsi="Times New Roman"/>
          <w:sz w:val="18"/>
          <w:szCs w:val="18"/>
          <w:color w:val="auto"/>
        </w:rPr>
        <w:t>In addition, given mainland China’s greater market size and higher growth potential, technological advancement galvanized by its more complex road conditions, higher level of consumer acceptance and more comprehensive technology infrastructure, industry participants with significant local presence in mainland China possess unique advantages that position them to become global leaders in the field.</w:t>
      </w:r>
    </w:p>
    <w:p>
      <w:pPr>
        <w:spacing w:after="0" w:line="176" w:lineRule="exact"/>
        <w:rPr>
          <w:sz w:val="20"/>
          <w:szCs w:val="20"/>
          <w:color w:val="auto"/>
        </w:rPr>
      </w:pPr>
    </w:p>
    <w:p>
      <w:pPr>
        <w:ind w:left="300" w:right="40" w:firstLine="426"/>
        <w:spacing w:after="0" w:line="277" w:lineRule="auto"/>
        <w:rPr>
          <w:sz w:val="20"/>
          <w:szCs w:val="20"/>
          <w:color w:val="auto"/>
        </w:rPr>
      </w:pPr>
      <w:r>
        <w:rPr>
          <w:rFonts w:ascii="Times New Roman" w:cs="Times New Roman" w:eastAsia="Times New Roman" w:hAnsi="Times New Roman"/>
          <w:sz w:val="17"/>
          <w:szCs w:val="17"/>
          <w:color w:val="auto"/>
        </w:rPr>
        <w:t>L4 autonomous driving technology is believed to improve safety, enhance travel experience and reduce operating costs, and has tremendous potential to be applied in many urban use cases. The most prominent areas of application include robotaxi services, robo logistics services and other services such as robobus and robo sanitation services. The commercialization of L4 and above autonomous driving use cases is projected to reach a total of US$1,523 billion globally and US$577 billion in mainland China, representing CAGRs of 150% and 150% from 2021 to 2030, respectively. Several of these use cases are already in the early stages of commercialization and are expected to see accelerated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1"/>
          <w:szCs w:val="11"/>
          <w:color w:val="auto"/>
        </w:rPr>
        <w:t>Source: CIC</w:t>
      </w:r>
    </w:p>
    <w:p>
      <w:pPr>
        <w:spacing w:after="0" w:line="1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1"/>
          <w:szCs w:val="11"/>
          <w:color w:val="auto"/>
        </w:rPr>
        <w:t>Notes:</w:t>
      </w:r>
    </w:p>
    <w:p>
      <w:pPr>
        <w:spacing w:after="0" w:line="117" w:lineRule="exact"/>
        <w:rPr>
          <w:sz w:val="20"/>
          <w:szCs w:val="20"/>
          <w:color w:val="auto"/>
        </w:rPr>
      </w:pPr>
    </w:p>
    <w:p>
      <w:pPr>
        <w:ind w:left="600" w:hanging="302"/>
        <w:spacing w:after="0"/>
        <w:tabs>
          <w:tab w:leader="none" w:pos="600"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Market size including all automation levels</w:t>
      </w:r>
    </w:p>
    <w:p>
      <w:pPr>
        <w:spacing w:after="0" w:line="116" w:lineRule="exact"/>
        <w:rPr>
          <w:rFonts w:ascii="Times New Roman" w:cs="Times New Roman" w:eastAsia="Times New Roman" w:hAnsi="Times New Roman"/>
          <w:sz w:val="11"/>
          <w:szCs w:val="11"/>
          <w:color w:val="auto"/>
        </w:rPr>
      </w:pPr>
    </w:p>
    <w:p>
      <w:pPr>
        <w:ind w:left="600" w:hanging="302"/>
        <w:spacing w:after="0"/>
        <w:tabs>
          <w:tab w:leader="none" w:pos="600"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Including robosweeper and other applications</w:t>
      </w:r>
    </w:p>
    <w:p>
      <w:pPr>
        <w:spacing w:after="0" w:line="116" w:lineRule="exact"/>
        <w:rPr>
          <w:rFonts w:ascii="Times New Roman" w:cs="Times New Roman" w:eastAsia="Times New Roman" w:hAnsi="Times New Roman"/>
          <w:sz w:val="11"/>
          <w:szCs w:val="11"/>
          <w:color w:val="auto"/>
        </w:rPr>
      </w:pPr>
    </w:p>
    <w:p>
      <w:pPr>
        <w:ind w:left="600" w:hanging="302"/>
        <w:spacing w:after="0"/>
        <w:tabs>
          <w:tab w:leader="none" w:pos="600"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Including robotaxis and robobuses</w:t>
      </w:r>
    </w:p>
    <w:p>
      <w:pPr>
        <w:spacing w:after="0" w:line="31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40"/>
          </w:cols>
          <w:pgMar w:left="320" w:top="455" w:right="7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453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44532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Value Proposition</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Our autonomous driving products and services address the most pressing concerns that are challenging the movement of people and things:</w:t>
      </w:r>
    </w:p>
    <w:p>
      <w:pPr>
        <w:spacing w:after="0" w:line="127" w:lineRule="exact"/>
        <w:rPr>
          <w:sz w:val="20"/>
          <w:szCs w:val="20"/>
          <w:color w:val="auto"/>
        </w:rPr>
      </w:pPr>
    </w:p>
    <w:p>
      <w:pPr>
        <w:ind w:left="1240" w:hanging="415"/>
        <w:spacing w:after="0"/>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Safety. We believe our autonomous driving technologies can meaningfully improve transportation safety. Approximately</w:t>
      </w:r>
    </w:p>
    <w:p>
      <w:pPr>
        <w:spacing w:after="0" w:line="31" w:lineRule="exact"/>
        <w:rPr>
          <w:rFonts w:ascii="Times New Roman" w:cs="Times New Roman" w:eastAsia="Times New Roman" w:hAnsi="Times New Roman"/>
          <w:sz w:val="18"/>
          <w:szCs w:val="18"/>
          <w:color w:val="auto"/>
        </w:rPr>
      </w:pPr>
    </w:p>
    <w:p>
      <w:pPr>
        <w:ind w:left="1240" w:right="220"/>
        <w:spacing w:after="0" w:line="27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b w:val="1"/>
          <w:bCs w:val="1"/>
          <w:i w:val="1"/>
          <w:iCs w:val="1"/>
          <w:color w:val="auto"/>
        </w:rPr>
        <w:t>43.2 million traffic accidents occur per year globally with over 90% attributable to human error. According to the Department of Motor Vehicles of the United States, L4 companies reported an average of less than 100 crashes per 100 million miles driven in 2021 compared with more than 500 crashes per 100 million miles for human drivers. Our autonomous driving vehicles have not caused any safety incidents as of the date of this prospectus after more than 1,100 days of commercial operations on open road.</w:t>
      </w:r>
    </w:p>
    <w:p>
      <w:pPr>
        <w:spacing w:after="0" w:line="73" w:lineRule="exact"/>
        <w:rPr>
          <w:rFonts w:ascii="Times New Roman" w:cs="Times New Roman" w:eastAsia="Times New Roman" w:hAnsi="Times New Roman"/>
          <w:sz w:val="18"/>
          <w:szCs w:val="18"/>
          <w:color w:val="auto"/>
        </w:rPr>
      </w:pPr>
    </w:p>
    <w:p>
      <w:pPr>
        <w:ind w:left="1240" w:right="20" w:hanging="415"/>
        <w:spacing w:after="0" w:line="26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Cost efficiency</w:t>
      </w:r>
      <w:r>
        <w:rPr>
          <w:rFonts w:ascii="Times New Roman" w:cs="Times New Roman" w:eastAsia="Times New Roman" w:hAnsi="Times New Roman"/>
          <w:sz w:val="18"/>
          <w:szCs w:val="18"/>
          <w:color w:val="auto"/>
        </w:rPr>
        <w:t>. Autonomous driving can reshape urban living and significantly improve unit economics through cost savings.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example, robotaxi platforms are estimated to have an extra gross margin headroom of at least 43% compared to traditional shared mobility platforms by 2027; robovans are estimated to have approximately 40% lower annual operating cost compared with traditional vans by 2025, each in mainland China.</w:t>
      </w:r>
    </w:p>
    <w:p>
      <w:pPr>
        <w:spacing w:after="0" w:line="81" w:lineRule="exact"/>
        <w:rPr>
          <w:rFonts w:ascii="Times New Roman" w:cs="Times New Roman" w:eastAsia="Times New Roman" w:hAnsi="Times New Roman"/>
          <w:sz w:val="18"/>
          <w:szCs w:val="18"/>
          <w:color w:val="auto"/>
        </w:rPr>
      </w:pPr>
    </w:p>
    <w:p>
      <w:pPr>
        <w:ind w:left="1240" w:right="80" w:hanging="415"/>
        <w:spacing w:after="0" w:line="278" w:lineRule="auto"/>
        <w:tabs>
          <w:tab w:leader="none" w:pos="1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Environmental and social impact</w:t>
      </w:r>
      <w:r>
        <w:rPr>
          <w:rFonts w:ascii="Times New Roman" w:cs="Times New Roman" w:eastAsia="Times New Roman" w:hAnsi="Times New Roman"/>
          <w:sz w:val="17"/>
          <w:szCs w:val="17"/>
          <w:color w:val="auto"/>
        </w:rPr>
        <w:t>. We are committed to building a more sustainable future and bringing positive changes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communities. Our autonomous driving technologies enable a more efficient transportation network with higher vehicle utilization and less congestion and alleviate any shortage of human drivers. Compared to human operations, L4 autonomous driving can deliver over 15% better fuel efficiency through optimized control which then leads to a measurable reduction in carbon emissions. Autonomous driving vehicles also render transportation more accessible to certain individuals, particularly people with mobility difficulties.</w:t>
      </w:r>
    </w:p>
    <w:p>
      <w:pPr>
        <w:spacing w:after="0" w:line="69" w:lineRule="exact"/>
        <w:rPr>
          <w:rFonts w:ascii="Times New Roman" w:cs="Times New Roman" w:eastAsia="Times New Roman" w:hAnsi="Times New Roman"/>
          <w:sz w:val="17"/>
          <w:szCs w:val="17"/>
          <w:color w:val="auto"/>
        </w:rPr>
      </w:pPr>
    </w:p>
    <w:p>
      <w:pPr>
        <w:ind w:left="1240" w:hanging="415"/>
        <w:spacing w:after="0" w:line="259"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Quality of life</w:t>
      </w:r>
      <w:r>
        <w:rPr>
          <w:rFonts w:ascii="Times New Roman" w:cs="Times New Roman" w:eastAsia="Times New Roman" w:hAnsi="Times New Roman"/>
          <w:sz w:val="18"/>
          <w:szCs w:val="18"/>
          <w:color w:val="auto"/>
        </w:rPr>
        <w:t>. Our autonomous driving technologies breathe life into the time spent in transit by removing the hours spent behind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wheels, which is estimated to equal 4.3 years of each driver’s lifetime on average, and enabling avenues for improved productivity and in-vehicle experience. Consumers are also expected to save around 20% to 30% of travel time as a result of L4 or above road automation. Brand new vehicle designs are made possible in the absence of driver seats, steering wheels and pedals and a driverless ride offers the greatest privacy on board.</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WeRide One</w:t>
      </w:r>
    </w:p>
    <w:p>
      <w:pPr>
        <w:spacing w:after="0" w:line="119" w:lineRule="exact"/>
        <w:rPr>
          <w:sz w:val="20"/>
          <w:szCs w:val="20"/>
          <w:color w:val="auto"/>
        </w:rPr>
      </w:pPr>
    </w:p>
    <w:p>
      <w:pPr>
        <w:ind w:left="300" w:right="160" w:firstLine="426"/>
        <w:spacing w:after="0" w:line="261" w:lineRule="auto"/>
        <w:rPr>
          <w:sz w:val="20"/>
          <w:szCs w:val="20"/>
          <w:color w:val="auto"/>
        </w:rPr>
      </w:pPr>
      <w:r>
        <w:rPr>
          <w:rFonts w:ascii="Times New Roman" w:cs="Times New Roman" w:eastAsia="Times New Roman" w:hAnsi="Times New Roman"/>
          <w:sz w:val="18"/>
          <w:szCs w:val="18"/>
          <w:color w:val="auto"/>
        </w:rPr>
        <w:t xml:space="preserve">We are the first to develop a universal autonomous driving technology platform,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 which can be directly applied in a wide range of urban-centered use cases integrating full-stack software algorithms, modularized hardware solutions and a cloud-based infrastructure platform. </w:t>
      </w:r>
      <w:r>
        <w:rPr>
          <w:rFonts w:ascii="Times New Roman" w:cs="Times New Roman" w:eastAsia="Times New Roman" w:hAnsi="Times New Roman"/>
          <w:sz w:val="18"/>
          <w:szCs w:val="18"/>
          <w:i w:val="1"/>
          <w:iCs w:val="1"/>
          <w:color w:val="auto"/>
        </w:rPr>
        <w:t xml:space="preserve">WeRide One </w:t>
      </w:r>
      <w:r>
        <w:rPr>
          <w:rFonts w:ascii="Times New Roman" w:cs="Times New Roman" w:eastAsia="Times New Roman" w:hAnsi="Times New Roman"/>
          <w:sz w:val="18"/>
          <w:szCs w:val="18"/>
          <w:color w:val="auto"/>
        </w:rPr>
        <w:t>applies to the largest number of proven use cases on open road and gives us a foundational advantage as compared with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competitors.</w:t>
      </w:r>
    </w:p>
    <w:p>
      <w:pPr>
        <w:spacing w:after="0" w:line="29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320" w:top="455" w:right="6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261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626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 xml:space="preserve">Below are the key features of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ind w:left="1240" w:hanging="415"/>
        <w:spacing w:after="0" w:line="254"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Universal Platform</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a one-for-all and all-for-one platform for urban autonomous driving. The universality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WeRide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 xml:space="preserve">One </w:t>
      </w:r>
      <w:r>
        <w:rPr>
          <w:rFonts w:ascii="Times New Roman" w:cs="Times New Roman" w:eastAsia="Times New Roman" w:hAnsi="Times New Roman"/>
          <w:sz w:val="18"/>
          <w:szCs w:val="18"/>
          <w:color w:val="auto"/>
        </w:rPr>
        <w:t>is manifested on both the software and hardware levels. Our vehicles are powered by substantially the same algorithms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enable vehicles with different sensor configurations to autonomously navigate in an urban environment. Specifically,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s perception model is trained to adapt to a wide range of sensor configurations and vehicle types, and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’s planning algorithms target general urban driving scenarios and can be flexibly deployed to suit multiple use cases.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s control algorithms are also applicable to many use cases. On the hardware level, the sensor suite can be easily configured for different vehicle types in a modular form while sharing more than 90% of their parts. The result is our algorithms and underlying infrastructure can self-improve faster based on feedback data from all of our existing autonomous driving use cases. It also allows our technology to easily adapt to new vehicle types and explore new applications.</w:t>
      </w:r>
    </w:p>
    <w:p>
      <w:pPr>
        <w:spacing w:after="0" w:line="93" w:lineRule="exact"/>
        <w:rPr>
          <w:rFonts w:ascii="Times New Roman" w:cs="Times New Roman" w:eastAsia="Times New Roman" w:hAnsi="Times New Roman"/>
          <w:sz w:val="18"/>
          <w:szCs w:val="18"/>
          <w:color w:val="auto"/>
        </w:rPr>
      </w:pPr>
    </w:p>
    <w:p>
      <w:pPr>
        <w:ind w:left="1240" w:right="60" w:hanging="415"/>
        <w:spacing w:after="0" w:line="257"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Self-Improving Algorithms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employs deep learning models designed in-house for perception, prediction, planning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control modules. Unlike algorithms based on predefined rules, these models are built to be able to self-improve based on input of driving data. We have also built a cloud-based data platform covering the full data feedback loop including the different stages of data processing, distributed model training, model verification, and model deployment systems. We have accumulated over 15 million kilometers of autonomous driving mileage. The models are automatically refreshed with new data and trained over a cloud-based distributed platform. The trained models are then verified and deployed to the whole fleet.</w:t>
      </w:r>
    </w:p>
    <w:p>
      <w:pPr>
        <w:spacing w:after="0" w:line="87" w:lineRule="exact"/>
        <w:rPr>
          <w:rFonts w:ascii="Times New Roman" w:cs="Times New Roman" w:eastAsia="Times New Roman" w:hAnsi="Times New Roman"/>
          <w:sz w:val="18"/>
          <w:szCs w:val="18"/>
          <w:color w:val="auto"/>
        </w:rPr>
      </w:pPr>
    </w:p>
    <w:p>
      <w:pPr>
        <w:jc w:val="both"/>
        <w:ind w:left="1240" w:right="40" w:hanging="415"/>
        <w:spacing w:after="0" w:line="262"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Fully Redundant System</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has full redundancy to ensure safety in both the software and hardware layers as well as 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operation level. We provide redundancy for sensors, computing units, communication networks, power supply units and drive-by-wire systems. The software system is safety-redundant not only at a system level – where a redundant software system runs on a redundant computing unit – but also at an algorithm level, significantly improving the reliability of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w:t>
      </w:r>
    </w:p>
    <w:p>
      <w:pPr>
        <w:spacing w:after="0" w:line="2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320" w:top="455" w:right="6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7186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47186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20"/>
        <w:spacing w:after="0" w:line="261" w:lineRule="auto"/>
        <w:rPr>
          <w:sz w:val="20"/>
          <w:szCs w:val="20"/>
          <w:color w:val="auto"/>
        </w:rPr>
      </w:pPr>
      <w:r>
        <w:rPr>
          <w:rFonts w:ascii="Times New Roman" w:cs="Times New Roman" w:eastAsia="Times New Roman" w:hAnsi="Times New Roman"/>
          <w:sz w:val="18"/>
          <w:szCs w:val="18"/>
          <w:color w:val="auto"/>
        </w:rPr>
        <w:t>We adopt causal prediction models and planning models which always ensure worst case handling capability while interacting with other road participants. Meanwhile, our remote assistance platform offers additional support to our autonomous driving vehicles amid complex road conditions. In addition to the uncompromising focus on safety benefits, our redundancy design also delivers an optimal level of comfort for people onboard.</w:t>
      </w:r>
    </w:p>
    <w:p>
      <w:pPr>
        <w:spacing w:after="0" w:line="17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 xml:space="preserve">Below are the key benefits of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 and our universal autonomous driving technology platform approach:</w:t>
      </w:r>
    </w:p>
    <w:p>
      <w:pPr>
        <w:spacing w:after="0" w:line="129" w:lineRule="exact"/>
        <w:rPr>
          <w:sz w:val="20"/>
          <w:szCs w:val="20"/>
          <w:color w:val="auto"/>
        </w:rPr>
      </w:pPr>
    </w:p>
    <w:p>
      <w:pPr>
        <w:ind w:left="1240" w:hanging="415"/>
        <w:spacing w:after="0" w:line="262"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Technological Leadership</w:t>
      </w:r>
      <w:r>
        <w:rPr>
          <w:rFonts w:ascii="Times New Roman" w:cs="Times New Roman" w:eastAsia="Times New Roman" w:hAnsi="Times New Roman"/>
          <w:sz w:val="18"/>
          <w:szCs w:val="18"/>
          <w:color w:val="auto"/>
        </w:rPr>
        <w:t xml:space="preserve">. We have developed an industry-leading technology framework across all algorithm stacks. Our self-improving algorithms can be trained by data collected across all use cases on our platform and their evolution is further accelerated by the universality of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This forms a virtuous cycle where the more data we collect from these different use cases, the better our algorithms become, which in turn enables us to expand our operations in existing and new use cases.</w:t>
      </w:r>
    </w:p>
    <w:p>
      <w:pPr>
        <w:spacing w:after="0" w:line="81" w:lineRule="exact"/>
        <w:rPr>
          <w:rFonts w:ascii="Times New Roman" w:cs="Times New Roman" w:eastAsia="Times New Roman" w:hAnsi="Times New Roman"/>
          <w:sz w:val="18"/>
          <w:szCs w:val="18"/>
          <w:color w:val="auto"/>
        </w:rPr>
      </w:pPr>
    </w:p>
    <w:p>
      <w:pPr>
        <w:ind w:left="1240" w:right="120" w:hanging="415"/>
        <w:spacing w:after="0" w:line="256"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Faster Commercialization</w:t>
      </w:r>
      <w:r>
        <w:rPr>
          <w:rFonts w:ascii="Times New Roman" w:cs="Times New Roman" w:eastAsia="Times New Roman" w:hAnsi="Times New Roman"/>
          <w:sz w:val="18"/>
          <w:szCs w:val="18"/>
          <w:color w:val="auto"/>
        </w:rPr>
        <w:t>. We have taken advantage of the similarity in the operating requirements of robobuses, robovans,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robosweepers as compared with robotaxis to be able to commercialize our products faster than other L4 players. We benefit from the economies of scale, operating experience, brand reputation, income, business and other relationships as well as the technical improvement that we have acquired from these early commercialized use cases while remaining focused on improving our robotaxi product. As an example, we secured the first commercial project for our robobus and robosweeper four months after their respective launches and quickly became a leading player in the global market. We believe our technology and product advantages enable us to achieve commercially viable operations ahead of our peers.</w:t>
      </w:r>
    </w:p>
    <w:p>
      <w:pPr>
        <w:spacing w:after="0" w:line="88" w:lineRule="exact"/>
        <w:rPr>
          <w:rFonts w:ascii="Times New Roman" w:cs="Times New Roman" w:eastAsia="Times New Roman" w:hAnsi="Times New Roman"/>
          <w:sz w:val="18"/>
          <w:szCs w:val="18"/>
          <w:color w:val="auto"/>
        </w:rPr>
      </w:pPr>
    </w:p>
    <w:p>
      <w:pPr>
        <w:ind w:left="1240" w:right="20" w:hanging="415"/>
        <w:spacing w:after="0" w:line="257"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Cost Efficiency Across Multiple Use Cases.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developed to handle a vast range of urban use cases including urban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mobility, logistics and other urban services. The technical capability we have acquired in urban use cases allows us to explore applications that come with different operating environments and has enabled us to make a foray into ADAS solutions. Our investment in building a universal autonomous driving technology platform has also helped us achieve a high level of commonality in software and hardware across our products, which in turn allows us to enjoy higher supply chain efficiencies and expand into new use cases with lowered R&amp;D, operating and production costs in the long run.</w:t>
      </w:r>
    </w:p>
    <w:p>
      <w:pPr>
        <w:spacing w:after="0" w:line="2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Wide-ranging Products and Services</w:t>
      </w:r>
    </w:p>
    <w:p>
      <w:pPr>
        <w:spacing w:after="0" w:line="119" w:lineRule="exact"/>
        <w:rPr>
          <w:sz w:val="20"/>
          <w:szCs w:val="20"/>
          <w:color w:val="auto"/>
        </w:rPr>
      </w:pPr>
    </w:p>
    <w:p>
      <w:pPr>
        <w:ind w:left="300" w:right="340" w:firstLine="426"/>
        <w:spacing w:after="0" w:line="267" w:lineRule="auto"/>
        <w:rPr>
          <w:sz w:val="20"/>
          <w:szCs w:val="20"/>
          <w:color w:val="auto"/>
        </w:rPr>
      </w:pPr>
      <w:r>
        <w:rPr>
          <w:rFonts w:ascii="Times New Roman" w:cs="Times New Roman" w:eastAsia="Times New Roman" w:hAnsi="Times New Roman"/>
          <w:sz w:val="18"/>
          <w:szCs w:val="18"/>
          <w:color w:val="auto"/>
        </w:rPr>
        <w:t xml:space="preserve">The adaptability of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 enables us to develop a wide range of use cases, including mobility, logistics and sanitation, and commercialize our leading technology ahead of our peers. From there, we have set out on a journey that goes from development, validation, to launch and expansion.</w:t>
      </w:r>
    </w:p>
    <w:p>
      <w:pPr>
        <w:spacing w:after="0" w:line="17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diagram below illustrates our product development roadmap and key commercialization milestones:</w:t>
      </w:r>
    </w:p>
    <w:p>
      <w:pPr>
        <w:spacing w:after="0" w:line="33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00"/>
          </w:cols>
          <w:pgMar w:left="320" w:top="455" w:right="6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7118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71189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t>Product Roadmap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139"/>
          </w:cols>
          <w:pgMar w:left="320" w:top="455"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105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Go-to-Market Strategy</w:t>
      </w:r>
    </w:p>
    <w:p>
      <w:pPr>
        <w:spacing w:after="0" w:line="121" w:lineRule="exact"/>
        <w:rPr>
          <w:sz w:val="20"/>
          <w:szCs w:val="20"/>
          <w:color w:val="auto"/>
        </w:rPr>
      </w:pPr>
    </w:p>
    <w:p>
      <w:pPr>
        <w:ind w:left="300" w:right="20" w:firstLine="426"/>
        <w:spacing w:after="0" w:line="261" w:lineRule="auto"/>
        <w:rPr>
          <w:sz w:val="20"/>
          <w:szCs w:val="20"/>
          <w:color w:val="auto"/>
        </w:rPr>
      </w:pPr>
      <w:r>
        <w:rPr>
          <w:rFonts w:ascii="Times New Roman" w:cs="Times New Roman" w:eastAsia="Times New Roman" w:hAnsi="Times New Roman"/>
          <w:sz w:val="18"/>
          <w:szCs w:val="18"/>
          <w:color w:val="auto"/>
        </w:rPr>
        <w:t>Our go-to-market strategy is rooted in a commitment to address real world problems. We follow a pragmatic and balanced approach towards product and service development and commercialization. We understand the needs of our customers and focus on building commercially viable products and services, which in turn accelerates the public adoption of autonomous driving vehicles. We intend to adopt an asset-light model across our different business lines.</w:t>
      </w:r>
    </w:p>
    <w:p>
      <w:pPr>
        <w:spacing w:after="0" w:line="81" w:lineRule="exact"/>
        <w:rPr>
          <w:sz w:val="20"/>
          <w:szCs w:val="20"/>
          <w:color w:val="auto"/>
        </w:rPr>
      </w:pPr>
    </w:p>
    <w:p>
      <w:pPr>
        <w:ind w:left="1240" w:hanging="415"/>
        <w:spacing w:after="0" w:line="256"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Robotaxi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Robotaxi is our debut use case. We provide robotaxi services through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WeRide Go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 our own shared mobility network.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We partner with leading OEMs to develop and sell robotaxis that are operated on </w:t>
      </w:r>
      <w:r>
        <w:rPr>
          <w:rFonts w:ascii="Times New Roman" w:cs="Times New Roman" w:eastAsia="Times New Roman" w:hAnsi="Times New Roman"/>
          <w:sz w:val="18"/>
          <w:szCs w:val="18"/>
          <w:i w:val="1"/>
          <w:iCs w:val="1"/>
          <w:color w:val="auto"/>
        </w:rPr>
        <w:t>WeRide Go</w:t>
      </w:r>
      <w:r>
        <w:rPr>
          <w:rFonts w:ascii="Times New Roman" w:cs="Times New Roman" w:eastAsia="Times New Roman" w:hAnsi="Times New Roman"/>
          <w:sz w:val="18"/>
          <w:szCs w:val="18"/>
          <w:color w:val="auto"/>
        </w:rPr>
        <w:t xml:space="preserve">. In addition to our product revenue, we also generate revenue from the offering of robotaxi rides through </w:t>
      </w:r>
      <w:r>
        <w:rPr>
          <w:rFonts w:ascii="Times New Roman" w:cs="Times New Roman" w:eastAsia="Times New Roman" w:hAnsi="Times New Roman"/>
          <w:sz w:val="18"/>
          <w:szCs w:val="18"/>
          <w:i w:val="1"/>
          <w:iCs w:val="1"/>
          <w:color w:val="auto"/>
        </w:rPr>
        <w:t>WeRide Go</w:t>
      </w:r>
      <w:r>
        <w:rPr>
          <w:rFonts w:ascii="Times New Roman" w:cs="Times New Roman" w:eastAsia="Times New Roman" w:hAnsi="Times New Roman"/>
          <w:sz w:val="18"/>
          <w:szCs w:val="18"/>
          <w:color w:val="auto"/>
        </w:rPr>
        <w:t>. Today, we operate one of the world’s largest open-to-public paid robotaxi fleet. We have operated paid robotaxi services to the public in populated downtown areas in Guangzhou, China since November 2019 and our robotaxis have completed more than 1,100 days of commercial operations on open road. We aim to commence commercial production of our robotaxis and achieve readiness for large-scale commercialization in 2024 and 2025, respectively.</w:t>
      </w:r>
    </w:p>
    <w:p>
      <w:pPr>
        <w:spacing w:after="0" w:line="88" w:lineRule="exact"/>
        <w:rPr>
          <w:rFonts w:ascii="Times New Roman" w:cs="Times New Roman" w:eastAsia="Times New Roman" w:hAnsi="Times New Roman"/>
          <w:sz w:val="18"/>
          <w:szCs w:val="18"/>
          <w:color w:val="auto"/>
        </w:rPr>
      </w:pPr>
    </w:p>
    <w:p>
      <w:pPr>
        <w:ind w:left="1240" w:right="60" w:hanging="415"/>
        <w:spacing w:after="0" w:line="259"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Robobus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were the first company in the world to develop a purpose-built L4 robobus designed for open road and launch driverless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robobus service to the public. We work with Yutong to manufacture our robobus. Our business model is primarily to sell robobuses to local transportation service providers and provide them with support for the operation of these vehicles. As of December 31, 2022, we had produced over 200 robobuses in partnership with Yutong which had been deployed to run commercial pilots in 18 cities in China and the Middle East.</w:t>
      </w:r>
    </w:p>
    <w:p>
      <w:pPr>
        <w:spacing w:after="0" w:line="84" w:lineRule="exact"/>
        <w:rPr>
          <w:rFonts w:ascii="Times New Roman" w:cs="Times New Roman" w:eastAsia="Times New Roman" w:hAnsi="Times New Roman"/>
          <w:sz w:val="18"/>
          <w:szCs w:val="18"/>
          <w:color w:val="auto"/>
        </w:rPr>
      </w:pPr>
    </w:p>
    <w:p>
      <w:pPr>
        <w:ind w:left="1240" w:right="60" w:hanging="415"/>
        <w:spacing w:after="0" w:line="259"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Robovan. </w:t>
      </w:r>
      <w:r>
        <w:rPr>
          <w:rFonts w:ascii="Times New Roman" w:cs="Times New Roman" w:eastAsia="Times New Roman" w:hAnsi="Times New Roman"/>
          <w:sz w:val="18"/>
          <w:szCs w:val="18"/>
          <w:color w:val="auto"/>
        </w:rPr>
        <w:t>We launched the world’s first L4 robovan dedicated to intra-city delivery of goods in urban cities in September 2021.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partner with leading global OEMs, such as JMC-Ford Motors, in the manufacturing of our robovans. We have commenced road testing for our robovans and have reached an understanding with ZTO, a leading express delivery company, regarding future orders of our robovan. We adopt a flexible business model where we sell our robovan to our customers and also provide autonomous freight-as-a-service to them. We have received conditional orders for over 10,000 units of our robovan.</w:t>
      </w:r>
    </w:p>
    <w:p>
      <w:pPr>
        <w:spacing w:after="0" w:line="84" w:lineRule="exact"/>
        <w:rPr>
          <w:rFonts w:ascii="Times New Roman" w:cs="Times New Roman" w:eastAsia="Times New Roman" w:hAnsi="Times New Roman"/>
          <w:sz w:val="18"/>
          <w:szCs w:val="18"/>
          <w:color w:val="auto"/>
        </w:rPr>
      </w:pPr>
    </w:p>
    <w:p>
      <w:pPr>
        <w:ind w:left="1240" w:right="140" w:hanging="415"/>
        <w:spacing w:after="0" w:line="259"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Robosweeper. </w:t>
      </w:r>
      <w:r>
        <w:rPr>
          <w:rFonts w:ascii="Times New Roman" w:cs="Times New Roman" w:eastAsia="Times New Roman" w:hAnsi="Times New Roman"/>
          <w:sz w:val="18"/>
          <w:szCs w:val="18"/>
          <w:color w:val="auto"/>
        </w:rPr>
        <w:t>We have developed the world’s first purpose-built robosweeper designed for open road, featuring a fully driverless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design and a large tank volume of six tons. Our business model is primarily to provide robo road cleaning services and sell our robosweepers to public cleaning service providers. Our robosweeper has entered commercial production since the first half of 2022. We have successfully rolled out fee-charging large-scale commercial pilots with a fleet of more than 50 robosweepers in Guangzhou, China since 2022, while covering a testing and operational area totaling 800 square kilometers.</w:t>
      </w:r>
    </w:p>
    <w:p>
      <w:pPr>
        <w:spacing w:after="0" w:line="84" w:lineRule="exact"/>
        <w:rPr>
          <w:rFonts w:ascii="Times New Roman" w:cs="Times New Roman" w:eastAsia="Times New Roman" w:hAnsi="Times New Roman"/>
          <w:sz w:val="18"/>
          <w:szCs w:val="18"/>
          <w:color w:val="auto"/>
        </w:rPr>
      </w:pPr>
    </w:p>
    <w:p>
      <w:pPr>
        <w:ind w:left="1240" w:right="60" w:hanging="415"/>
        <w:spacing w:after="0" w:line="262"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ADAS solutions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leadership in L4 autonomous driving technology has also positioned us well for the development of cutting-edge ADAS solutions which are enjoying a booming market. We formed a strategic partnership with the largest Tier 1 supplier under which we, as a Tier 2 supplier, provide key technologies and ecosystem support. The partnership is expected to bring a state-of-the-art ADAS solution to the market in 2023.</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Strengths</w:t>
      </w:r>
    </w:p>
    <w:p>
      <w:pPr>
        <w:spacing w:after="0" w:line="131" w:lineRule="exact"/>
        <w:rPr>
          <w:sz w:val="20"/>
          <w:szCs w:val="20"/>
          <w:color w:val="auto"/>
        </w:rPr>
      </w:pPr>
    </w:p>
    <w:p>
      <w:pPr>
        <w:ind w:left="1240" w:right="180" w:hanging="415"/>
        <w:spacing w:after="0" w:line="262"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Successful and sustainable business model. </w:t>
      </w:r>
      <w:r>
        <w:rPr>
          <w:rFonts w:ascii="Times New Roman" w:cs="Times New Roman" w:eastAsia="Times New Roman" w:hAnsi="Times New Roman"/>
          <w:sz w:val="18"/>
          <w:szCs w:val="18"/>
          <w:color w:val="auto"/>
        </w:rPr>
        <w:t>We are the most commercially successful L4 autonomous driving company globally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measured by our commercialization revenue in 2021 and 2022. We have delivered consistent growth underpinned by the maturity of our products and demonstrated our ability to continually and successfully develop autonomous driving products and services. Our revenue grew 659.3% to RMB138.2 million (US$20.6 million) in 2021 as compared with 2020. For the six months</w:t>
      </w:r>
    </w:p>
    <w:p>
      <w:pPr>
        <w:spacing w:after="0" w:line="2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40"/>
          </w:cols>
          <w:pgMar w:left="320" w:top="455" w:right="6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331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58331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1240" w:right="180"/>
        <w:spacing w:after="0" w:line="266" w:lineRule="auto"/>
        <w:rPr>
          <w:sz w:val="20"/>
          <w:szCs w:val="20"/>
          <w:color w:val="auto"/>
        </w:rPr>
      </w:pPr>
      <w:r>
        <w:rPr>
          <w:rFonts w:ascii="Times New Roman" w:cs="Times New Roman" w:eastAsia="Times New Roman" w:hAnsi="Times New Roman"/>
          <w:sz w:val="18"/>
          <w:szCs w:val="18"/>
          <w:color w:val="auto"/>
        </w:rPr>
        <w:t>ended June 30, 2022, our revenue was RMB139.7 million (US$20.9 million), representing a 463.3% increase compared to the same period in 2021. Besides our growth momentum, we have also managed our resources effectively and have maintained a sustainable cash runway that will allow us to grow organically for at least the next five years.</w:t>
      </w:r>
    </w:p>
    <w:p>
      <w:pPr>
        <w:spacing w:after="0" w:line="77" w:lineRule="exact"/>
        <w:rPr>
          <w:sz w:val="20"/>
          <w:szCs w:val="20"/>
          <w:color w:val="auto"/>
        </w:rPr>
      </w:pPr>
    </w:p>
    <w:p>
      <w:pPr>
        <w:ind w:left="1240" w:right="120" w:hanging="415"/>
        <w:spacing w:after="0" w:line="257" w:lineRule="auto"/>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Leader and first mover. </w:t>
      </w:r>
      <w:r>
        <w:rPr>
          <w:rFonts w:ascii="Times New Roman" w:cs="Times New Roman" w:eastAsia="Times New Roman" w:hAnsi="Times New Roman"/>
          <w:sz w:val="18"/>
          <w:szCs w:val="18"/>
          <w:color w:val="auto"/>
        </w:rPr>
        <w:t>We are a global leader in the L4 autonomous driving industry and we have achieved many first-of-its-kind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milestones. As an early mover, we hold significant competitive advantages over new market entrants. Our technologies, talent, economies of scale, and partnerships are our strongest moat. There is simply no shortcutting the extensive amount of time and resources we have dedicated to our venture, or the mileage, training, and knowledge we have amassed along the way. As a result, we believe we will be able to maintain our advantages over other market participants and our leadership in the commercialization of autonomous driving technology.</w:t>
      </w:r>
    </w:p>
    <w:p>
      <w:pPr>
        <w:spacing w:after="0" w:line="87" w:lineRule="exact"/>
        <w:rPr>
          <w:rFonts w:ascii="Times New Roman" w:cs="Times New Roman" w:eastAsia="Times New Roman" w:hAnsi="Times New Roman"/>
          <w:sz w:val="18"/>
          <w:szCs w:val="18"/>
          <w:color w:val="auto"/>
        </w:rPr>
      </w:pPr>
    </w:p>
    <w:p>
      <w:pPr>
        <w:ind w:left="1240" w:right="40" w:hanging="415"/>
        <w:spacing w:after="0" w:line="256" w:lineRule="auto"/>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Universal and scalable technology platform.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a market-proven universal autonomous driving technology platform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the development of autonomous driving vehicles that provide mobility, logistics, and other urban services. It can be widely adapted to different use cases with minimum configuration adjustments. With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we have been able to reduce the time to market needed for us to break into a new vertical and we have launched a broad variety of autonomous products for open road</w:t>
      </w:r>
      <w:r>
        <w:rPr>
          <w:rFonts w:ascii="Times New Roman" w:cs="Times New Roman" w:eastAsia="Times New Roman" w:hAnsi="Times New Roman"/>
          <w:sz w:val="18"/>
          <w:szCs w:val="18"/>
          <w:i w:val="1"/>
          <w:iCs w:val="1"/>
          <w:color w:val="auto"/>
        </w:rPr>
        <w:t>. WeRide One</w:t>
      </w:r>
      <w:r>
        <w:rPr>
          <w:rFonts w:ascii="Times New Roman" w:cs="Times New Roman" w:eastAsia="Times New Roman" w:hAnsi="Times New Roman"/>
          <w:sz w:val="18"/>
          <w:szCs w:val="18"/>
          <w:color w:val="auto"/>
        </w:rPr>
        <w:t xml:space="preserve"> creates synergies across different vehicle types, allowing us to enjoy network effects of data access and algorithm training across different use cases. This in turn enables us to maintain our technological leadership, lower research and development costs, improve operational and supply chain efficiency and achieve faster commercialization.</w:t>
      </w:r>
    </w:p>
    <w:p>
      <w:pPr>
        <w:spacing w:after="0" w:line="88" w:lineRule="exact"/>
        <w:rPr>
          <w:rFonts w:ascii="Times New Roman" w:cs="Times New Roman" w:eastAsia="Times New Roman" w:hAnsi="Times New Roman"/>
          <w:sz w:val="18"/>
          <w:szCs w:val="18"/>
          <w:color w:val="auto"/>
        </w:rPr>
      </w:pPr>
    </w:p>
    <w:p>
      <w:pPr>
        <w:ind w:left="1240" w:hanging="415"/>
        <w:spacing w:after="0" w:line="256" w:lineRule="auto"/>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Visionary management and world-class team</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believe talent is the foundation of our core competencies. We are led by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founder and CEO, Dr. Tony Xu Han, a world-class autonomous driving expert who has been instrumental in attracting and training global talent as well as fostering a culture of technical excellence and innovation. He was the former chief scientist of Baidu’s autonomous driving unit and a tenured professor with more than 20 years of experience in computer vision and machine learning. Our management team has a combination of deep technological expertise and market savviness, focused on delivering real-world solutions for our customers and users today. As of December 31, 2022, we have built a strong team of 639 employees, approximately 80% of whom are R&amp;D staff including top-notch engineers and autonomous driving scientists.</w:t>
      </w:r>
    </w:p>
    <w:p>
      <w:pPr>
        <w:spacing w:after="0" w:line="88" w:lineRule="exact"/>
        <w:rPr>
          <w:rFonts w:ascii="Times New Roman" w:cs="Times New Roman" w:eastAsia="Times New Roman" w:hAnsi="Times New Roman"/>
          <w:sz w:val="18"/>
          <w:szCs w:val="18"/>
          <w:color w:val="auto"/>
        </w:rPr>
      </w:pPr>
    </w:p>
    <w:p>
      <w:pPr>
        <w:ind w:left="1240" w:hanging="415"/>
        <w:spacing w:after="0" w:line="262" w:lineRule="auto"/>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Strong partners and investors across value chain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partnerships with key ecosystem participants accelerate the commercialization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our technology. We have forged strong alliances with world-class vehicle manufacturers, Tier 1 suppliers, logistics and urban service providers, and others. We are supported by blue-chip investors who provide significant business and financial resources and give us a strong financial position.</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Strategies</w:t>
      </w:r>
    </w:p>
    <w:p>
      <w:pPr>
        <w:spacing w:after="0" w:line="121" w:lineRule="exact"/>
        <w:rPr>
          <w:sz w:val="20"/>
          <w:szCs w:val="20"/>
          <w:color w:val="auto"/>
        </w:rPr>
      </w:pPr>
    </w:p>
    <w:p>
      <w:pPr>
        <w:ind w:left="300" w:right="140" w:firstLine="426"/>
        <w:spacing w:after="0" w:line="266" w:lineRule="auto"/>
        <w:rPr>
          <w:sz w:val="20"/>
          <w:szCs w:val="20"/>
          <w:color w:val="auto"/>
        </w:rPr>
      </w:pPr>
      <w:r>
        <w:rPr>
          <w:rFonts w:ascii="Times New Roman" w:cs="Times New Roman" w:eastAsia="Times New Roman" w:hAnsi="Times New Roman"/>
          <w:sz w:val="18"/>
          <w:szCs w:val="18"/>
          <w:color w:val="auto"/>
        </w:rPr>
        <w:t>To fulfill our mission of transforming urban living with autonomous driving, we guide the development of our technology with pragmatism so that it can be deployed to address challenges in the real world and validated through actual commercial operations. We plan to achieve this through several strategies:</w:t>
      </w:r>
    </w:p>
    <w:p>
      <w:pPr>
        <w:spacing w:after="0" w:line="77" w:lineRule="exact"/>
        <w:rPr>
          <w:sz w:val="20"/>
          <w:szCs w:val="20"/>
          <w:color w:val="auto"/>
        </w:rPr>
      </w:pPr>
    </w:p>
    <w:p>
      <w:pPr>
        <w:ind w:left="1240" w:right="260" w:hanging="415"/>
        <w:spacing w:after="0" w:line="259" w:lineRule="auto"/>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Grow business to reach large-scale commercialization. </w:t>
      </w:r>
      <w:r>
        <w:rPr>
          <w:rFonts w:ascii="Times New Roman" w:cs="Times New Roman" w:eastAsia="Times New Roman" w:hAnsi="Times New Roman"/>
          <w:sz w:val="18"/>
          <w:szCs w:val="18"/>
          <w:color w:val="auto"/>
        </w:rPr>
        <w:t>We are one of the few autonomous driving companies globally that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reached the driverless milestone, an important first step in achieving large-scale commercialization. We are offering driverless robotaxis rides in three cities globally. We have launched driverless robobus services to the public, most recently in Beijing and Shenzhen, China. We achieved driverless operations for our robosweepers. Going forward, we intend to build on our technological and business milestones as a global leader to advance towards full commercialization across all use cases.</w:t>
      </w:r>
    </w:p>
    <w:p>
      <w:pPr>
        <w:spacing w:after="0" w:line="29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00"/>
          </w:cols>
          <w:pgMar w:left="320" w:top="455" w:right="6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20358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8970" cy="203581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1240" w:hanging="415"/>
        <w:spacing w:after="0" w:line="259" w:lineRule="auto"/>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Continue to strengthen our technology. </w:t>
      </w:r>
      <w:r>
        <w:rPr>
          <w:rFonts w:ascii="Times New Roman" w:cs="Times New Roman" w:eastAsia="Times New Roman" w:hAnsi="Times New Roman"/>
          <w:sz w:val="18"/>
          <w:szCs w:val="18"/>
          <w:color w:val="auto"/>
        </w:rPr>
        <w:t>We will continue to innovate and maintain our leadership in autonomous driving technology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by improving our algorithms and by refining and building up the technical maturity of our autonomous driving products. We will take advantage of our large and expanding fleet of autonomous driving vehicles and the significant amount of corner cases and training data collected to further enhance the software and hardware of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We plan to continue to recruit top-notch industry talent for these purposes.</w:t>
      </w:r>
    </w:p>
    <w:p>
      <w:pPr>
        <w:spacing w:after="0" w:line="84" w:lineRule="exact"/>
        <w:rPr>
          <w:rFonts w:ascii="Times New Roman" w:cs="Times New Roman" w:eastAsia="Times New Roman" w:hAnsi="Times New Roman"/>
          <w:sz w:val="18"/>
          <w:szCs w:val="18"/>
          <w:color w:val="auto"/>
        </w:rPr>
      </w:pPr>
    </w:p>
    <w:p>
      <w:pPr>
        <w:ind w:left="1240" w:hanging="415"/>
        <w:spacing w:after="0" w:line="262" w:lineRule="auto"/>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Lower cost and improve operational efficiency. </w:t>
      </w:r>
      <w:r>
        <w:rPr>
          <w:rFonts w:ascii="Times New Roman" w:cs="Times New Roman" w:eastAsia="Times New Roman" w:hAnsi="Times New Roman"/>
          <w:sz w:val="18"/>
          <w:szCs w:val="18"/>
          <w:color w:val="auto"/>
        </w:rPr>
        <w:t>The ability to lower cost and improve operational efficiency is crucial to long-term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success in our industry. We enjoy economies of scale from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 which allows us to expand in a fast and cost-efficient manner. We expect to lower our hardware and operating costs by a meaningful extent and achieve operational efficiency as we increase the volume of our autonomous driving vehicles and expand the scale of our autonomous driving services.</w:t>
      </w:r>
    </w:p>
    <w:p>
      <w:pPr>
        <w:spacing w:after="0" w:line="81" w:lineRule="exact"/>
        <w:rPr>
          <w:rFonts w:ascii="Times New Roman" w:cs="Times New Roman" w:eastAsia="Times New Roman" w:hAnsi="Times New Roman"/>
          <w:sz w:val="18"/>
          <w:szCs w:val="18"/>
          <w:color w:val="auto"/>
        </w:rPr>
      </w:pPr>
    </w:p>
    <w:p>
      <w:pPr>
        <w:jc w:val="both"/>
        <w:ind w:left="1240" w:right="60" w:hanging="415"/>
        <w:spacing w:after="0" w:line="268" w:lineRule="auto"/>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 global presence. </w:t>
      </w:r>
      <w:r>
        <w:rPr>
          <w:rFonts w:ascii="Times New Roman" w:cs="Times New Roman" w:eastAsia="Times New Roman" w:hAnsi="Times New Roman"/>
          <w:sz w:val="18"/>
          <w:szCs w:val="18"/>
          <w:color w:val="auto"/>
        </w:rPr>
        <w:t>We intend to transform mobility and urban services around the world. To date, we have etched our name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Asia, the Middle East, and North America. Leveraging our success in China, we plan to establish a larger presence internationally by providing our robust autonomous driving products and services with compelling value propositions.</w:t>
      </w:r>
    </w:p>
    <w:p>
      <w:pPr>
        <w:spacing w:after="0" w:line="28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60"/>
          </w:cols>
          <w:pgMar w:left="320" w:top="455" w:right="7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5017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8970" cy="65017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21" w:lineRule="exact"/>
        <w:rPr>
          <w:sz w:val="20"/>
          <w:szCs w:val="20"/>
          <w:color w:val="auto"/>
        </w:rPr>
      </w:pPr>
    </w:p>
    <w:p>
      <w:pPr>
        <w:jc w:val="both"/>
        <w:ind w:left="300" w:right="420" w:firstLine="426"/>
        <w:spacing w:after="0" w:line="266" w:lineRule="auto"/>
        <w:rPr>
          <w:sz w:val="20"/>
          <w:szCs w:val="20"/>
          <w:color w:val="auto"/>
        </w:rPr>
      </w:pPr>
      <w:r>
        <w:rPr>
          <w:rFonts w:ascii="Times New Roman" w:cs="Times New Roman" w:eastAsia="Times New Roman" w:hAnsi="Times New Roman"/>
          <w:sz w:val="18"/>
          <w:szCs w:val="18"/>
          <w:color w:val="auto"/>
        </w:rPr>
        <w:t>Investing in our Class A ordinary shares or ADSs involves significant risks. You should carefully consider all of the information in this prospectus before making an investment in our Class A ordinary shares or ADSs. Below please find a summary of the principal risks we face, organized under relevant headings. These risks are discussed more fully in the section titled “Risk Factors.”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Risks and uncertainties related to our business and industry include, but are not limited to, the following:</w:t>
      </w:r>
    </w:p>
    <w:p>
      <w:pPr>
        <w:spacing w:after="0" w:line="131" w:lineRule="exact"/>
        <w:rPr>
          <w:sz w:val="20"/>
          <w:szCs w:val="20"/>
          <w:color w:val="auto"/>
        </w:rPr>
      </w:pPr>
    </w:p>
    <w:p>
      <w:pPr>
        <w:ind w:left="1240" w:right="200" w:hanging="415"/>
        <w:spacing w:after="0" w:line="282" w:lineRule="auto"/>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company with a limited operating history and financial track record in the emerging and fast-evolving autonomous driving industry, which involves significant risks and uncertainties.</w:t>
      </w:r>
    </w:p>
    <w:p>
      <w:pPr>
        <w:spacing w:after="0" w:line="67" w:lineRule="exact"/>
        <w:rPr>
          <w:rFonts w:ascii="Times New Roman" w:cs="Times New Roman" w:eastAsia="Times New Roman" w:hAnsi="Times New Roman"/>
          <w:sz w:val="18"/>
          <w:szCs w:val="18"/>
          <w:color w:val="auto"/>
        </w:rPr>
      </w:pPr>
    </w:p>
    <w:p>
      <w:pPr>
        <w:jc w:val="both"/>
        <w:ind w:left="1240" w:right="360" w:hanging="415"/>
        <w:spacing w:after="0" w:line="312" w:lineRule="auto"/>
        <w:tabs>
          <w:tab w:leader="none" w:pos="12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Autonomous driving technology is an emerging technology, and we face significant challenges to develop and commercialize our technology. Our technology may not perform as well as we expect or take us longer to commercialize than is currently projected.</w:t>
      </w:r>
    </w:p>
    <w:p>
      <w:pPr>
        <w:spacing w:after="0" w:line="45" w:lineRule="exact"/>
        <w:rPr>
          <w:rFonts w:ascii="Times New Roman" w:cs="Times New Roman" w:eastAsia="Times New Roman" w:hAnsi="Times New Roman"/>
          <w:sz w:val="17"/>
          <w:szCs w:val="17"/>
          <w:color w:val="auto"/>
        </w:rPr>
      </w:pPr>
    </w:p>
    <w:p>
      <w:pPr>
        <w:ind w:left="1240" w:hanging="415"/>
        <w:spacing w:after="0" w:line="282" w:lineRule="auto"/>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model has yet to be tested, and any failure to commercialize our strategic plans, technologies, products or services would have an adverse effect on our operating results and business.</w:t>
      </w:r>
    </w:p>
    <w:p>
      <w:pPr>
        <w:spacing w:after="0" w:line="67" w:lineRule="exact"/>
        <w:rPr>
          <w:rFonts w:ascii="Times New Roman" w:cs="Times New Roman" w:eastAsia="Times New Roman" w:hAnsi="Times New Roman"/>
          <w:sz w:val="18"/>
          <w:szCs w:val="18"/>
          <w:color w:val="auto"/>
        </w:rPr>
      </w:pPr>
    </w:p>
    <w:p>
      <w:pPr>
        <w:ind w:left="1240" w:right="200" w:hanging="415"/>
        <w:spacing w:after="0" w:line="266" w:lineRule="auto"/>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market for autonomous driving products and services is relatively new and disruptive, if our autonomous driving products and services fail to gain acceptance from the general public, our target customers, users or other stakeholders, or fail to do so at the pace we expect, our business, prospects, operating results and financial condition could be materially harmed</w:t>
      </w:r>
    </w:p>
    <w:p>
      <w:pPr>
        <w:spacing w:after="0" w:line="81" w:lineRule="exact"/>
        <w:rPr>
          <w:rFonts w:ascii="Times New Roman" w:cs="Times New Roman" w:eastAsia="Times New Roman" w:hAnsi="Times New Roman"/>
          <w:sz w:val="18"/>
          <w:szCs w:val="18"/>
          <w:color w:val="auto"/>
        </w:rPr>
      </w:pPr>
    </w:p>
    <w:p>
      <w:pPr>
        <w:ind w:left="1240" w:right="340" w:hanging="415"/>
        <w:spacing w:after="0" w:line="282" w:lineRule="auto"/>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making, and expect to continue to make in the foreseeable future, substantial investments in developing new offerings and technologies. These new initiatives are inherently risky, and we may not realize the expected benefits from them.</w:t>
      </w:r>
    </w:p>
    <w:p>
      <w:pPr>
        <w:spacing w:after="0" w:line="67" w:lineRule="exact"/>
        <w:rPr>
          <w:rFonts w:ascii="Times New Roman" w:cs="Times New Roman" w:eastAsia="Times New Roman" w:hAnsi="Times New Roman"/>
          <w:sz w:val="18"/>
          <w:szCs w:val="18"/>
          <w:color w:val="auto"/>
        </w:rPr>
      </w:pPr>
    </w:p>
    <w:p>
      <w:pPr>
        <w:jc w:val="both"/>
        <w:ind w:left="1240" w:right="120" w:hanging="415"/>
        <w:spacing w:after="0" w:line="266" w:lineRule="auto"/>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are subject to extensive and evolving governmental regulations that could impose substantial costs, legal prohibitions or unfavorable changes upon our operations, and we may incur material liabilities under, or costs in order to comply with, existing or future laws and regulations.</w:t>
      </w:r>
    </w:p>
    <w:p>
      <w:pPr>
        <w:spacing w:after="0" w:line="81" w:lineRule="exact"/>
        <w:rPr>
          <w:rFonts w:ascii="Times New Roman" w:cs="Times New Roman" w:eastAsia="Times New Roman" w:hAnsi="Times New Roman"/>
          <w:sz w:val="18"/>
          <w:szCs w:val="18"/>
          <w:color w:val="auto"/>
        </w:rPr>
      </w:pPr>
    </w:p>
    <w:p>
      <w:pPr>
        <w:ind w:left="1240" w:right="40" w:hanging="415"/>
        <w:spacing w:after="0" w:line="266" w:lineRule="auto"/>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generates and processes a large amount of data, and we are required to comply with PRC and other applicable laws relating to privacy and cybersecurity. The improper use or disclosure of data or failure to comply with applicable laws and regulations could have a material and adverse effect on our business and prospects.</w:t>
      </w:r>
    </w:p>
    <w:p>
      <w:pPr>
        <w:spacing w:after="0" w:line="81" w:lineRule="exact"/>
        <w:rPr>
          <w:rFonts w:ascii="Times New Roman" w:cs="Times New Roman" w:eastAsia="Times New Roman" w:hAnsi="Times New Roman"/>
          <w:sz w:val="18"/>
          <w:szCs w:val="18"/>
          <w:color w:val="auto"/>
        </w:rPr>
      </w:pPr>
    </w:p>
    <w:p>
      <w:pPr>
        <w:ind w:left="1240" w:right="60" w:hanging="415"/>
        <w:spacing w:after="0" w:line="266" w:lineRule="auto"/>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autonomous driving technology products and services fail to meet evolving customer needs, respond to the industry evolution appropriately, tailor to developing use cases or to perform as expected, our ability to market or sell our products and services could be adversely affected</w:t>
      </w:r>
    </w:p>
    <w:p>
      <w:pPr>
        <w:spacing w:after="0" w:line="81" w:lineRule="exact"/>
        <w:rPr>
          <w:rFonts w:ascii="Times New Roman" w:cs="Times New Roman" w:eastAsia="Times New Roman" w:hAnsi="Times New Roman"/>
          <w:sz w:val="18"/>
          <w:szCs w:val="18"/>
          <w:color w:val="auto"/>
        </w:rPr>
      </w:pPr>
    </w:p>
    <w:p>
      <w:pPr>
        <w:ind w:left="1240" w:right="220" w:hanging="415"/>
        <w:spacing w:after="0" w:line="282" w:lineRule="auto"/>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continue to attract and retain customers, manage our relationship with them or increase their reliance on our products and services could materially and adversely affect our business and prospects.</w:t>
      </w:r>
    </w:p>
    <w:p>
      <w:pPr>
        <w:spacing w:after="0" w:line="67" w:lineRule="exact"/>
        <w:rPr>
          <w:rFonts w:ascii="Times New Roman" w:cs="Times New Roman" w:eastAsia="Times New Roman" w:hAnsi="Times New Roman"/>
          <w:sz w:val="18"/>
          <w:szCs w:val="18"/>
          <w:color w:val="auto"/>
        </w:rPr>
      </w:pPr>
    </w:p>
    <w:p>
      <w:pPr>
        <w:ind w:left="1240" w:right="20" w:hanging="415"/>
        <w:spacing w:after="0" w:line="266" w:lineRule="auto"/>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autonomous driving technology and related software and hardware could have undetected defects or contain serious errors, which could create safety issues, reduce market adoption, damage our brand image, subject us to product recalls or expose us to product liability and other claims that could materially and adversely affect our business.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Corporate Structure</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are also subject to risks and uncertainties related to our corporate structure, including, but are not limited to, the following:</w:t>
      </w:r>
    </w:p>
    <w:p>
      <w:pPr>
        <w:spacing w:after="0" w:line="131" w:lineRule="exact"/>
        <w:rPr>
          <w:sz w:val="20"/>
          <w:szCs w:val="20"/>
          <w:color w:val="auto"/>
        </w:rPr>
      </w:pPr>
    </w:p>
    <w:p>
      <w:pPr>
        <w:ind w:left="1240" w:right="140" w:hanging="415"/>
        <w:spacing w:after="0" w:line="282" w:lineRule="auto"/>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Cayman Islands holding company with no equity ownership in the VIE. Investors in our ADSs and Class A ordinary shares thus are not purchasing equity interests in the VIE in China but</w:t>
      </w:r>
    </w:p>
    <w:p>
      <w:pPr>
        <w:spacing w:after="0" w:line="27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20"/>
          </w:cols>
          <w:pgMar w:left="320" w:top="455" w:right="6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388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8970" cy="60388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780"/>
        <w:spacing w:after="0" w:line="312" w:lineRule="auto"/>
        <w:rPr>
          <w:sz w:val="20"/>
          <w:szCs w:val="20"/>
          <w:color w:val="auto"/>
        </w:rPr>
      </w:pPr>
      <w:r>
        <w:rPr>
          <w:rFonts w:ascii="Times New Roman" w:cs="Times New Roman" w:eastAsia="Times New Roman" w:hAnsi="Times New Roman"/>
          <w:sz w:val="17"/>
          <w:szCs w:val="17"/>
          <w:color w:val="auto"/>
        </w:rPr>
        <w:t>instead are purchasing equity interests in a Cayman Islands holding company. If regulations or interpretation of the existing regulations change in the future, we could be subject to penalties or be forced to relinquish our interests in the VIE.</w:t>
      </w:r>
    </w:p>
    <w:p>
      <w:pPr>
        <w:spacing w:after="0" w:line="45" w:lineRule="exact"/>
        <w:rPr>
          <w:sz w:val="20"/>
          <w:szCs w:val="20"/>
          <w:color w:val="auto"/>
        </w:rPr>
      </w:pPr>
    </w:p>
    <w:p>
      <w:pPr>
        <w:ind w:left="1240" w:right="300" w:hanging="415"/>
        <w:spacing w:after="0" w:line="282" w:lineRule="auto"/>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may exist with respect to the interpretation and implementation of the PRC Foreign Investment Law and how it may impact the viability of our current corporate structure, corporate governance and business operations.</w:t>
      </w:r>
    </w:p>
    <w:p>
      <w:pPr>
        <w:spacing w:after="0" w:line="67" w:lineRule="exact"/>
        <w:rPr>
          <w:rFonts w:ascii="Times New Roman" w:cs="Times New Roman" w:eastAsia="Times New Roman" w:hAnsi="Times New Roman"/>
          <w:sz w:val="18"/>
          <w:szCs w:val="18"/>
          <w:color w:val="auto"/>
        </w:rPr>
      </w:pPr>
    </w:p>
    <w:p>
      <w:pPr>
        <w:ind w:left="1240" w:right="220" w:hanging="415"/>
        <w:spacing w:after="0" w:line="282" w:lineRule="auto"/>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contractual arrangements with the VIE and its nominee shareholders to direct the business operations of the VIE, which may not be as effective as equity ownership in directing its business operations.</w:t>
      </w:r>
    </w:p>
    <w:p>
      <w:pPr>
        <w:spacing w:after="0" w:line="67" w:lineRule="exact"/>
        <w:rPr>
          <w:rFonts w:ascii="Times New Roman" w:cs="Times New Roman" w:eastAsia="Times New Roman" w:hAnsi="Times New Roman"/>
          <w:sz w:val="18"/>
          <w:szCs w:val="18"/>
          <w:color w:val="auto"/>
        </w:rPr>
      </w:pPr>
    </w:p>
    <w:p>
      <w:pPr>
        <w:ind w:left="1240" w:right="100" w:hanging="415"/>
        <w:spacing w:after="0" w:line="282" w:lineRule="auto"/>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the VIE or its nominee shareholders to perform their obligations under our contractual arrangements with them would have a material and adverse effect on our business.</w:t>
      </w:r>
    </w:p>
    <w:p>
      <w:pPr>
        <w:spacing w:after="0" w:line="67" w:lineRule="exact"/>
        <w:rPr>
          <w:rFonts w:ascii="Times New Roman" w:cs="Times New Roman" w:eastAsia="Times New Roman" w:hAnsi="Times New Roman"/>
          <w:sz w:val="18"/>
          <w:szCs w:val="18"/>
          <w:color w:val="auto"/>
        </w:rPr>
      </w:pPr>
    </w:p>
    <w:p>
      <w:pPr>
        <w:ind w:left="1240" w:right="120" w:hanging="415"/>
        <w:spacing w:after="0" w:line="282" w:lineRule="auto"/>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nominee shareholders of the VIE may have potential conflicts of interest with us, which may materially and adversely affect our business and financial condition.</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Doing Business in Mainland China</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face risks and uncertainties related to doing business in mainland China in general, including, but not limited to, the following:</w:t>
      </w:r>
    </w:p>
    <w:p>
      <w:pPr>
        <w:spacing w:after="0" w:line="131" w:lineRule="exact"/>
        <w:rPr>
          <w:sz w:val="20"/>
          <w:szCs w:val="20"/>
          <w:color w:val="auto"/>
        </w:rPr>
      </w:pPr>
    </w:p>
    <w:p>
      <w:pPr>
        <w:ind w:left="1240" w:hanging="415"/>
        <w:spacing w:after="0"/>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PCAOB had historically been unable to inspect our auditor in relation to their audit work.</w:t>
      </w:r>
    </w:p>
    <w:p>
      <w:pPr>
        <w:spacing w:after="0" w:line="130" w:lineRule="exact"/>
        <w:rPr>
          <w:rFonts w:ascii="Times New Roman" w:cs="Times New Roman" w:eastAsia="Times New Roman" w:hAnsi="Times New Roman"/>
          <w:sz w:val="18"/>
          <w:szCs w:val="18"/>
          <w:color w:val="auto"/>
        </w:rPr>
      </w:pPr>
    </w:p>
    <w:p>
      <w:pPr>
        <w:jc w:val="both"/>
        <w:ind w:left="1240" w:right="160" w:hanging="415"/>
        <w:spacing w:after="0" w:line="266" w:lineRule="auto"/>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ADSs may be prohibited from trading in the United States under the HFCAA in the future if the PCAOB is unable to inspect or investigate completely auditors located in China. The delisting of the ADSs, or the threat of their being delisted, may materially and adversely affect the value of your investment.</w:t>
      </w:r>
    </w:p>
    <w:p>
      <w:pPr>
        <w:spacing w:after="0" w:line="81" w:lineRule="exact"/>
        <w:rPr>
          <w:rFonts w:ascii="Times New Roman" w:cs="Times New Roman" w:eastAsia="Times New Roman" w:hAnsi="Times New Roman"/>
          <w:sz w:val="18"/>
          <w:szCs w:val="18"/>
          <w:color w:val="auto"/>
        </w:rPr>
      </w:pPr>
    </w:p>
    <w:p>
      <w:pPr>
        <w:ind w:left="1240" w:right="540" w:hanging="415"/>
        <w:spacing w:after="0" w:line="282" w:lineRule="auto"/>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China’s economic, political or social conditions or government policies could have a material adverse effect on our business and operations.</w:t>
      </w:r>
    </w:p>
    <w:p>
      <w:pPr>
        <w:spacing w:after="0" w:line="67" w:lineRule="exact"/>
        <w:rPr>
          <w:rFonts w:ascii="Times New Roman" w:cs="Times New Roman" w:eastAsia="Times New Roman" w:hAnsi="Times New Roman"/>
          <w:sz w:val="18"/>
          <w:szCs w:val="18"/>
          <w:color w:val="auto"/>
        </w:rPr>
      </w:pPr>
    </w:p>
    <w:p>
      <w:pPr>
        <w:ind w:left="1240" w:right="200" w:hanging="415"/>
        <w:spacing w:after="0" w:line="282" w:lineRule="auto"/>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PRC government’s significant oversight and discretion over our business operation could result in a material adverse change in our operations and the value of our ADSs.</w:t>
      </w:r>
    </w:p>
    <w:p>
      <w:pPr>
        <w:spacing w:after="0" w:line="67" w:lineRule="exact"/>
        <w:rPr>
          <w:rFonts w:ascii="Times New Roman" w:cs="Times New Roman" w:eastAsia="Times New Roman" w:hAnsi="Times New Roman"/>
          <w:sz w:val="18"/>
          <w:szCs w:val="18"/>
          <w:color w:val="auto"/>
        </w:rPr>
      </w:pPr>
    </w:p>
    <w:p>
      <w:pPr>
        <w:ind w:left="1240" w:right="260" w:hanging="415"/>
        <w:spacing w:after="0" w:line="282" w:lineRule="auto"/>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complete filing procedures with the China Securities Regulatory Commission in connection with our future offerings. We cannot predict whether we will be able to complete such filing on a timely manner, or at all.</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ADSs and This Offering</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Risks and uncertainties related to our ADSs and this offering include, but are not limited to, the following:</w:t>
      </w:r>
    </w:p>
    <w:p>
      <w:pPr>
        <w:spacing w:after="0" w:line="131" w:lineRule="exact"/>
        <w:rPr>
          <w:sz w:val="20"/>
          <w:szCs w:val="20"/>
          <w:color w:val="auto"/>
        </w:rPr>
      </w:pPr>
    </w:p>
    <w:p>
      <w:pPr>
        <w:ind w:left="1240" w:right="100" w:hanging="415"/>
        <w:spacing w:after="0" w:line="282" w:lineRule="auto"/>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public market for our Class A ordinary shares or ADSs prior to this offering, and you may not be able to resell our ADSs at or above the price you paid, or at all.</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our ADSs may be volatile, which could result in substantial losses to you.</w:t>
      </w:r>
    </w:p>
    <w:p>
      <w:pPr>
        <w:spacing w:after="0" w:line="130" w:lineRule="exact"/>
        <w:rPr>
          <w:rFonts w:ascii="Times New Roman" w:cs="Times New Roman" w:eastAsia="Times New Roman" w:hAnsi="Times New Roman"/>
          <w:sz w:val="18"/>
          <w:szCs w:val="18"/>
          <w:color w:val="auto"/>
        </w:rPr>
      </w:pPr>
    </w:p>
    <w:p>
      <w:pPr>
        <w:ind w:left="1240" w:hanging="415"/>
        <w:spacing w:after="0" w:line="312" w:lineRule="auto"/>
        <w:tabs>
          <w:tab w:leader="none" w:pos="12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dual-class share structure with different voting rights will limit your ability to influence corporate matters and could discourage others from pursuing any change of control transactions that holders of our Class A ordinary shares and ADSs may view as beneficial.</w:t>
      </w:r>
    </w:p>
    <w:p>
      <w:pPr>
        <w:spacing w:after="0" w:line="45" w:lineRule="exact"/>
        <w:rPr>
          <w:rFonts w:ascii="Times New Roman" w:cs="Times New Roman" w:eastAsia="Times New Roman" w:hAnsi="Times New Roman"/>
          <w:sz w:val="17"/>
          <w:szCs w:val="17"/>
          <w:color w:val="auto"/>
        </w:rPr>
      </w:pPr>
    </w:p>
    <w:p>
      <w:pPr>
        <w:ind w:left="1240" w:right="220" w:hanging="415"/>
        <w:spacing w:after="0" w:line="312" w:lineRule="auto"/>
        <w:tabs>
          <w:tab w:leader="none" w:pos="12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securities or industry analysts do not publish research or publish inaccurate or unfavorable research about our business, or if they adversely change their recommendations regarding our ADSs, the market price for our ADSs and trading volume could decline.</w:t>
      </w:r>
    </w:p>
    <w:p>
      <w:pPr>
        <w:spacing w:after="0" w:line="24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00"/>
          </w:cols>
          <w:pgMar w:left="320" w:top="455" w:right="6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3817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8970" cy="638175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History and Structure</w:t>
      </w:r>
    </w:p>
    <w:p>
      <w:pPr>
        <w:spacing w:after="0" w:line="121" w:lineRule="exact"/>
        <w:rPr>
          <w:sz w:val="20"/>
          <w:szCs w:val="20"/>
          <w:color w:val="auto"/>
        </w:rPr>
      </w:pPr>
    </w:p>
    <w:p>
      <w:pPr>
        <w:ind w:left="300" w:right="100" w:firstLine="426"/>
        <w:spacing w:after="0" w:line="261" w:lineRule="auto"/>
        <w:rPr>
          <w:sz w:val="20"/>
          <w:szCs w:val="20"/>
          <w:color w:val="auto"/>
        </w:rPr>
      </w:pPr>
      <w:r>
        <w:rPr>
          <w:rFonts w:ascii="Times New Roman" w:cs="Times New Roman" w:eastAsia="Times New Roman" w:hAnsi="Times New Roman"/>
          <w:sz w:val="18"/>
          <w:szCs w:val="18"/>
          <w:color w:val="auto"/>
        </w:rPr>
        <w:t>We commenced our business in February 2017. In March 2017, our Cayman Islands holding company, WeRide Inc., formerly known as JingChi Inc., was incorporated, and later became the sole shareholder of WeRide Corp. Our Cayman Islands holding company further established WeRide HongKong Limited, or WeRide HK, formerly known as JingChi Hong Kong Limited, as its wholly-owned subsidiary in Hong Kong in May 2017.</w:t>
      </w:r>
    </w:p>
    <w:p>
      <w:pPr>
        <w:spacing w:after="0" w:line="180" w:lineRule="exact"/>
        <w:rPr>
          <w:sz w:val="20"/>
          <w:szCs w:val="20"/>
          <w:color w:val="auto"/>
        </w:rPr>
      </w:pPr>
    </w:p>
    <w:p>
      <w:pPr>
        <w:ind w:left="300" w:right="60" w:firstLine="426"/>
        <w:spacing w:after="0" w:line="258" w:lineRule="auto"/>
        <w:rPr>
          <w:sz w:val="20"/>
          <w:szCs w:val="20"/>
          <w:color w:val="auto"/>
        </w:rPr>
      </w:pPr>
      <w:r>
        <w:rPr>
          <w:rFonts w:ascii="Times New Roman" w:cs="Times New Roman" w:eastAsia="Times New Roman" w:hAnsi="Times New Roman"/>
          <w:sz w:val="18"/>
          <w:szCs w:val="18"/>
          <w:color w:val="auto"/>
        </w:rPr>
        <w:t>In August 2019, for the operation of our robotaxi business, the VIE, WeRide HK, and two investors jointly established Wenyuan Yuexing (Guangdong) Travel Technology Co., Ltd., in which the VIE currently holds 69% equity interests. In order to conduct test driving in Nanjing, the VIE further established Wenyuan Suxing (Jiangsu) Technology Co., Ltd., its wholly-owned subsidiary, in November 2020. From June 2022 to the date of this prospectus, our WFOE further established wholly-owned subsidiaries in various cities, including Guangzhou, Shenzhen, Wuhan, Nanjing, Beijing, Shanghai, Zhengzhou and Wuxi.</w:t>
      </w:r>
    </w:p>
    <w:p>
      <w:pPr>
        <w:spacing w:after="0" w:line="183" w:lineRule="exact"/>
        <w:rPr>
          <w:sz w:val="20"/>
          <w:szCs w:val="20"/>
          <w:color w:val="auto"/>
        </w:rPr>
      </w:pPr>
    </w:p>
    <w:p>
      <w:pPr>
        <w:ind w:left="300" w:right="140" w:firstLine="426"/>
        <w:spacing w:after="0" w:line="282" w:lineRule="auto"/>
        <w:rPr>
          <w:sz w:val="20"/>
          <w:szCs w:val="20"/>
          <w:color w:val="auto"/>
        </w:rPr>
      </w:pPr>
      <w:r>
        <w:rPr>
          <w:rFonts w:ascii="Times New Roman" w:cs="Times New Roman" w:eastAsia="Times New Roman" w:hAnsi="Times New Roman"/>
          <w:sz w:val="18"/>
          <w:szCs w:val="18"/>
          <w:color w:val="auto"/>
        </w:rPr>
        <w:t>The following diagram illustrates our corporate structure as of the date of this prospectus, including our principal subsidiaries, the VIE and the principal subsidiaries of the VIE: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1"/>
          <w:szCs w:val="11"/>
          <w:color w:val="auto"/>
        </w:rPr>
        <w:t>Note:</w:t>
      </w:r>
    </w:p>
    <w:p>
      <w:pPr>
        <w:spacing w:after="0" w:line="117" w:lineRule="exact"/>
        <w:rPr>
          <w:sz w:val="20"/>
          <w:szCs w:val="20"/>
          <w:color w:val="auto"/>
        </w:rPr>
      </w:pPr>
    </w:p>
    <w:p>
      <w:pPr>
        <w:ind w:left="600" w:hanging="302"/>
        <w:spacing w:after="0" w:line="256" w:lineRule="auto"/>
        <w:tabs>
          <w:tab w:leader="none" w:pos="600" w:val="left"/>
        </w:tabs>
        <w:numPr>
          <w:ilvl w:val="0"/>
          <w:numId w:val="1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Tony Xu Han, Hua Zhong and Li Zhang hold 40.0%, 30.0% and 30.0% of the equity interests in Guangzhou Jingqi Technology Co., Ltd., respectively. Tony Xu Han is our Founder, Director and Chief Executive Officer; Hua Zhong is our Senior Vice President; and Li Zhang is our Chief Operating Officer.</w:t>
      </w:r>
    </w:p>
    <w:p>
      <w:pPr>
        <w:spacing w:after="0" w:line="30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860"/>
          </w:cols>
          <w:pgMar w:left="320" w:top="455" w:right="7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516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8970" cy="55162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Holding Company Structure and Contractual Arrangements with the Consolidated VIE and Its Nominee Shareholders</w:t>
      </w:r>
    </w:p>
    <w:p>
      <w:pPr>
        <w:spacing w:after="0" w:line="121"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WeRide Inc. is not an operating company in China, but a Cayman Islands holding company with operations mainly conducted by its subsidiaries in mainland China. In addition, our Cayman Islands holding company currently has no equity ownership in the VIE. We currently rely on contractual arrangements among the WFOE, the VIE and its nominee shareholders to direct the business operations of the VIE. Revenue contributed by the VIE and its subsidiaries accounted for 25%, 10% and 25% of our total revenue for the years ended December 31, 2020 and 2021 and the six months ended June 30, 2022, respectively. As used in this registration statement, “we,” “us,” “our company,” “the Company” or “our” refers to WeRide Inc., our Cayman Islands holding company, its subsidiaries and, in the context of describing its operations and consolidated financial information, the VIE and its subsidiaries. Investors of our ADSs are not purchasing equity interest in the VIE, but instead are purchasing equity interest in a Cayman Islands holding company.</w:t>
      </w:r>
    </w:p>
    <w:p>
      <w:pPr>
        <w:spacing w:after="0" w:line="192" w:lineRule="exact"/>
        <w:rPr>
          <w:sz w:val="20"/>
          <w:szCs w:val="20"/>
          <w:color w:val="auto"/>
        </w:rPr>
      </w:pPr>
    </w:p>
    <w:p>
      <w:pPr>
        <w:ind w:left="300" w:right="20" w:firstLine="426"/>
        <w:spacing w:after="0" w:line="254" w:lineRule="auto"/>
        <w:rPr>
          <w:sz w:val="20"/>
          <w:szCs w:val="20"/>
          <w:color w:val="auto"/>
        </w:rPr>
      </w:pPr>
      <w:r>
        <w:rPr>
          <w:rFonts w:ascii="Times New Roman" w:cs="Times New Roman" w:eastAsia="Times New Roman" w:hAnsi="Times New Roman"/>
          <w:sz w:val="18"/>
          <w:szCs w:val="18"/>
          <w:color w:val="auto"/>
        </w:rPr>
        <w:t>A series of contractual agreements, including exclusive technology consulting and service agreement, exclusive option agreement, equity interest pledge agreement, powers of attorney and spousal consent letters, have been entered into by and among the WFOE, the VIE and its nominee shareholders. Under the contractual agreements, our Cayman Island holding company has (i) the power to direct the management, financial and operating policies of the VIE, and (ii) exposure or rights to variable returns from its involvement with the VIE and the ability to use its power over the VIE to affect the amount of the returns. As a result, we treat the VIE and its subsidiaries as our consolidated entities under IFRS. We are in the process of unwinding the VIE structure and terminating the contractual arrangements among the WFOE, the VIE and its nominee shareholders, after which the VIE will become a wholly-owned subsidiary of our company. We expect to complete the unwinding of the VIE structure within the next six weeks. For more details of these contractual arrangements, see “Corporate History and Structure—Contractual Arrangements with the Consolidated VIE and Its Nominee Shareholders.”</w:t>
      </w:r>
    </w:p>
    <w:p>
      <w:pPr>
        <w:spacing w:after="0" w:line="188" w:lineRule="exact"/>
        <w:rPr>
          <w:sz w:val="20"/>
          <w:szCs w:val="20"/>
          <w:color w:val="auto"/>
        </w:rPr>
      </w:pPr>
    </w:p>
    <w:p>
      <w:pPr>
        <w:ind w:left="300" w:firstLine="426"/>
        <w:spacing w:after="0" w:line="252" w:lineRule="auto"/>
        <w:rPr>
          <w:sz w:val="20"/>
          <w:szCs w:val="20"/>
          <w:color w:val="auto"/>
        </w:rPr>
      </w:pPr>
      <w:r>
        <w:rPr>
          <w:rFonts w:ascii="Times New Roman" w:cs="Times New Roman" w:eastAsia="Times New Roman" w:hAnsi="Times New Roman"/>
          <w:sz w:val="18"/>
          <w:szCs w:val="18"/>
          <w:color w:val="auto"/>
        </w:rPr>
        <w:t>However, neither we nor our WFOE owns any equity interests in the VIE and its subsidiaries, and our contractual arrangements with the VIE and its nominee shareholders are not equivalent of equity ownership in the business of the VIE. The contractual arrangements may not be as effective as equity ownership in directing the business operations of the consolidated VIE and we may incur substantial costs to enforce the terms of the arrangements. Uncertainties in the PRC legal system may limit our ability, as a Cayman Islands holding company, to enforce these contractual arrangements. There are very few precedents as to whether contractual arrangements would be judged to form effective control over the VIE, or how contractual arrangements in the context of a variable interest entity should be interpreted or enforced by the PRC courts. Should legal actions become necessary, we cannot guarantee that the court will rule in favor of the enforceability of the variable interest entity contractual arrangements. In the event we are unable to enforce these contractual arrangements, or if we suffer significant delay or other obstacles in the process of enforcing these contractual arrangements, we may not be able to effectively direct the activities of the VIE, and our ability to conduct our business may be materially adversely affected. See “Risk Factors—Risks Related to Our Corporate Structure—We rely on contractual arrangements with the VIE and its nominee shareholders to direct the business operations of the VIE, which may not be as effective as equity ownership in directing its business operations,” “—Any failure by the VIE or its nominee shareholders to perform their obligations under our contractual arrangements with them would have a material and adverse effect on our business,” and “—The nominee shareholders of the VIE may have potential conflicts of interest with us, which may materially and adversely affect our business and financial condition.”</w:t>
      </w:r>
    </w:p>
    <w:p>
      <w:pPr>
        <w:spacing w:after="0" w:line="197" w:lineRule="exact"/>
        <w:rPr>
          <w:sz w:val="20"/>
          <w:szCs w:val="20"/>
          <w:color w:val="auto"/>
        </w:rPr>
      </w:pPr>
    </w:p>
    <w:p>
      <w:pPr>
        <w:ind w:left="300" w:right="60" w:firstLine="426"/>
        <w:spacing w:after="0" w:line="289" w:lineRule="auto"/>
        <w:rPr>
          <w:sz w:val="20"/>
          <w:szCs w:val="20"/>
          <w:color w:val="auto"/>
        </w:rPr>
      </w:pPr>
      <w:r>
        <w:rPr>
          <w:rFonts w:ascii="Times New Roman" w:cs="Times New Roman" w:eastAsia="Times New Roman" w:hAnsi="Times New Roman"/>
          <w:sz w:val="17"/>
          <w:szCs w:val="17"/>
          <w:color w:val="auto"/>
        </w:rPr>
        <w:t>There are also substantial uncertainties regarding the interpretation and application of current and future PRC laws, regulations and rules regarding the status of the rights of our Cayman Islands holding company with respect to the contractual arrangements entered into by and among the WFOE, the VIE and its nominee shareholders. In addition, it is uncertain whether any new PRC laws or regulations relating to variable interest</w:t>
      </w:r>
    </w:p>
    <w:p>
      <w:pPr>
        <w:spacing w:after="0" w:line="26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20"/>
          </w:cols>
          <w:pgMar w:left="320" w:top="455" w:right="6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59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
        <w:spacing w:after="0" w:line="256" w:lineRule="auto"/>
        <w:rPr>
          <w:sz w:val="20"/>
          <w:szCs w:val="20"/>
          <w:color w:val="auto"/>
        </w:rPr>
      </w:pPr>
      <w:r>
        <w:rPr>
          <w:rFonts w:ascii="Times New Roman" w:cs="Times New Roman" w:eastAsia="Times New Roman" w:hAnsi="Times New Roman"/>
          <w:sz w:val="18"/>
          <w:szCs w:val="18"/>
          <w:color w:val="auto"/>
        </w:rPr>
        <w:t>entity structures will be adopted or if adopted, what they would provide. If we or any of the VIE is found to be in violation of any existing or future PRC laws or regulations, or fail to obtain or maintain any of the required permits or approvals, the relevant PRC regulatory authorities would have broad discretion to take action in dealing with such violations or failures. See “Risk Factors—Risks Related to Our Corporate Structure—If regulations or interpretation of the existing regulations change in the future, we could be subject to penalties or be forced to relinquish our interests in the VIE” and “—Uncertainties exist with respect to the interpretation and implementation of the PRC Foreign Investment Law and how it may impact the viability of our current corporate structure, corporate governance and business operations.”</w:t>
      </w:r>
    </w:p>
    <w:p>
      <w:pPr>
        <w:spacing w:after="0" w:line="187" w:lineRule="exact"/>
        <w:rPr>
          <w:sz w:val="20"/>
          <w:szCs w:val="20"/>
          <w:color w:val="auto"/>
        </w:rPr>
      </w:pPr>
    </w:p>
    <w:p>
      <w:pPr>
        <w:ind w:left="300" w:right="160" w:firstLine="426"/>
        <w:spacing w:after="0" w:line="273" w:lineRule="auto"/>
        <w:rPr>
          <w:sz w:val="20"/>
          <w:szCs w:val="20"/>
          <w:color w:val="auto"/>
        </w:rPr>
      </w:pPr>
      <w:r>
        <w:rPr>
          <w:rFonts w:ascii="Times New Roman" w:cs="Times New Roman" w:eastAsia="Times New Roman" w:hAnsi="Times New Roman"/>
          <w:sz w:val="17"/>
          <w:szCs w:val="17"/>
          <w:color w:val="auto"/>
        </w:rPr>
        <w:t>We face various legal and operational risks and uncertainties associated with being based in or having our operations primarily in mainland China and the complex and evolving PRC laws and regulations. For example, we face risks associated with the fact that the PRC government has significant authority in regulating our operations and may influence or intervene in our operations at any time, regulatory approvals on offerings conducted overseas by, and foreign investment in, China-based issuers, anti-monopoly regulatory actions, and oversight on data security. These risks could result in a material adverse change in our operations and the value of our ADSs, significantly limit or completely hinder our ability to offer or continue to offer securities to investors, or cause the value of such securities to significantly decline or become of little or no value. For a detailed description of risks related to doing business in mainland China, “Risk Factors—Risks Related to Doing Business in mainland China.”</w:t>
      </w:r>
    </w:p>
    <w:p>
      <w:pPr>
        <w:spacing w:after="0" w:line="171" w:lineRule="exact"/>
        <w:rPr>
          <w:sz w:val="20"/>
          <w:szCs w:val="20"/>
          <w:color w:val="auto"/>
        </w:rPr>
      </w:pPr>
    </w:p>
    <w:p>
      <w:pPr>
        <w:ind w:left="300" w:right="140" w:firstLine="426"/>
        <w:spacing w:after="0" w:line="258" w:lineRule="auto"/>
        <w:rPr>
          <w:sz w:val="20"/>
          <w:szCs w:val="20"/>
          <w:color w:val="auto"/>
        </w:rPr>
      </w:pPr>
      <w:r>
        <w:rPr>
          <w:rFonts w:ascii="Times New Roman" w:cs="Times New Roman" w:eastAsia="Times New Roman" w:hAnsi="Times New Roman"/>
          <w:sz w:val="18"/>
          <w:szCs w:val="18"/>
          <w:color w:val="auto"/>
        </w:rPr>
        <w:t>PRC government’s significant authority in regulating our operations and its oversight and control over offerings conducted overseas by, and foreign investment in, China-based issuers, could significantly limit or completely hinder our ability to offer or continue to offer securities to investors. Implementation of industry-wide regulations in this nature may cause the value of such securities to significantly decline or become of little or no value. For more details, see “Risk Factors—Risks Related to Doing Business in mainland China—The PRC government’s significant oversight and discretion over our business operation could result in a material adverse change in our operations and the value of our ADSs.”</w:t>
      </w:r>
    </w:p>
    <w:p>
      <w:pPr>
        <w:spacing w:after="0" w:line="183" w:lineRule="exact"/>
        <w:rPr>
          <w:sz w:val="20"/>
          <w:szCs w:val="20"/>
          <w:color w:val="auto"/>
        </w:rPr>
      </w:pPr>
    </w:p>
    <w:p>
      <w:pPr>
        <w:ind w:left="300" w:right="80" w:firstLine="426"/>
        <w:spacing w:after="0" w:line="261" w:lineRule="auto"/>
        <w:rPr>
          <w:sz w:val="20"/>
          <w:szCs w:val="20"/>
          <w:color w:val="auto"/>
        </w:rPr>
      </w:pPr>
      <w:r>
        <w:rPr>
          <w:rFonts w:ascii="Times New Roman" w:cs="Times New Roman" w:eastAsia="Times New Roman" w:hAnsi="Times New Roman"/>
          <w:sz w:val="18"/>
          <w:szCs w:val="18"/>
          <w:color w:val="auto"/>
        </w:rPr>
        <w:t>Risks and uncertainties arising from the legal system in mainland China, including risks and uncertainties regarding the enforcement of laws and quickly evolving rules and regulations in China, could result in a material adverse change in our operations and the value of our ADSs. For more details, see “Risk Factors—Risks Related to Doing Business in mainland China—Uncertainties with respect to the PRC legal system and changes in laws and regulations in mainland China could adversely affect us.”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Permissions Required from the PRC Authorities for Our Operations</w:t>
      </w:r>
    </w:p>
    <w:p>
      <w:pPr>
        <w:spacing w:after="0" w:line="121"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We conduct our business primarily through our subsidiaries in mainland China. Our operations in mainland China are governed by PRC laws and regulations. As of the date of this prospectus, as advised by Commerce &amp; Finance Law Offices, we have obtained all of the requisite licenses and permits from the PRC government authorities that are material for our business operations. However, we may be required to obtain additional licenses, permits, filings or approvals for our products and services in the future. See “Risk Factors—Risks Related to Our Business and Industry— Any lack of requisite approvals, licenses or permits applicable to our business operation may have a material and adverse impact on our business and results of operations.”</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Permissions Required from the PRC Authorities for This Offering</w:t>
      </w:r>
    </w:p>
    <w:p>
      <w:pPr>
        <w:spacing w:after="0" w:line="121" w:lineRule="exact"/>
        <w:rPr>
          <w:sz w:val="20"/>
          <w:szCs w:val="20"/>
          <w:color w:val="auto"/>
        </w:rPr>
      </w:pPr>
    </w:p>
    <w:p>
      <w:pPr>
        <w:ind w:left="300" w:right="340" w:firstLine="426"/>
        <w:spacing w:after="0" w:line="261" w:lineRule="auto"/>
        <w:rPr>
          <w:sz w:val="20"/>
          <w:szCs w:val="20"/>
          <w:color w:val="auto"/>
        </w:rPr>
      </w:pPr>
      <w:r>
        <w:rPr>
          <w:rFonts w:ascii="Times New Roman" w:cs="Times New Roman" w:eastAsia="Times New Roman" w:hAnsi="Times New Roman"/>
          <w:sz w:val="18"/>
          <w:szCs w:val="18"/>
          <w:color w:val="auto"/>
        </w:rPr>
        <w:t>On December 28, 2021, the Cyberspace Administration of China, or the CAC, together with certain other PRC governmental authorities, jointly released the Revised Cybersecurity Review Measures, which took effect on February 15, 2022. Pursuant to the Revised Cybersecurity Review Measures, (i) operators of critical information infrastructure that intend to purchase network products and services and online platform operators</w:t>
      </w:r>
    </w:p>
    <w:p>
      <w:pPr>
        <w:spacing w:after="0" w:line="2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20"/>
          </w:cols>
          <w:pgMar w:left="320" w:top="455" w:right="6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59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0"/>
        <w:spacing w:after="0" w:line="254" w:lineRule="auto"/>
        <w:rPr>
          <w:sz w:val="20"/>
          <w:szCs w:val="20"/>
          <w:color w:val="auto"/>
        </w:rPr>
      </w:pPr>
      <w:r>
        <w:rPr>
          <w:rFonts w:ascii="Times New Roman" w:cs="Times New Roman" w:eastAsia="Times New Roman" w:hAnsi="Times New Roman"/>
          <w:sz w:val="18"/>
          <w:szCs w:val="18"/>
          <w:color w:val="auto"/>
        </w:rPr>
        <w:t>that conduct data processing activities, in each case that affect or may affect national security, and (ii) operators of network platforms seeking listing abroad that are in possession of more than one million users’ personal information must apply for a cybersecurity review. The Revised Cybersecurity Review Measures set out certain general factors which would be the focus in assessing the national security risk during a cybersecurity review, including without limitation, risks of influence, control or malicious use of critical information infrastructure, core data, important data or large amounts of personal information by foreign governments in relation to a listing abroad. If we are required to go through a cybersecurity review, we face uncertainties as to whether we will be able to timely complete the review, or at all, which may subject us to government enforcement actions and investigations, fines, penalties, suspension of our non-compliant operations, and materially and adversely affect our business and results of operations.</w:t>
      </w:r>
    </w:p>
    <w:p>
      <w:pPr>
        <w:spacing w:after="0" w:line="192"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As of the date of this prospectus, we are not in possession of more than one million users’ personal information. We have completed the procedures as advised by our PRC legal counsel, Commerce &amp; Finance Law Offices. For detailed information, see “Risk Factors—Risks Related to Our Business and Industry—Our business generates and processes a large amount of data, and we are required to comply with PRC and other applicable laws relating to privacy and cybersecurity. The improper use or disclosure of data or failure to comply with applicable laws and regulations could have a material and adverse effect on our business and prospects.”</w:t>
      </w:r>
    </w:p>
    <w:p>
      <w:pPr>
        <w:spacing w:after="0" w:line="183" w:lineRule="exact"/>
        <w:rPr>
          <w:sz w:val="20"/>
          <w:szCs w:val="20"/>
          <w:color w:val="auto"/>
        </w:rPr>
      </w:pPr>
    </w:p>
    <w:p>
      <w:pPr>
        <w:ind w:left="300" w:right="240" w:firstLine="426"/>
        <w:spacing w:after="0" w:line="254" w:lineRule="auto"/>
        <w:rPr>
          <w:sz w:val="20"/>
          <w:szCs w:val="20"/>
          <w:color w:val="auto"/>
        </w:rPr>
      </w:pPr>
      <w:r>
        <w:rPr>
          <w:rFonts w:ascii="Times New Roman" w:cs="Times New Roman" w:eastAsia="Times New Roman" w:hAnsi="Times New Roman"/>
          <w:sz w:val="18"/>
          <w:szCs w:val="18"/>
          <w:color w:val="auto"/>
        </w:rPr>
        <w:t>On February 17, 2023, the CSRC, as approved by the State Council, released the Trial Administrative Measures of Overseas Securities Offering and Listing by Domestic Companies and five supporting guidelines, or the Filing Rules. The Filing Rules will take effect on March 31, 2023, when the CSRC will start to accept filing applications. Under the Filing Rules, a filing-based regulatory system will apply to “indirect overseas offering and listing” of PRC domestic enterprises, which refers to such securities offering and listing in an overseas market made by an offshore entity based on the underlying equity, assets, earnings or other similar rights of a domestic enterprise which operates its main business domestically in mainland China. The Filing Rules apply to all overseas equity financing and listing activities of PRC domestic enterprises, including initial and follow-on offerings of shares, depository receipts, convertible corporate bonds, or other equity instruments and trading of securities in overseas market.</w:t>
      </w:r>
    </w:p>
    <w:p>
      <w:pPr>
        <w:spacing w:after="0" w:line="192" w:lineRule="exact"/>
        <w:rPr>
          <w:sz w:val="20"/>
          <w:szCs w:val="20"/>
          <w:color w:val="auto"/>
        </w:rPr>
      </w:pPr>
    </w:p>
    <w:p>
      <w:pPr>
        <w:ind w:left="300" w:firstLine="426"/>
        <w:spacing w:after="0" w:line="274" w:lineRule="auto"/>
        <w:rPr>
          <w:sz w:val="20"/>
          <w:szCs w:val="20"/>
          <w:color w:val="auto"/>
        </w:rPr>
      </w:pPr>
      <w:r>
        <w:rPr>
          <w:rFonts w:ascii="Times New Roman" w:cs="Times New Roman" w:eastAsia="Times New Roman" w:hAnsi="Times New Roman"/>
          <w:sz w:val="17"/>
          <w:szCs w:val="17"/>
          <w:color w:val="auto"/>
        </w:rPr>
        <w:t>As advised by Commerce &amp; Finance Law Offices, our PRC legal counsel, this offering will be subject to the filing procedures with the CSRC after the Filing Rules take effect. As of the date of this prospectus, we have not received any inquiry, notice, warning, sanctions or regulatory objection to this offering from the CSRC or other PRC governmental authorities. We will take any and all actions necessary to complete the required procedures with the CSRC before the completion of this offering and listing. For detailed information, see “Risk Factors—Risks Related to Doing Business in mainland China—We may be required to complete filing procedures with the China Securities Regulatory Commission in connection with our future offerings. We cannot predict whether we will be able to complete such filing on a timely manner, or at all.”</w:t>
      </w:r>
    </w:p>
    <w:p>
      <w:pPr>
        <w:spacing w:after="0" w:line="2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Holding Foreign Companies Accountable Act</w:t>
      </w:r>
    </w:p>
    <w:p>
      <w:pPr>
        <w:spacing w:after="0" w:line="121"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Pursuant to the Holding Foreign Companies Accountable Act, or the HFCAA, if the SEC determines that we have filed audit reports issued by a registered public accounting firm that has not been subject to inspections by the Public Company Accounting Oversight Board, or the PCAOB, for two consecutive years, the SEC will prohibit our shares or the ADSs from being traded on a national securities exchange or in the over-the-counter trading market in the United States. On December 16, 2021, the PCAOB issued a report to notify the SEC of its determination that the PCAOB was unable to inspect or investigate completely registered public accounting firms headquartered in mainland China and Hong Kong, including our auditor. On December 15, 2022, the PCAOB issued a report that vacated its December 16, 2021 determination and removed mainland China and Hong Kong from the list of jurisdictions where it is unable to inspect or investigate completely registered public accounting firms. Each year, the PCAOB will determine whether it can inspect and investigate completely audit firms in</w:t>
      </w:r>
    </w:p>
    <w:p>
      <w:pPr>
        <w:spacing w:after="0" w:line="30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40"/>
          </w:cols>
          <w:pgMar w:left="320" w:top="455" w:right="6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645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8970" cy="57645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53" w:lineRule="auto"/>
        <w:rPr>
          <w:sz w:val="20"/>
          <w:szCs w:val="20"/>
          <w:color w:val="auto"/>
        </w:rPr>
      </w:pPr>
      <w:r>
        <w:rPr>
          <w:rFonts w:ascii="Times New Roman" w:cs="Times New Roman" w:eastAsia="Times New Roman" w:hAnsi="Times New Roman"/>
          <w:sz w:val="18"/>
          <w:szCs w:val="18"/>
          <w:color w:val="auto"/>
        </w:rPr>
        <w:t>mainland China and Hong Kong, among other jurisdictions. If the PCAOB determines in the future that it no longer has full access to inspect and investigate completely accounting firms in mainland China and Hong Kong and we continue to use an accounting firm headquartered in one of these jurisdictions to issue an audit report on our financial statements filed with the Securities and Exchange Commission,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HFCAA. See “Risk Factors—Risks Related to Our Business and Industry—The PCAOB had historically been unable to inspect our auditor in relation to their audit work” and “Risk Factors—Risks Related to Our Business and Industry—Our ADSs may be prohibited from trading in the United States under the HFCAA in the future if the PCAOB is unable to inspect or investigate completely auditors located in China. The delisting of the ADSs, or the threat of their being delisted, may materially and adversely affect the value of your investment.”</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Cash Flows through Our Organization</w:t>
      </w:r>
    </w:p>
    <w:p>
      <w:pPr>
        <w:spacing w:after="0" w:line="121" w:lineRule="exact"/>
        <w:rPr>
          <w:sz w:val="20"/>
          <w:szCs w:val="20"/>
          <w:color w:val="auto"/>
        </w:rPr>
      </w:pPr>
    </w:p>
    <w:p>
      <w:pPr>
        <w:ind w:left="300" w:right="60" w:firstLine="426"/>
        <w:spacing w:after="0" w:line="253" w:lineRule="auto"/>
        <w:rPr>
          <w:sz w:val="20"/>
          <w:szCs w:val="20"/>
          <w:color w:val="auto"/>
        </w:rPr>
      </w:pPr>
      <w:r>
        <w:rPr>
          <w:rFonts w:ascii="Times New Roman" w:cs="Times New Roman" w:eastAsia="Times New Roman" w:hAnsi="Times New Roman"/>
          <w:sz w:val="18"/>
          <w:szCs w:val="18"/>
          <w:color w:val="auto"/>
        </w:rPr>
        <w:t>WeRide Inc., our Cayman Islands holding company may transfer cash to WeRide HongKong Limited, the wholly-owned Hong Kong subsidiary of WeRide Inc., by making capital contributions or providing intra-group loans. WeRide HongKong Limited, in turn, may transfer cash to its wholly-owned subsidiary in mainland China by making capital contributions or providing intra-group loans to them. Our subsidiaries may also provide intra-group loans to WeRide Inc. Because WeRide Inc. and its subsidiaries direct the activities of and consolidate the financial results of the VIE through contractual arrangements, they are not able to make direct capital contribution to the VIE and its subsidiaries. However, they may transfer cash to the VIE by loans or by making payment to the VIE for intra-group transactions. If our wholly-owned subsidiaries in mainland China realize accumulated after-tax profits, they may, upon satisfaction of relevant statutory conditions and procedures, pay dividends or distribute earnings to WeRide HongKong Limited. WeRide HongKong Limited, in turn, may transfer cash to WeRide Inc. through dividends or other distributions. With necessary funds, WeRide Inc. may pay dividends or make other distributions to U.S. investors and service any debt it may have incurred outside of mainland China. The following table sets forth the amount of the transfers for the periods presented.</w:t>
      </w:r>
    </w:p>
    <w:p>
      <w:pPr>
        <w:spacing w:after="0" w:line="215"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6300" w:type="dxa"/>
            <w:vAlign w:val="bottom"/>
          </w:tcPr>
          <w:p>
            <w:pPr>
              <w:spacing w:after="0"/>
              <w:rPr>
                <w:sz w:val="15"/>
                <w:szCs w:val="15"/>
                <w:color w:val="auto"/>
              </w:rPr>
            </w:pPr>
          </w:p>
        </w:tc>
        <w:tc>
          <w:tcPr>
            <w:tcW w:w="2040" w:type="dxa"/>
            <w:vAlign w:val="bottom"/>
            <w:gridSpan w:val="2"/>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3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630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08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Borders>
              <w:bottom w:val="single" w:sz="8" w:color="auto"/>
            </w:tcBorders>
          </w:tcPr>
          <w:p>
            <w:pPr>
              <w:spacing w:after="0"/>
              <w:rPr>
                <w:sz w:val="12"/>
                <w:szCs w:val="12"/>
                <w:color w:val="auto"/>
              </w:rPr>
            </w:pPr>
          </w:p>
        </w:tc>
        <w:tc>
          <w:tcPr>
            <w:tcW w:w="1640" w:type="dxa"/>
            <w:vAlign w:val="bottom"/>
            <w:tcBorders>
              <w:top w:val="single" w:sz="8" w:color="auto"/>
              <w:bottom w:val="single" w:sz="8" w:color="auto"/>
            </w:tcBorders>
          </w:tcPr>
          <w:p>
            <w:pPr>
              <w:jc w:val="right"/>
              <w:ind w:right="60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2"/>
                <w:szCs w:val="12"/>
                <w:color w:val="auto"/>
              </w:rPr>
            </w:pPr>
          </w:p>
        </w:tc>
      </w:tr>
      <w:tr>
        <w:trPr>
          <w:trHeight w:val="142"/>
        </w:trPr>
        <w:tc>
          <w:tcPr>
            <w:tcW w:w="6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40" w:type="dxa"/>
            <w:vAlign w:val="bottom"/>
            <w:gridSpan w:val="3"/>
          </w:tcPr>
          <w:p>
            <w:pPr>
              <w:jc w:val="right"/>
              <w:ind w:right="1408"/>
              <w:spacing w:after="0" w:line="142" w:lineRule="exact"/>
              <w:rPr>
                <w:sz w:val="20"/>
                <w:szCs w:val="20"/>
                <w:color w:val="auto"/>
              </w:rPr>
            </w:pPr>
            <w:r>
              <w:rPr>
                <w:rFonts w:ascii="Times New Roman" w:cs="Times New Roman" w:eastAsia="Times New Roman" w:hAnsi="Times New Roman"/>
                <w:sz w:val="14"/>
                <w:szCs w:val="14"/>
                <w:b w:val="1"/>
                <w:bCs w:val="1"/>
                <w:color w:val="auto"/>
              </w:rPr>
              <w:t>(RMB in thousands)</w:t>
            </w:r>
          </w:p>
        </w:tc>
        <w:tc>
          <w:tcPr>
            <w:tcW w:w="140" w:type="dxa"/>
            <w:vAlign w:val="bottom"/>
          </w:tcPr>
          <w:p>
            <w:pPr>
              <w:spacing w:after="0"/>
              <w:rPr>
                <w:sz w:val="12"/>
                <w:szCs w:val="12"/>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from WeRide Inc. to subsidiaries</w:t>
            </w:r>
          </w:p>
        </w:tc>
        <w:tc>
          <w:tcPr>
            <w:tcW w:w="96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56,439</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1,229,146</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693,510</w:t>
            </w:r>
          </w:p>
        </w:tc>
        <w:tc>
          <w:tcPr>
            <w:tcW w:w="14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Capital contributions from HK subsidiary to mainland China subsidiaries</w:t>
            </w:r>
          </w:p>
        </w:tc>
        <w:tc>
          <w:tcPr>
            <w:tcW w:w="96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645,150</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383,580</w:t>
            </w:r>
          </w:p>
        </w:tc>
        <w:tc>
          <w:tcPr>
            <w:tcW w:w="140" w:type="dxa"/>
            <w:vAlign w:val="bottom"/>
          </w:tcPr>
          <w:p>
            <w:pPr>
              <w:spacing w:after="0"/>
              <w:rPr>
                <w:sz w:val="18"/>
                <w:szCs w:val="18"/>
                <w:color w:val="auto"/>
              </w:rPr>
            </w:pPr>
          </w:p>
        </w:tc>
      </w:tr>
      <w:tr>
        <w:trPr>
          <w:trHeight w:val="198"/>
        </w:trPr>
        <w:tc>
          <w:tcPr>
            <w:tcW w:w="6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Amounts paid by VIE and its subsidiaries to WFOE under intra-group</w:t>
            </w:r>
          </w:p>
        </w:tc>
        <w:tc>
          <w:tcPr>
            <w:tcW w:w="9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4"/>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transactions</w:t>
            </w:r>
          </w:p>
        </w:tc>
        <w:tc>
          <w:tcPr>
            <w:tcW w:w="96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4,749</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23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37,984</w:t>
            </w:r>
          </w:p>
        </w:tc>
      </w:tr>
      <w:tr>
        <w:trPr>
          <w:trHeight w:val="198"/>
        </w:trPr>
        <w:tc>
          <w:tcPr>
            <w:tcW w:w="6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Amounts paid by WFOE to VIE and its subsidiaries under intra-group</w:t>
            </w: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4"/>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transactions</w:t>
            </w:r>
          </w:p>
        </w:tc>
        <w:tc>
          <w:tcPr>
            <w:tcW w:w="96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45,075</w:t>
            </w:r>
          </w:p>
        </w:tc>
        <w:tc>
          <w:tcPr>
            <w:tcW w:w="2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68,129</w:t>
            </w: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from WFOE to VIE and its subsidiaries</w:t>
            </w:r>
          </w:p>
        </w:tc>
        <w:tc>
          <w:tcPr>
            <w:tcW w:w="96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347,855</w:t>
            </w:r>
          </w:p>
        </w:tc>
      </w:tr>
      <w:tr>
        <w:trPr>
          <w:trHeight w:val="234"/>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Loans from VIE and its subsidiaries to WFOE</w:t>
            </w:r>
          </w:p>
        </w:tc>
        <w:tc>
          <w:tcPr>
            <w:tcW w:w="96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18,530</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164,000</w:t>
            </w:r>
          </w:p>
        </w:tc>
        <w:tc>
          <w:tcPr>
            <w:tcW w:w="23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160</w:t>
            </w:r>
          </w:p>
        </w:tc>
      </w:tr>
    </w:tbl>
    <w:p>
      <w:pPr>
        <w:spacing w:after="0" w:line="179" w:lineRule="exact"/>
        <w:rPr>
          <w:sz w:val="20"/>
          <w:szCs w:val="20"/>
          <w:color w:val="auto"/>
        </w:rPr>
      </w:pPr>
    </w:p>
    <w:p>
      <w:pPr>
        <w:ind w:left="300" w:right="40" w:firstLine="426"/>
        <w:spacing w:after="0" w:line="258" w:lineRule="auto"/>
        <w:rPr>
          <w:sz w:val="20"/>
          <w:szCs w:val="20"/>
          <w:color w:val="auto"/>
        </w:rPr>
      </w:pPr>
      <w:r>
        <w:rPr>
          <w:rFonts w:ascii="Times New Roman" w:cs="Times New Roman" w:eastAsia="Times New Roman" w:hAnsi="Times New Roman"/>
          <w:sz w:val="18"/>
          <w:szCs w:val="18"/>
          <w:color w:val="auto"/>
        </w:rPr>
        <w:t>The VIE may transfer cash to the WFOE by paying service fees according to the exclusive technology consulting and service agreements entered into by and among the WFOE, the VIE and its nominee shareholders. For the years ended December 31, 2020 and 2021 and the six months ended June 30, 2022, the amount of service fees paid by the VIE to our WFOE under the exclusive technology consulting and service agreement was nil, nil and RMB4.0 million (US$0.6 million). We intend to continue to determine the amount of service fee and payment method based on the working capital needs of the WFOE and the VIE, and settle such service fees accordingly in the future.</w:t>
      </w:r>
    </w:p>
    <w:p>
      <w:pPr>
        <w:spacing w:after="0" w:line="29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40"/>
          </w:cols>
          <w:pgMar w:left="320" w:top="455" w:right="6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21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8970" cy="57219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2020 and 2021 and the six months ended June 30, 2022, no assets other than cash were transferred between the Cayman Islands holding company, its subsidiaries, and the VIE and its subsidiaries. As of the date of this prospectus, no subsidiary has paid dividends or made other distributions to the Cayman Islands holding company, and no dividends or distributions have been paid or made to U.S. investors. We currently intend to retain most, if not all, of our available funds and any future earnings to operate and expand our business. See “Dividend Policy.”</w:t>
      </w:r>
    </w:p>
    <w:p>
      <w:pPr>
        <w:spacing w:after="0" w:line="183" w:lineRule="exact"/>
        <w:rPr>
          <w:sz w:val="20"/>
          <w:szCs w:val="20"/>
          <w:color w:val="auto"/>
        </w:rPr>
      </w:pPr>
    </w:p>
    <w:p>
      <w:pPr>
        <w:ind w:left="300" w:right="40" w:firstLine="426"/>
        <w:spacing w:after="0" w:line="254" w:lineRule="auto"/>
        <w:rPr>
          <w:sz w:val="20"/>
          <w:szCs w:val="20"/>
          <w:color w:val="auto"/>
        </w:rPr>
      </w:pPr>
      <w:r>
        <w:rPr>
          <w:rFonts w:ascii="Times New Roman" w:cs="Times New Roman" w:eastAsia="Times New Roman" w:hAnsi="Times New Roman"/>
          <w:sz w:val="18"/>
          <w:szCs w:val="18"/>
          <w:color w:val="auto"/>
        </w:rPr>
        <w:t>We have established stringent controls and procedures for cash flows within our organization. The cash of our group is under the unified management of our finance department. Each cash requirement, after raised by an operating entity, is required to go through a two-to-five-level review process, depending on the relevant business department making the request and the amount of cash involved. For special cash requirements that are out of the ordinary course of our business, additional levels of review may be required to ensure the cash transfer is compliant with our internal policies and procedures. After such cash requirement is approved by the responsible persons in the finance department, the treasury department makes the cash transfer to the relevant operating entities. We strictly follow the foregoing procedures to ensure that each transfer of cash among our Cayman Islands holding company and our subsidiaries, the VIE and its subsidiaries is subject to internal approval. To date, we have not had difficulty in transferring cash among our Cayman Islands holding company, our subsidiaries, and the VIE and the subsidiaries of the VIE.</w:t>
      </w:r>
    </w:p>
    <w:p>
      <w:pPr>
        <w:spacing w:after="0" w:line="188" w:lineRule="exact"/>
        <w:rPr>
          <w:sz w:val="20"/>
          <w:szCs w:val="20"/>
          <w:color w:val="auto"/>
        </w:rPr>
      </w:pPr>
    </w:p>
    <w:p>
      <w:pPr>
        <w:ind w:left="300" w:right="40" w:firstLine="426"/>
        <w:spacing w:after="0" w:line="252" w:lineRule="auto"/>
        <w:rPr>
          <w:sz w:val="20"/>
          <w:szCs w:val="20"/>
          <w:color w:val="auto"/>
        </w:rPr>
      </w:pPr>
      <w:r>
        <w:rPr>
          <w:rFonts w:ascii="Times New Roman" w:cs="Times New Roman" w:eastAsia="Times New Roman" w:hAnsi="Times New Roman"/>
          <w:sz w:val="18"/>
          <w:szCs w:val="18"/>
          <w:color w:val="auto"/>
        </w:rPr>
        <w:t>In light of our holding company structure as well as our substantive operation in mainland China, our ability to pay dividends to the shareholders, including the investors in the ADSs, and to service any debt we may incur, may highly depend upon dividends paid by our WFOE to us, despite that we may obtain financing at the Cayman Islands holding company level through other methods. However, under PRC laws and regulations, our mainland China subsidiaries and the VIE are subject to certain restrictions with respect to paying dividends or otherwise transferring any of their net assets to us and the investors in the ADS as well as the ability to settle amounts owed under the VIE agreements. Remittance of dividends by a wholly foreign-owned enterprise out of mainland China is also subject to examination by the banks designated by SAFE. The amounts restricted include the paid-up capital and the statutory reserve funds of our mainland China subsidiaries and the VIE and restricted cash for loans, totaling US$98.3 million, US$213.5 million and US$266.8 million as of December 31, 2020 and 2021 and June 30, 2022, respectively. Furthermore, cash transfers from our mainland China subsidiaries to entities outside of mainland China are subject to PRC government control of currency conversion. Shortages in the availability of foreign currency may temporarily delay the ability of our mainland China subsidiaries and the VIE to remit sufficient foreign currency to pay dividends or other payments to us, or otherwise satisfy their foreign currency denominated obligations. For risks relating to the fund flows of our operations in mainland China, see “Risk Factors—Risks Related to Doing Business in Mainland China—We may rely on dividends and other distributions on equity paid by our mainland China subsidiaries to fund any cash and financing requirements we may have, and any limitation on the ability of our mainland China subsidiaries to make payments to us could have a material and adverse effect on our ability to conduct our business,” and “—Governmental control of currency conversion may affect the value of your investment.”</w:t>
      </w:r>
    </w:p>
    <w:p>
      <w:pPr>
        <w:spacing w:after="0" w:line="195"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For the Cayman Islands, PRC and U.S. federal income tax considerations applicable to an investment in our securities, see “Taxation.” If any dividend is paid by our PRC subsidiaries to us in the future, under the PRC Enterprise Income Tax Law, or the EIT Law, and its implementation rules, dividends from our PRC subsidiaries to its non-PRC shareholders may be subject to a 10% withholding tax if such dividends are derived from profits. If WeRide Inc. or our offshore subsidiaries are deemed to be a PRC resident enterprise (we do not currently consider WeRide Inc. or our offshore subsidiaries to be PRC resident enterprises), the withholding tax may be exempted, but WeRide Inc. or our offshore subsidiaries will be subject to a 25% tax on our worldwide income, and our non-PRC enterprise investors may be subject to PRC income tax withholding at a rate of 10%.</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20"/>
          </w:cols>
          <w:pgMar w:left="320" w:top="455" w:right="6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4018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8970" cy="44018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VIE Consolidation Schedule</w:t>
      </w:r>
    </w:p>
    <w:p>
      <w:pPr>
        <w:spacing w:after="0" w:line="121" w:lineRule="exact"/>
        <w:rPr>
          <w:sz w:val="20"/>
          <w:szCs w:val="20"/>
          <w:color w:val="auto"/>
        </w:rPr>
      </w:pPr>
    </w:p>
    <w:p>
      <w:pPr>
        <w:ind w:left="300" w:right="320" w:firstLine="426"/>
        <w:spacing w:after="0" w:line="266" w:lineRule="auto"/>
        <w:rPr>
          <w:sz w:val="20"/>
          <w:szCs w:val="20"/>
          <w:color w:val="auto"/>
        </w:rPr>
      </w:pPr>
      <w:r>
        <w:rPr>
          <w:rFonts w:ascii="Times New Roman" w:cs="Times New Roman" w:eastAsia="Times New Roman" w:hAnsi="Times New Roman"/>
          <w:sz w:val="18"/>
          <w:szCs w:val="18"/>
          <w:color w:val="auto"/>
        </w:rPr>
        <w:t>The following tables present the condensed consolidating schedule of WeRide Inc. depicting the consolidated statements of profit or loss for the years ended December 31, 2020 and 2021 and the six months ended June 30, 2022 of WeRide Inc., its subsidiaries, the VIE and the VIE’s subsidiaries, and the corresponding eliminating adjustments separately.</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8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gridSpan w:val="7"/>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For the Six Months Ended June 30, 2022</w:t>
            </w: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18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1260" w:type="dxa"/>
            <w:vAlign w:val="bottom"/>
            <w:gridSpan w:val="3"/>
            <w:vMerge w:val="restart"/>
          </w:tcPr>
          <w:p>
            <w:pPr>
              <w:jc w:val="right"/>
              <w:ind w:right="221"/>
              <w:spacing w:after="0"/>
              <w:rPr>
                <w:sz w:val="20"/>
                <w:szCs w:val="20"/>
                <w:color w:val="auto"/>
              </w:rPr>
            </w:pPr>
            <w:r>
              <w:rPr>
                <w:rFonts w:ascii="Times New Roman" w:cs="Times New Roman" w:eastAsia="Times New Roman" w:hAnsi="Times New Roman"/>
                <w:sz w:val="14"/>
                <w:szCs w:val="14"/>
                <w:color w:val="auto"/>
              </w:rPr>
              <w:t>WeRide Inc.</w:t>
            </w:r>
          </w:p>
        </w:tc>
        <w:tc>
          <w:tcPr>
            <w:tcW w:w="900" w:type="dxa"/>
            <w:vAlign w:val="bottom"/>
            <w:gridSpan w:val="2"/>
            <w:vMerge w:val="restart"/>
          </w:tcPr>
          <w:p>
            <w:pPr>
              <w:jc w:val="right"/>
              <w:ind w:right="101"/>
              <w:spacing w:after="0"/>
              <w:rPr>
                <w:sz w:val="20"/>
                <w:szCs w:val="20"/>
                <w:color w:val="auto"/>
              </w:rPr>
            </w:pPr>
            <w:r>
              <w:rPr>
                <w:rFonts w:ascii="Times New Roman" w:cs="Times New Roman" w:eastAsia="Times New Roman" w:hAnsi="Times New Roman"/>
                <w:sz w:val="14"/>
                <w:szCs w:val="14"/>
                <w:color w:val="auto"/>
              </w:rPr>
              <w:t>Subsidiaries</w:t>
            </w:r>
          </w:p>
        </w:tc>
        <w:tc>
          <w:tcPr>
            <w:tcW w:w="140" w:type="dxa"/>
            <w:vAlign w:val="bottom"/>
          </w:tcPr>
          <w:p>
            <w:pPr>
              <w:spacing w:after="0"/>
              <w:rPr>
                <w:sz w:val="10"/>
                <w:szCs w:val="10"/>
                <w:color w:val="auto"/>
              </w:rPr>
            </w:pPr>
          </w:p>
        </w:tc>
        <w:tc>
          <w:tcPr>
            <w:tcW w:w="1000" w:type="dxa"/>
            <w:vAlign w:val="bottom"/>
            <w:gridSpan w:val="2"/>
          </w:tcPr>
          <w:p>
            <w:pPr>
              <w:jc w:val="right"/>
              <w:ind w:right="241"/>
              <w:spacing w:after="0" w:line="119" w:lineRule="exact"/>
              <w:rPr>
                <w:sz w:val="20"/>
                <w:szCs w:val="20"/>
                <w:color w:val="auto"/>
              </w:rPr>
            </w:pPr>
            <w:r>
              <w:rPr>
                <w:rFonts w:ascii="Times New Roman" w:cs="Times New Roman" w:eastAsia="Times New Roman" w:hAnsi="Times New Roman"/>
                <w:sz w:val="13"/>
                <w:szCs w:val="13"/>
                <w:color w:val="auto"/>
              </w:rPr>
              <w:t>VIE and its</w:t>
            </w:r>
          </w:p>
        </w:tc>
        <w:tc>
          <w:tcPr>
            <w:tcW w:w="10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Eliminations</w:t>
            </w:r>
          </w:p>
        </w:tc>
        <w:tc>
          <w:tcPr>
            <w:tcW w:w="14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Consolidated Total</w:t>
            </w: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241"/>
              <w:spacing w:after="0"/>
              <w:rPr>
                <w:sz w:val="20"/>
                <w:szCs w:val="20"/>
                <w:color w:val="auto"/>
              </w:rPr>
            </w:pPr>
            <w:r>
              <w:rPr>
                <w:rFonts w:ascii="Times New Roman" w:cs="Times New Roman" w:eastAsia="Times New Roman" w:hAnsi="Times New Roman"/>
                <w:sz w:val="14"/>
                <w:szCs w:val="14"/>
                <w:color w:val="auto"/>
                <w:w w:val="99"/>
              </w:rPr>
              <w:t>subsidiaries</w:t>
            </w:r>
          </w:p>
        </w:tc>
        <w:tc>
          <w:tcPr>
            <w:tcW w:w="1060" w:type="dxa"/>
            <w:vAlign w:val="bottom"/>
            <w:gridSpan w:val="2"/>
            <w:vMerge w:val="continue"/>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200" w:type="dxa"/>
            <w:vAlign w:val="bottom"/>
            <w:tcBorders>
              <w:top w:val="single" w:sz="8" w:color="auto"/>
            </w:tcBorders>
            <w:gridSpan w:val="5"/>
          </w:tcPr>
          <w:p>
            <w:pPr>
              <w:jc w:val="right"/>
              <w:ind w:right="940"/>
              <w:spacing w:after="0" w:line="142" w:lineRule="exact"/>
              <w:rPr>
                <w:sz w:val="20"/>
                <w:szCs w:val="20"/>
                <w:color w:val="auto"/>
              </w:rPr>
            </w:pPr>
            <w:r>
              <w:rPr>
                <w:rFonts w:ascii="Times New Roman" w:cs="Times New Roman" w:eastAsia="Times New Roman" w:hAnsi="Times New Roman"/>
                <w:sz w:val="14"/>
                <w:szCs w:val="14"/>
                <w:i w:val="1"/>
                <w:iCs w:val="1"/>
                <w:color w:val="auto"/>
              </w:rPr>
              <w:t>(RMB in thousands)</w:t>
            </w:r>
          </w:p>
        </w:tc>
        <w:tc>
          <w:tcPr>
            <w:tcW w:w="11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145,939</w:t>
            </w:r>
          </w:p>
        </w:tc>
        <w:tc>
          <w:tcPr>
            <w:tcW w:w="1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59,963</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(66,177)</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139,725</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(75,510)</w:t>
            </w:r>
          </w:p>
        </w:tc>
        <w:tc>
          <w:tcPr>
            <w:tcW w:w="114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color w:val="auto"/>
              </w:rPr>
              <w:t>(43,207)</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42,421</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(76,296)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70,429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16,756</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(23,756)</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63,429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Other net income</w:t>
            </w:r>
          </w:p>
        </w:tc>
        <w:tc>
          <w:tcPr>
            <w:tcW w:w="240" w:type="dxa"/>
            <w:vAlign w:val="bottom"/>
          </w:tcPr>
          <w:p>
            <w:pPr>
              <w:spacing w:after="0"/>
              <w:rPr>
                <w:sz w:val="18"/>
                <w:szCs w:val="18"/>
                <w:color w:val="auto"/>
              </w:rPr>
            </w:pPr>
          </w:p>
        </w:tc>
        <w:tc>
          <w:tcPr>
            <w:tcW w:w="102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27,813</w:t>
            </w:r>
          </w:p>
        </w:tc>
        <w:tc>
          <w:tcPr>
            <w:tcW w:w="1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9,145</w:t>
            </w:r>
          </w:p>
        </w:tc>
        <w:tc>
          <w:tcPr>
            <w:tcW w:w="3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(7,037)</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29,921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(211,765)</w:t>
            </w:r>
          </w:p>
        </w:tc>
        <w:tc>
          <w:tcPr>
            <w:tcW w:w="1140" w:type="dxa"/>
            <w:vAlign w:val="bottom"/>
            <w:gridSpan w:val="3"/>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(130,588)</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23,661</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(318,692)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126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color w:val="auto"/>
              </w:rPr>
              <w:t>(3,528)</w:t>
            </w:r>
          </w:p>
        </w:tc>
        <w:tc>
          <w:tcPr>
            <w:tcW w:w="9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(42,946)</w:t>
            </w:r>
          </w:p>
        </w:tc>
        <w:tc>
          <w:tcPr>
            <w:tcW w:w="114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color w:val="auto"/>
              </w:rPr>
              <w:t>(29,759)</w:t>
            </w: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(76,233)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(5,807)</w:t>
            </w:r>
          </w:p>
        </w:tc>
        <w:tc>
          <w:tcPr>
            <w:tcW w:w="1140" w:type="dxa"/>
            <w:vAlign w:val="bottom"/>
            <w:gridSpan w:val="3"/>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(3,205)</w:t>
            </w: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(9,012)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Impairment loss on receivables and contract assets</w:t>
            </w:r>
          </w:p>
        </w:tc>
        <w:tc>
          <w:tcPr>
            <w:tcW w:w="24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(3,408)</w:t>
            </w:r>
          </w:p>
        </w:tc>
        <w:tc>
          <w:tcPr>
            <w:tcW w:w="114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color w:val="auto"/>
              </w:rPr>
              <w:t>(119)</w:t>
            </w: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(3,527)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(3,528)</w:t>
            </w:r>
          </w:p>
        </w:tc>
        <w:tc>
          <w:tcPr>
            <w:tcW w:w="9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(165,684)</w:t>
            </w:r>
          </w:p>
        </w:tc>
        <w:tc>
          <w:tcPr>
            <w:tcW w:w="1140" w:type="dxa"/>
            <w:vAlign w:val="bottom"/>
            <w:gridSpan w:val="3"/>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(137,770)</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(7,132)</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(314,114)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80" w:type="dxa"/>
            <w:vAlign w:val="bottom"/>
          </w:tcPr>
          <w:p>
            <w:pPr>
              <w:spacing w:after="0"/>
              <w:rPr>
                <w:sz w:val="17"/>
                <w:szCs w:val="17"/>
                <w:color w:val="auto"/>
              </w:rPr>
            </w:pPr>
          </w:p>
        </w:tc>
        <w:tc>
          <w:tcPr>
            <w:tcW w:w="5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Fair value changes of financial assets measured at fair value through</w:t>
            </w: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profit or loss (“FVTPL”)</w:t>
            </w:r>
          </w:p>
        </w:tc>
        <w:tc>
          <w:tcPr>
            <w:tcW w:w="240" w:type="dxa"/>
            <w:vAlign w:val="bottom"/>
          </w:tcPr>
          <w:p>
            <w:pPr>
              <w:spacing w:after="0"/>
              <w:rPr>
                <w:sz w:val="20"/>
                <w:szCs w:val="20"/>
                <w:color w:val="auto"/>
              </w:rPr>
            </w:pPr>
          </w:p>
        </w:tc>
        <w:tc>
          <w:tcPr>
            <w:tcW w:w="102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finance costs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(1,452)</w:t>
            </w:r>
          </w:p>
        </w:tc>
        <w:tc>
          <w:tcPr>
            <w:tcW w:w="1140" w:type="dxa"/>
            <w:vAlign w:val="bottom"/>
            <w:gridSpan w:val="3"/>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(795)</w:t>
            </w: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(2,247)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Inducement charges of warrants</w:t>
            </w:r>
          </w:p>
        </w:tc>
        <w:tc>
          <w:tcPr>
            <w:tcW w:w="24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(120,750)</w:t>
            </w:r>
          </w:p>
        </w:tc>
        <w:tc>
          <w:tcPr>
            <w:tcW w:w="30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7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changes of financial liabilities measured at FVTPL</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11,162</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11,162</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80" w:type="dxa"/>
            <w:vAlign w:val="bottom"/>
          </w:tcPr>
          <w:p>
            <w:pPr>
              <w:spacing w:after="0"/>
              <w:rPr>
                <w:sz w:val="17"/>
                <w:szCs w:val="17"/>
                <w:color w:val="auto"/>
              </w:rPr>
            </w:pPr>
          </w:p>
        </w:tc>
        <w:tc>
          <w:tcPr>
            <w:tcW w:w="5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Changes in the carrying amounts of preferred shares and other</w:t>
            </w: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financial instruments subject to redemption and other preferential</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rights</w:t>
            </w:r>
          </w:p>
        </w:tc>
        <w:tc>
          <w:tcPr>
            <w:tcW w:w="126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color w:val="auto"/>
              </w:rPr>
              <w:t>(231,979)</w:t>
            </w:r>
          </w:p>
        </w:tc>
        <w:tc>
          <w:tcPr>
            <w:tcW w:w="9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(231,979)</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loss from subsidiaries and VIE</w:t>
            </w:r>
          </w:p>
        </w:tc>
        <w:tc>
          <w:tcPr>
            <w:tcW w:w="1260" w:type="dxa"/>
            <w:vAlign w:val="bottom"/>
            <w:gridSpan w:val="3"/>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(312,790)</w:t>
            </w:r>
          </w:p>
        </w:tc>
        <w:tc>
          <w:tcPr>
            <w:tcW w:w="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(312,790)</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before taxation</w:t>
            </w:r>
          </w:p>
        </w:tc>
        <w:tc>
          <w:tcPr>
            <w:tcW w:w="24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(657,885)</w:t>
            </w:r>
          </w:p>
        </w:tc>
        <w:tc>
          <w:tcPr>
            <w:tcW w:w="30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(167,093)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(138,565)</w:t>
            </w:r>
          </w:p>
        </w:tc>
        <w:tc>
          <w:tcPr>
            <w:tcW w:w="30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305,658</w:t>
            </w:r>
          </w:p>
        </w:tc>
        <w:tc>
          <w:tcPr>
            <w:tcW w:w="30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(657,885)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for the period</w:t>
            </w:r>
          </w:p>
        </w:tc>
        <w:tc>
          <w:tcPr>
            <w:tcW w:w="2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(657,885</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(167,093</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(138,565</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305,658</w:t>
            </w:r>
          </w:p>
        </w:tc>
        <w:tc>
          <w:tcPr>
            <w:tcW w:w="3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(657,885)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80" w:type="dxa"/>
            <w:vAlign w:val="bottom"/>
            <w:tcBorders>
              <w:bottom w:val="single" w:sz="8" w:color="auto"/>
            </w:tcBorders>
          </w:tcPr>
          <w:p>
            <w:pPr>
              <w:spacing w:after="0"/>
              <w:rPr>
                <w:sz w:val="13"/>
                <w:szCs w:val="13"/>
                <w:color w:val="auto"/>
              </w:rPr>
            </w:pPr>
          </w:p>
        </w:tc>
        <w:tc>
          <w:tcPr>
            <w:tcW w:w="50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61"/>
        </w:trPr>
        <w:tc>
          <w:tcPr>
            <w:tcW w:w="18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96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557"/>
        </w:trPr>
        <w:tc>
          <w:tcPr>
            <w:tcW w:w="180" w:type="dxa"/>
            <w:vAlign w:val="bottom"/>
            <w:tcBorders>
              <w:top w:val="single" w:sz="8" w:color="auto"/>
              <w:left w:val="single" w:sz="8" w:color="auto"/>
            </w:tcBorders>
          </w:tcPr>
          <w:p>
            <w:pPr>
              <w:spacing w:after="0"/>
              <w:rPr>
                <w:sz w:val="24"/>
                <w:szCs w:val="24"/>
                <w:color w:val="auto"/>
              </w:rPr>
            </w:pPr>
          </w:p>
        </w:tc>
        <w:tc>
          <w:tcPr>
            <w:tcW w:w="52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2960" w:type="dxa"/>
            <w:vAlign w:val="bottom"/>
            <w:tcBorders>
              <w:top w:val="single" w:sz="8" w:color="auto"/>
              <w:bottom w:val="single" w:sz="8" w:color="auto"/>
            </w:tcBorders>
            <w:gridSpan w:val="6"/>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For the Year Ended December 31, 2021</w:t>
            </w:r>
          </w:p>
        </w:tc>
        <w:tc>
          <w:tcPr>
            <w:tcW w:w="92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80" w:type="dxa"/>
            <w:vAlign w:val="bottom"/>
            <w:tcBorders>
              <w:left w:val="single" w:sz="8" w:color="auto"/>
            </w:tcBorders>
          </w:tcPr>
          <w:p>
            <w:pPr>
              <w:spacing w:after="0"/>
              <w:rPr>
                <w:sz w:val="10"/>
                <w:szCs w:val="10"/>
                <w:color w:val="auto"/>
              </w:rPr>
            </w:pPr>
          </w:p>
        </w:tc>
        <w:tc>
          <w:tcPr>
            <w:tcW w:w="5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WeRide Inc.</w:t>
            </w:r>
          </w:p>
        </w:tc>
        <w:tc>
          <w:tcPr>
            <w:tcW w:w="98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Subsidiaries</w:t>
            </w:r>
          </w:p>
        </w:tc>
        <w:tc>
          <w:tcPr>
            <w:tcW w:w="980" w:type="dxa"/>
            <w:vAlign w:val="bottom"/>
            <w:gridSpan w:val="2"/>
          </w:tcPr>
          <w:p>
            <w:pPr>
              <w:jc w:val="right"/>
              <w:ind w:right="280"/>
              <w:spacing w:after="0" w:line="119" w:lineRule="exact"/>
              <w:rPr>
                <w:sz w:val="20"/>
                <w:szCs w:val="20"/>
                <w:color w:val="auto"/>
              </w:rPr>
            </w:pPr>
            <w:r>
              <w:rPr>
                <w:rFonts w:ascii="Times New Roman" w:cs="Times New Roman" w:eastAsia="Times New Roman" w:hAnsi="Times New Roman"/>
                <w:sz w:val="13"/>
                <w:szCs w:val="13"/>
                <w:color w:val="auto"/>
              </w:rPr>
              <w:t>VIE and its</w:t>
            </w:r>
          </w:p>
        </w:tc>
        <w:tc>
          <w:tcPr>
            <w:tcW w:w="10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Eliminations</w:t>
            </w:r>
          </w:p>
        </w:tc>
        <w:tc>
          <w:tcPr>
            <w:tcW w:w="92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Consolidated</w:t>
            </w:r>
          </w:p>
        </w:tc>
        <w:tc>
          <w:tcPr>
            <w:tcW w:w="340" w:type="dxa"/>
            <w:vAlign w:val="bottom"/>
            <w:tcBorders>
              <w:right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80" w:type="dxa"/>
            <w:vAlign w:val="bottom"/>
            <w:tcBorders>
              <w:left w:val="single" w:sz="8" w:color="auto"/>
            </w:tcBorders>
          </w:tcPr>
          <w:p>
            <w:pPr>
              <w:spacing w:after="0"/>
              <w:rPr>
                <w:sz w:val="14"/>
                <w:szCs w:val="14"/>
                <w:color w:val="auto"/>
              </w:rPr>
            </w:pPr>
          </w:p>
        </w:tc>
        <w:tc>
          <w:tcPr>
            <w:tcW w:w="5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subsidiaries</w:t>
            </w:r>
          </w:p>
        </w:tc>
        <w:tc>
          <w:tcPr>
            <w:tcW w:w="1000" w:type="dxa"/>
            <w:vAlign w:val="bottom"/>
            <w:gridSpan w:val="2"/>
            <w:vMerge w:val="continue"/>
          </w:tcPr>
          <w:p>
            <w:pPr>
              <w:spacing w:after="0"/>
              <w:rPr>
                <w:sz w:val="14"/>
                <w:szCs w:val="14"/>
                <w:color w:val="auto"/>
              </w:rPr>
            </w:pPr>
          </w:p>
        </w:tc>
        <w:tc>
          <w:tcPr>
            <w:tcW w:w="1260" w:type="dxa"/>
            <w:vAlign w:val="bottom"/>
            <w:tcBorders>
              <w:right w:val="single" w:sz="8" w:color="auto"/>
            </w:tcBorders>
            <w:gridSpan w:val="3"/>
          </w:tcPr>
          <w:p>
            <w:pPr>
              <w:ind w:left="32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2"/>
        </w:trPr>
        <w:tc>
          <w:tcPr>
            <w:tcW w:w="180" w:type="dxa"/>
            <w:vAlign w:val="bottom"/>
            <w:tcBorders>
              <w:left w:val="single" w:sz="8" w:color="auto"/>
            </w:tcBorders>
          </w:tcPr>
          <w:p>
            <w:pPr>
              <w:spacing w:after="0"/>
              <w:rPr>
                <w:sz w:val="12"/>
                <w:szCs w:val="12"/>
                <w:color w:val="auto"/>
              </w:rPr>
            </w:pPr>
          </w:p>
        </w:tc>
        <w:tc>
          <w:tcPr>
            <w:tcW w:w="5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(RMB in thousands)</w:t>
            </w:r>
          </w:p>
        </w:tc>
        <w:tc>
          <w:tcPr>
            <w:tcW w:w="7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127,209</w:t>
            </w:r>
          </w:p>
        </w:tc>
        <w:tc>
          <w:tcPr>
            <w:tcW w:w="2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116,025</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(105,062)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138,172</w:t>
            </w:r>
          </w:p>
        </w:tc>
        <w:tc>
          <w:tcPr>
            <w:tcW w:w="140" w:type="dxa"/>
            <w:vAlign w:val="bottom"/>
            <w:shd w:val="clear" w:color="auto" w:fill="CCEEFF"/>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Pr>
          <w:p>
            <w:pPr>
              <w:spacing w:after="0"/>
              <w:rPr>
                <w:sz w:val="18"/>
                <w:szCs w:val="18"/>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(80,018)</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(12,903)</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6,409</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(86,512)</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tcBorders>
              <w:left w:val="single" w:sz="8" w:color="auto"/>
            </w:tcBorders>
            <w:vMerge w:val="restart"/>
          </w:tcPr>
          <w:p>
            <w:pPr>
              <w:spacing w:after="0"/>
              <w:rPr>
                <w:sz w:val="2"/>
                <w:szCs w:val="2"/>
                <w:color w:val="auto"/>
              </w:rPr>
            </w:pPr>
          </w:p>
        </w:tc>
        <w:tc>
          <w:tcPr>
            <w:tcW w:w="5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tcBorders>
              <w:left w:val="single" w:sz="8" w:color="auto"/>
            </w:tcBorders>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47,191</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103,122</w:t>
            </w:r>
          </w:p>
        </w:tc>
        <w:tc>
          <w:tcPr>
            <w:tcW w:w="240" w:type="dxa"/>
            <w:vAlign w:val="bottom"/>
            <w:tcBorders>
              <w:right w:val="single" w:sz="8" w:color="CCEEFF"/>
            </w:tcBorders>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(98,653)</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51,660</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Other net income</w:t>
            </w:r>
          </w:p>
        </w:tc>
        <w:tc>
          <w:tcPr>
            <w:tcW w:w="32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5,670</w:t>
            </w:r>
          </w:p>
        </w:tc>
        <w:tc>
          <w:tcPr>
            <w:tcW w:w="2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26,691</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3,111</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35,472</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(391,003)</w:t>
            </w:r>
          </w:p>
        </w:tc>
        <w:tc>
          <w:tcPr>
            <w:tcW w:w="9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(149,976)</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97,801</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(443,178)</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14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(10,169)</w:t>
            </w:r>
          </w:p>
        </w:tc>
        <w:tc>
          <w:tcPr>
            <w:tcW w:w="9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(63,441)</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(34,808)</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(107,119)</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(8,348)</w:t>
            </w:r>
          </w:p>
        </w:tc>
        <w:tc>
          <w:tcPr>
            <w:tcW w:w="9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(3,877)</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(12,225)</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Impairment loss on receivables</w:t>
            </w:r>
          </w:p>
        </w:tc>
        <w:tc>
          <w:tcPr>
            <w:tcW w:w="320" w:type="dxa"/>
            <w:vAlign w:val="bottom"/>
          </w:tcPr>
          <w:p>
            <w:pPr>
              <w:spacing w:after="0"/>
              <w:rPr>
                <w:sz w:val="18"/>
                <w:szCs w:val="18"/>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(400)</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(409)</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tcBorders>
              <w:left w:val="single" w:sz="8" w:color="auto"/>
            </w:tcBorders>
            <w:vMerge w:val="restart"/>
          </w:tcPr>
          <w:p>
            <w:pPr>
              <w:spacing w:after="0"/>
              <w:rPr>
                <w:sz w:val="2"/>
                <w:szCs w:val="2"/>
                <w:color w:val="auto"/>
              </w:rPr>
            </w:pPr>
          </w:p>
        </w:tc>
        <w:tc>
          <w:tcPr>
            <w:tcW w:w="5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tcBorders>
              <w:left w:val="single" w:sz="8" w:color="auto"/>
            </w:tcBorders>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(10,169)</w:t>
            </w:r>
          </w:p>
        </w:tc>
        <w:tc>
          <w:tcPr>
            <w:tcW w:w="98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(410,331)</w:t>
            </w:r>
          </w:p>
        </w:tc>
        <w:tc>
          <w:tcPr>
            <w:tcW w:w="9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(58,857)</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3,558</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(475,799)</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Fair value changes of financial assets measured at FVTPL</w:t>
            </w:r>
          </w:p>
        </w:tc>
        <w:tc>
          <w:tcPr>
            <w:tcW w:w="32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w:t>
            </w:r>
          </w:p>
        </w:tc>
        <w:tc>
          <w:tcPr>
            <w:tcW w:w="24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w:t>
            </w:r>
          </w:p>
        </w:tc>
        <w:tc>
          <w:tcPr>
            <w:tcW w:w="1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finance costs</w:t>
            </w:r>
          </w:p>
        </w:tc>
        <w:tc>
          <w:tcPr>
            <w:tcW w:w="14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(1,436)</w:t>
            </w:r>
          </w:p>
        </w:tc>
        <w:tc>
          <w:tcPr>
            <w:tcW w:w="98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(3,519)</w:t>
            </w:r>
          </w:p>
        </w:tc>
        <w:tc>
          <w:tcPr>
            <w:tcW w:w="9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(1,962)</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(6,917)</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Fair value changes of financial liabilities measured at FVTPL</w:t>
            </w:r>
          </w:p>
        </w:tc>
        <w:tc>
          <w:tcPr>
            <w:tcW w:w="14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(259,872)</w:t>
            </w:r>
          </w:p>
        </w:tc>
        <w:tc>
          <w:tcPr>
            <w:tcW w:w="98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(259,872)</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80" w:type="dxa"/>
            <w:vAlign w:val="bottom"/>
            <w:tcBorders>
              <w:left w:val="single" w:sz="8" w:color="auto"/>
            </w:tcBorders>
          </w:tcPr>
          <w:p>
            <w:pPr>
              <w:spacing w:after="0"/>
              <w:rPr>
                <w:sz w:val="17"/>
                <w:szCs w:val="17"/>
                <w:color w:val="auto"/>
              </w:rPr>
            </w:pPr>
          </w:p>
        </w:tc>
        <w:tc>
          <w:tcPr>
            <w:tcW w:w="5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Changes in the carrying amounts of preferred shares and other financial</w:t>
            </w: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0" w:type="dxa"/>
            <w:vAlign w:val="bottom"/>
            <w:tcBorders>
              <w:left w:val="single" w:sz="8" w:color="auto"/>
            </w:tcBorders>
          </w:tcPr>
          <w:p>
            <w:pPr>
              <w:spacing w:after="0"/>
              <w:rPr>
                <w:sz w:val="20"/>
                <w:szCs w:val="20"/>
                <w:color w:val="auto"/>
              </w:rPr>
            </w:pPr>
          </w:p>
        </w:tc>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instruments subject to redemption and other preferential rights</w:t>
            </w:r>
          </w:p>
        </w:tc>
        <w:tc>
          <w:tcPr>
            <w:tcW w:w="14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(268,142)</w:t>
            </w:r>
          </w:p>
        </w:tc>
        <w:tc>
          <w:tcPr>
            <w:tcW w:w="98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(268,142)</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Share of loss from subsidiaries and VIE</w:t>
            </w:r>
          </w:p>
        </w:tc>
        <w:tc>
          <w:tcPr>
            <w:tcW w:w="3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(467,632)</w:t>
            </w:r>
          </w:p>
        </w:tc>
        <w:tc>
          <w:tcPr>
            <w:tcW w:w="98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467,632</w:t>
            </w:r>
          </w:p>
        </w:tc>
        <w:tc>
          <w:tcPr>
            <w:tcW w:w="2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tcBorders>
              <w:left w:val="single" w:sz="8" w:color="auto"/>
            </w:tcBorders>
            <w:vMerge w:val="restart"/>
          </w:tcPr>
          <w:p>
            <w:pPr>
              <w:spacing w:after="0"/>
              <w:rPr>
                <w:sz w:val="2"/>
                <w:szCs w:val="2"/>
                <w:color w:val="auto"/>
              </w:rPr>
            </w:pPr>
          </w:p>
        </w:tc>
        <w:tc>
          <w:tcPr>
            <w:tcW w:w="5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tcBorders>
              <w:left w:val="single" w:sz="8" w:color="auto"/>
            </w:tcBorders>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taxation</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(1,007,251)</w:t>
            </w:r>
          </w:p>
        </w:tc>
        <w:tc>
          <w:tcPr>
            <w:tcW w:w="98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(413,776)</w:t>
            </w:r>
          </w:p>
        </w:tc>
        <w:tc>
          <w:tcPr>
            <w:tcW w:w="9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(57,414)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471,190</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(1,007,251)</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Borders>
              <w:left w:val="single" w:sz="8" w:color="auto"/>
            </w:tcBorders>
          </w:tcPr>
          <w:p>
            <w:pPr>
              <w:spacing w:after="0"/>
              <w:rPr>
                <w:sz w:val="19"/>
                <w:szCs w:val="19"/>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Income tax</w:t>
            </w:r>
          </w:p>
        </w:tc>
        <w:tc>
          <w:tcPr>
            <w:tcW w:w="320" w:type="dxa"/>
            <w:vAlign w:val="bottom"/>
          </w:tcPr>
          <w:p>
            <w:pPr>
              <w:spacing w:after="0"/>
              <w:rPr>
                <w:sz w:val="19"/>
                <w:szCs w:val="19"/>
                <w:color w:val="auto"/>
              </w:rPr>
            </w:pPr>
          </w:p>
        </w:tc>
        <w:tc>
          <w:tcPr>
            <w:tcW w:w="9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for the year</w:t>
            </w:r>
          </w:p>
        </w:tc>
        <w:tc>
          <w:tcPr>
            <w:tcW w:w="14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(1,007,251)</w:t>
            </w:r>
          </w:p>
        </w:tc>
        <w:tc>
          <w:tcPr>
            <w:tcW w:w="98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(413,776)</w:t>
            </w:r>
          </w:p>
        </w:tc>
        <w:tc>
          <w:tcPr>
            <w:tcW w:w="9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(57,414)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471,190</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(1,007,251)</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Borders>
              <w:left w:val="single" w:sz="8" w:color="auto"/>
            </w:tcBorders>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80" w:type="dxa"/>
            <w:vAlign w:val="bottom"/>
            <w:tcBorders>
              <w:left w:val="single" w:sz="8" w:color="auto"/>
              <w:bottom w:val="single" w:sz="8" w:color="auto"/>
            </w:tcBorders>
          </w:tcPr>
          <w:p>
            <w:pPr>
              <w:spacing w:after="0"/>
              <w:rPr>
                <w:sz w:val="13"/>
                <w:szCs w:val="13"/>
                <w:color w:val="auto"/>
              </w:rPr>
            </w:pPr>
          </w:p>
        </w:tc>
        <w:tc>
          <w:tcPr>
            <w:tcW w:w="52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61"/>
        </w:trPr>
        <w:tc>
          <w:tcPr>
            <w:tcW w:w="18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6705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8970" cy="567055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7"/>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For the Year Ended December 31, 2020</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400" w:type="dxa"/>
            <w:vAlign w:val="bottom"/>
          </w:tcPr>
          <w:p>
            <w:pPr>
              <w:spacing w:after="0"/>
              <w:rPr>
                <w:sz w:val="10"/>
                <w:szCs w:val="10"/>
                <w:color w:val="auto"/>
              </w:rPr>
            </w:pPr>
          </w:p>
        </w:tc>
        <w:tc>
          <w:tcPr>
            <w:tcW w:w="1260" w:type="dxa"/>
            <w:vAlign w:val="bottom"/>
            <w:gridSpan w:val="3"/>
            <w:vMerge w:val="restart"/>
          </w:tcPr>
          <w:p>
            <w:pPr>
              <w:jc w:val="right"/>
              <w:ind w:right="221"/>
              <w:spacing w:after="0"/>
              <w:rPr>
                <w:sz w:val="20"/>
                <w:szCs w:val="20"/>
                <w:color w:val="auto"/>
              </w:rPr>
            </w:pPr>
            <w:r>
              <w:rPr>
                <w:rFonts w:ascii="Times New Roman" w:cs="Times New Roman" w:eastAsia="Times New Roman" w:hAnsi="Times New Roman"/>
                <w:sz w:val="14"/>
                <w:szCs w:val="14"/>
                <w:color w:val="auto"/>
              </w:rPr>
              <w:t>WeRide Inc.</w:t>
            </w:r>
          </w:p>
        </w:tc>
        <w:tc>
          <w:tcPr>
            <w:tcW w:w="820" w:type="dxa"/>
            <w:vAlign w:val="bottom"/>
            <w:gridSpan w:val="2"/>
            <w:vMerge w:val="restart"/>
          </w:tcPr>
          <w:p>
            <w:pPr>
              <w:jc w:val="right"/>
              <w:ind w:right="21"/>
              <w:spacing w:after="0"/>
              <w:rPr>
                <w:sz w:val="20"/>
                <w:szCs w:val="20"/>
                <w:color w:val="auto"/>
              </w:rPr>
            </w:pPr>
            <w:r>
              <w:rPr>
                <w:rFonts w:ascii="Times New Roman" w:cs="Times New Roman" w:eastAsia="Times New Roman" w:hAnsi="Times New Roman"/>
                <w:sz w:val="14"/>
                <w:szCs w:val="14"/>
                <w:color w:val="auto"/>
              </w:rPr>
              <w:t>Subsidiaries</w:t>
            </w:r>
          </w:p>
        </w:tc>
        <w:tc>
          <w:tcPr>
            <w:tcW w:w="220" w:type="dxa"/>
            <w:vAlign w:val="bottom"/>
          </w:tcPr>
          <w:p>
            <w:pPr>
              <w:spacing w:after="0"/>
              <w:rPr>
                <w:sz w:val="10"/>
                <w:szCs w:val="10"/>
                <w:color w:val="auto"/>
              </w:rPr>
            </w:pPr>
          </w:p>
        </w:tc>
        <w:tc>
          <w:tcPr>
            <w:tcW w:w="1000" w:type="dxa"/>
            <w:vAlign w:val="bottom"/>
            <w:gridSpan w:val="2"/>
          </w:tcPr>
          <w:p>
            <w:pPr>
              <w:jc w:val="right"/>
              <w:ind w:right="340"/>
              <w:spacing w:after="0" w:line="119" w:lineRule="exact"/>
              <w:rPr>
                <w:sz w:val="20"/>
                <w:szCs w:val="20"/>
                <w:color w:val="auto"/>
              </w:rPr>
            </w:pPr>
            <w:r>
              <w:rPr>
                <w:rFonts w:ascii="Times New Roman" w:cs="Times New Roman" w:eastAsia="Times New Roman" w:hAnsi="Times New Roman"/>
                <w:sz w:val="13"/>
                <w:szCs w:val="13"/>
                <w:color w:val="auto"/>
              </w:rPr>
              <w:t>VIE and its</w:t>
            </w:r>
          </w:p>
        </w:tc>
        <w:tc>
          <w:tcPr>
            <w:tcW w:w="10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Eliminations</w:t>
            </w:r>
          </w:p>
        </w:tc>
        <w:tc>
          <w:tcPr>
            <w:tcW w:w="78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Consolidated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w w:val="99"/>
              </w:rPr>
              <w:t>subsidiaries</w:t>
            </w:r>
          </w:p>
        </w:tc>
        <w:tc>
          <w:tcPr>
            <w:tcW w:w="1040" w:type="dxa"/>
            <w:vAlign w:val="bottom"/>
            <w:gridSpan w:val="2"/>
            <w:vMerge w:val="continue"/>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3"/>
          </w:tcPr>
          <w:p>
            <w:pPr>
              <w:jc w:val="right"/>
              <w:ind w:right="40"/>
              <w:spacing w:after="0" w:line="142" w:lineRule="exact"/>
              <w:rPr>
                <w:sz w:val="20"/>
                <w:szCs w:val="20"/>
                <w:color w:val="auto"/>
              </w:rPr>
            </w:pPr>
            <w:r>
              <w:rPr>
                <w:rFonts w:ascii="Times New Roman" w:cs="Times New Roman" w:eastAsia="Times New Roman" w:hAnsi="Times New Roman"/>
                <w:sz w:val="14"/>
                <w:szCs w:val="14"/>
                <w:i w:val="1"/>
                <w:iCs w:val="1"/>
                <w:color w:val="auto"/>
              </w:rPr>
              <w:t>(RMB in thousands)</w:t>
            </w:r>
          </w:p>
        </w:tc>
        <w:tc>
          <w:tcPr>
            <w:tcW w:w="7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13,564</w:t>
            </w:r>
          </w:p>
        </w:tc>
        <w:tc>
          <w:tcPr>
            <w:tcW w:w="12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46,940</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(42,314)</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(3,594)</w:t>
            </w:r>
          </w:p>
        </w:tc>
        <w:tc>
          <w:tcPr>
            <w:tcW w:w="12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(2,916)</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3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44,024</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(40,520)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Other net income</w:t>
            </w:r>
          </w:p>
        </w:tc>
        <w:tc>
          <w:tcPr>
            <w:tcW w:w="240" w:type="dxa"/>
            <w:vAlign w:val="bottom"/>
          </w:tcPr>
          <w:p>
            <w:pPr>
              <w:spacing w:after="0"/>
              <w:rPr>
                <w:sz w:val="18"/>
                <w:szCs w:val="18"/>
                <w:color w:val="auto"/>
              </w:rPr>
            </w:pPr>
          </w:p>
        </w:tc>
        <w:tc>
          <w:tcPr>
            <w:tcW w:w="102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1,611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32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10,755</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(294,287)</w:t>
            </w:r>
          </w:p>
        </w:tc>
        <w:tc>
          <w:tcPr>
            <w:tcW w:w="12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(79,568)</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40,504</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(333,351)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126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color w:val="auto"/>
              </w:rPr>
              <w:t>(9,082)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(135,338)</w:t>
            </w:r>
          </w:p>
        </w:tc>
        <w:tc>
          <w:tcPr>
            <w:tcW w:w="12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(7,571)</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(151,991)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(3,905)</w:t>
            </w:r>
          </w:p>
        </w:tc>
        <w:tc>
          <w:tcPr>
            <w:tcW w:w="12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(2,266)</w:t>
            </w: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Impairment loss on receivables</w:t>
            </w:r>
          </w:p>
        </w:tc>
        <w:tc>
          <w:tcPr>
            <w:tcW w:w="24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(9,082)</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(421,963)</w:t>
            </w:r>
          </w:p>
        </w:tc>
        <w:tc>
          <w:tcPr>
            <w:tcW w:w="12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(43,625)</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10,739</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(463,931)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Fair value changes of financial assets measured at FVTPL</w:t>
            </w:r>
          </w:p>
        </w:tc>
        <w:tc>
          <w:tcPr>
            <w:tcW w:w="240" w:type="dxa"/>
            <w:vAlign w:val="bottom"/>
          </w:tcPr>
          <w:p>
            <w:pPr>
              <w:spacing w:after="0"/>
              <w:rPr>
                <w:sz w:val="18"/>
                <w:szCs w:val="18"/>
                <w:color w:val="auto"/>
              </w:rPr>
            </w:pPr>
          </w:p>
        </w:tc>
        <w:tc>
          <w:tcPr>
            <w:tcW w:w="102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823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32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finance costs</w:t>
            </w:r>
          </w:p>
        </w:tc>
        <w:tc>
          <w:tcPr>
            <w:tcW w:w="1260" w:type="dxa"/>
            <w:vAlign w:val="bottom"/>
            <w:gridSpan w:val="3"/>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(45)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12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(3,750)</w:t>
            </w: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Inducement charges of warrants</w:t>
            </w:r>
          </w:p>
        </w:tc>
        <w:tc>
          <w:tcPr>
            <w:tcW w:w="126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color w:val="auto"/>
              </w:rPr>
              <w:t>(211,016)</w:t>
            </w:r>
          </w:p>
        </w:tc>
        <w:tc>
          <w:tcPr>
            <w:tcW w:w="8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(211,016)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changes of financial liabilities measured at FVTPL</w:t>
            </w:r>
          </w:p>
        </w:tc>
        <w:tc>
          <w:tcPr>
            <w:tcW w:w="1260" w:type="dxa"/>
            <w:vAlign w:val="bottom"/>
            <w:gridSpan w:val="3"/>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(12,876)</w:t>
            </w:r>
          </w:p>
        </w:tc>
        <w:tc>
          <w:tcPr>
            <w:tcW w:w="8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(12,876)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Changes in the carrying amounts of preferred shares and other financial</w:t>
            </w: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instruments subject to redemption and other preferential rights</w:t>
            </w:r>
          </w:p>
        </w:tc>
        <w:tc>
          <w:tcPr>
            <w:tcW w:w="126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color w:val="auto"/>
              </w:rPr>
              <w:t>(3,259)</w:t>
            </w:r>
          </w:p>
        </w:tc>
        <w:tc>
          <w:tcPr>
            <w:tcW w:w="8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loss from subsidiaries and VIE</w:t>
            </w:r>
          </w:p>
        </w:tc>
        <w:tc>
          <w:tcPr>
            <w:tcW w:w="1260" w:type="dxa"/>
            <w:vAlign w:val="bottom"/>
            <w:gridSpan w:val="3"/>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(458,610)</w:t>
            </w:r>
          </w:p>
        </w:tc>
        <w:tc>
          <w:tcPr>
            <w:tcW w:w="8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458,610</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before taxation</w:t>
            </w:r>
          </w:p>
        </w:tc>
        <w:tc>
          <w:tcPr>
            <w:tcW w:w="24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(694,888)</w:t>
            </w:r>
          </w:p>
        </w:tc>
        <w:tc>
          <w:tcPr>
            <w:tcW w:w="30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(424,609)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(44,740)</w:t>
            </w:r>
          </w:p>
        </w:tc>
        <w:tc>
          <w:tcPr>
            <w:tcW w:w="3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469,349</w:t>
            </w:r>
          </w:p>
        </w:tc>
        <w:tc>
          <w:tcPr>
            <w:tcW w:w="30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(694,888)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for the year</w:t>
            </w:r>
          </w:p>
        </w:tc>
        <w:tc>
          <w:tcPr>
            <w:tcW w:w="2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(694,888</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(424,609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(44,740)</w:t>
            </w:r>
          </w:p>
        </w:tc>
        <w:tc>
          <w:tcPr>
            <w:tcW w:w="3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469,349</w:t>
            </w:r>
          </w:p>
        </w:tc>
        <w:tc>
          <w:tcPr>
            <w:tcW w:w="3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(694,888)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300" w:right="240" w:firstLine="426"/>
        <w:spacing w:after="0" w:line="266" w:lineRule="auto"/>
        <w:rPr>
          <w:sz w:val="20"/>
          <w:szCs w:val="20"/>
          <w:color w:val="auto"/>
        </w:rPr>
      </w:pPr>
      <w:r>
        <w:rPr>
          <w:rFonts w:ascii="Times New Roman" w:cs="Times New Roman" w:eastAsia="Times New Roman" w:hAnsi="Times New Roman"/>
          <w:sz w:val="18"/>
          <w:szCs w:val="18"/>
          <w:color w:val="auto"/>
        </w:rPr>
        <w:t>The following tables present the condensed consolidating schedule of WeRide Inc. depicting the consolidated statements of financial position as of December 31, 2020 and 2021 and June 30, 2022 of WeRide Inc., its subsidiaries, the VIE and the VIE’s subsidiaries, and the corresponding eliminating adjustments separately.</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8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As of June 30, 2022</w:t>
            </w:r>
          </w:p>
        </w:tc>
        <w:tc>
          <w:tcPr>
            <w:tcW w:w="1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18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114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color w:val="auto"/>
              </w:rPr>
              <w:t>WeRide Inc.</w:t>
            </w:r>
          </w:p>
        </w:tc>
        <w:tc>
          <w:tcPr>
            <w:tcW w:w="102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color w:val="auto"/>
              </w:rPr>
              <w:t>Subsidiaries</w:t>
            </w:r>
          </w:p>
        </w:tc>
        <w:tc>
          <w:tcPr>
            <w:tcW w:w="1280" w:type="dxa"/>
            <w:vAlign w:val="bottom"/>
          </w:tcPr>
          <w:p>
            <w:pPr>
              <w:jc w:val="right"/>
              <w:ind w:right="296"/>
              <w:spacing w:after="0" w:line="119" w:lineRule="exact"/>
              <w:rPr>
                <w:sz w:val="20"/>
                <w:szCs w:val="20"/>
                <w:color w:val="auto"/>
              </w:rPr>
            </w:pPr>
            <w:r>
              <w:rPr>
                <w:rFonts w:ascii="Times New Roman" w:cs="Times New Roman" w:eastAsia="Times New Roman" w:hAnsi="Times New Roman"/>
                <w:sz w:val="13"/>
                <w:szCs w:val="13"/>
                <w:color w:val="auto"/>
              </w:rPr>
              <w:t>VIE and its</w:t>
            </w:r>
          </w:p>
        </w:tc>
        <w:tc>
          <w:tcPr>
            <w:tcW w:w="110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color w:val="auto"/>
              </w:rPr>
              <w:t>Eliminations</w:t>
            </w:r>
          </w:p>
        </w:tc>
        <w:tc>
          <w:tcPr>
            <w:tcW w:w="98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Consolidated</w:t>
            </w:r>
          </w:p>
        </w:tc>
        <w:tc>
          <w:tcPr>
            <w:tcW w:w="3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280" w:type="dxa"/>
            <w:vAlign w:val="bottom"/>
          </w:tcPr>
          <w:p>
            <w:pPr>
              <w:jc w:val="right"/>
              <w:ind w:right="276"/>
              <w:spacing w:after="0"/>
              <w:rPr>
                <w:sz w:val="20"/>
                <w:szCs w:val="20"/>
                <w:color w:val="auto"/>
              </w:rPr>
            </w:pPr>
            <w:r>
              <w:rPr>
                <w:rFonts w:ascii="Times New Roman" w:cs="Times New Roman" w:eastAsia="Times New Roman" w:hAnsi="Times New Roman"/>
                <w:sz w:val="14"/>
                <w:szCs w:val="14"/>
                <w:color w:val="auto"/>
              </w:rPr>
              <w:t>subsidiaries</w:t>
            </w:r>
          </w:p>
        </w:tc>
        <w:tc>
          <w:tcPr>
            <w:tcW w:w="1100" w:type="dxa"/>
            <w:vAlign w:val="bottom"/>
            <w:vMerge w:val="continue"/>
          </w:tcPr>
          <w:p>
            <w:pPr>
              <w:spacing w:after="0"/>
              <w:rPr>
                <w:sz w:val="14"/>
                <w:szCs w:val="14"/>
                <w:color w:val="auto"/>
              </w:rPr>
            </w:pPr>
          </w:p>
        </w:tc>
        <w:tc>
          <w:tcPr>
            <w:tcW w:w="13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color w:val="auto"/>
                <w:w w:val="94"/>
              </w:rPr>
              <w:t>Total</w:t>
            </w: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i w:val="1"/>
                <w:iCs w:val="1"/>
                <w:color w:val="auto"/>
              </w:rPr>
              <w:t>(RMB in thousands)</w:t>
            </w:r>
          </w:p>
        </w:tc>
        <w:tc>
          <w:tcPr>
            <w:tcW w:w="1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2,885,801</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342,190</w:t>
            </w:r>
          </w:p>
        </w:tc>
        <w:tc>
          <w:tcPr>
            <w:tcW w:w="128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250,668</w:t>
            </w:r>
          </w:p>
        </w:tc>
        <w:tc>
          <w:tcPr>
            <w:tcW w:w="11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3,478,659</w:t>
            </w:r>
          </w:p>
        </w:tc>
        <w:tc>
          <w:tcPr>
            <w:tcW w:w="14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2,910,480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1,564,835</w:t>
            </w:r>
          </w:p>
        </w:tc>
        <w:tc>
          <w:tcPr>
            <w:tcW w:w="128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378,880</w:t>
            </w: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(539,411)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4,314,784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1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1,318,664</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144,137</w:t>
            </w:r>
          </w:p>
        </w:tc>
        <w:tc>
          <w:tcPr>
            <w:tcW w:w="128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153,945</w:t>
            </w:r>
          </w:p>
        </w:tc>
        <w:tc>
          <w:tcPr>
            <w:tcW w:w="11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(1,335,752)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280,994</w:t>
            </w:r>
          </w:p>
        </w:tc>
        <w:tc>
          <w:tcPr>
            <w:tcW w:w="14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4,229,144</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1,708,972</w:t>
            </w:r>
          </w:p>
        </w:tc>
        <w:tc>
          <w:tcPr>
            <w:tcW w:w="128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532,825</w:t>
            </w: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(1,875,163)</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4,595,778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deficit</w:t>
            </w:r>
          </w:p>
        </w:tc>
        <w:tc>
          <w:tcPr>
            <w:tcW w:w="11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(1,652,297)</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(1,719,567)</w:t>
            </w:r>
          </w:p>
        </w:tc>
        <w:tc>
          <w:tcPr>
            <w:tcW w:w="1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(471,852)</w:t>
            </w:r>
          </w:p>
        </w:tc>
        <w:tc>
          <w:tcPr>
            <w:tcW w:w="11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2,191,419</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(1,652,297)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195,383</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3,301,246</w:t>
            </w:r>
          </w:p>
        </w:tc>
        <w:tc>
          <w:tcPr>
            <w:tcW w:w="128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899,683</w:t>
            </w: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(4,066,582)</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329,730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1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5,686,058</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127,293</w:t>
            </w:r>
          </w:p>
        </w:tc>
        <w:tc>
          <w:tcPr>
            <w:tcW w:w="128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104,994</w:t>
            </w:r>
          </w:p>
        </w:tc>
        <w:tc>
          <w:tcPr>
            <w:tcW w:w="11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5,918,345</w:t>
            </w:r>
          </w:p>
        </w:tc>
        <w:tc>
          <w:tcPr>
            <w:tcW w:w="14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5,881,441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3,428,539</w:t>
            </w:r>
          </w:p>
        </w:tc>
        <w:tc>
          <w:tcPr>
            <w:tcW w:w="128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1,004,677</w:t>
            </w: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(4,066,582)</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6,248,075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deficit and liabilities</w:t>
            </w:r>
          </w:p>
        </w:tc>
        <w:tc>
          <w:tcPr>
            <w:tcW w:w="11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4,229,144</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1,708,972</w:t>
            </w:r>
          </w:p>
        </w:tc>
        <w:tc>
          <w:tcPr>
            <w:tcW w:w="128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532,825</w:t>
            </w:r>
          </w:p>
        </w:tc>
        <w:tc>
          <w:tcPr>
            <w:tcW w:w="11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(1,875,163)</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4,595,778</w:t>
            </w:r>
          </w:p>
        </w:tc>
        <w:tc>
          <w:tcPr>
            <w:tcW w:w="14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180" w:type="dxa"/>
            <w:vAlign w:val="bottom"/>
            <w:tcBorders>
              <w:bottom w:val="single" w:sz="8" w:color="auto"/>
            </w:tcBorders>
          </w:tcPr>
          <w:p>
            <w:pPr>
              <w:spacing w:after="0"/>
              <w:rPr>
                <w:sz w:val="13"/>
                <w:szCs w:val="13"/>
                <w:color w:val="auto"/>
              </w:rPr>
            </w:pPr>
          </w:p>
        </w:tc>
        <w:tc>
          <w:tcPr>
            <w:tcW w:w="49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61"/>
        </w:trPr>
        <w:tc>
          <w:tcPr>
            <w:tcW w:w="18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14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21</w:t>
            </w:r>
          </w:p>
        </w:tc>
        <w:tc>
          <w:tcPr>
            <w:tcW w:w="10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734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8970" cy="577342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520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9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200" w:type="dxa"/>
            <w:vAlign w:val="bottom"/>
          </w:tcPr>
          <w:p>
            <w:pPr>
              <w:spacing w:after="0"/>
              <w:rPr>
                <w:sz w:val="10"/>
                <w:szCs w:val="10"/>
                <w:color w:val="auto"/>
              </w:rPr>
            </w:pPr>
          </w:p>
        </w:tc>
        <w:tc>
          <w:tcPr>
            <w:tcW w:w="102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WeRide Inc.</w:t>
            </w:r>
          </w:p>
        </w:tc>
        <w:tc>
          <w:tcPr>
            <w:tcW w:w="104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20" w:type="dxa"/>
            <w:vAlign w:val="bottom"/>
          </w:tcPr>
          <w:p>
            <w:pPr>
              <w:jc w:val="center"/>
              <w:ind w:right="35"/>
              <w:spacing w:after="0" w:line="118" w:lineRule="exact"/>
              <w:rPr>
                <w:sz w:val="20"/>
                <w:szCs w:val="20"/>
                <w:color w:val="auto"/>
              </w:rPr>
            </w:pPr>
            <w:r>
              <w:rPr>
                <w:rFonts w:ascii="Times New Roman" w:cs="Times New Roman" w:eastAsia="Times New Roman" w:hAnsi="Times New Roman"/>
                <w:sz w:val="13"/>
                <w:szCs w:val="13"/>
                <w:b w:val="1"/>
                <w:bCs w:val="1"/>
                <w:color w:val="auto"/>
              </w:rPr>
              <w:t>VIE and its</w:t>
            </w:r>
          </w:p>
        </w:tc>
        <w:tc>
          <w:tcPr>
            <w:tcW w:w="108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9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2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122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80" w:type="dxa"/>
            <w:vAlign w:val="bottom"/>
            <w:vMerge w:val="continue"/>
          </w:tcPr>
          <w:p>
            <w:pPr>
              <w:spacing w:after="0"/>
              <w:rPr>
                <w:sz w:val="15"/>
                <w:szCs w:val="15"/>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2"/>
        </w:trPr>
        <w:tc>
          <w:tcPr>
            <w:tcW w:w="520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i w:val="1"/>
                <w:iCs w:val="1"/>
                <w:color w:val="auto"/>
              </w:rPr>
              <w:t>(RMB in thousands)</w:t>
            </w:r>
          </w:p>
        </w:tc>
        <w:tc>
          <w:tcPr>
            <w:tcW w:w="10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1,084,196</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877,165</w:t>
            </w:r>
          </w:p>
        </w:tc>
        <w:tc>
          <w:tcPr>
            <w:tcW w:w="12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764,207</w:t>
            </w:r>
          </w:p>
        </w:tc>
        <w:tc>
          <w:tcPr>
            <w:tcW w:w="10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2,725,568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1,084,334</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1,309,535</w:t>
            </w:r>
          </w:p>
        </w:tc>
        <w:tc>
          <w:tcPr>
            <w:tcW w:w="122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1,087,975</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(462,225)</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3,019,619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0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1,814,985</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129,082</w:t>
            </w:r>
          </w:p>
        </w:tc>
        <w:tc>
          <w:tcPr>
            <w:tcW w:w="12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174,048</w:t>
            </w: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(1,831,124)</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286,991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2,899,319</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1,438,617</w:t>
            </w:r>
          </w:p>
        </w:tc>
        <w:tc>
          <w:tcPr>
            <w:tcW w:w="122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1,262,023</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(2,293,349)</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3,306,610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deficit</w:t>
            </w:r>
          </w:p>
        </w:tc>
        <w:tc>
          <w:tcPr>
            <w:tcW w:w="10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(966,109)</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(1,450,076)</w:t>
            </w:r>
          </w:p>
        </w:tc>
        <w:tc>
          <w:tcPr>
            <w:tcW w:w="12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(333,287)</w:t>
            </w:r>
          </w:p>
        </w:tc>
        <w:tc>
          <w:tcPr>
            <w:tcW w:w="10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1,783,363</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(966,109)</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74,792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2,750,642</w:t>
            </w:r>
          </w:p>
        </w:tc>
        <w:tc>
          <w:tcPr>
            <w:tcW w:w="122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1,485,615</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(4,076,712)</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234,337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0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3,790,636</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138,051</w:t>
            </w:r>
          </w:p>
        </w:tc>
        <w:tc>
          <w:tcPr>
            <w:tcW w:w="12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109,695</w:t>
            </w:r>
          </w:p>
        </w:tc>
        <w:tc>
          <w:tcPr>
            <w:tcW w:w="10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4,038,382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3,865,428</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2,888,693</w:t>
            </w:r>
          </w:p>
        </w:tc>
        <w:tc>
          <w:tcPr>
            <w:tcW w:w="122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1,595,310</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(4,076,712)</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4,272,719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deficit and liabilities</w:t>
            </w:r>
          </w:p>
        </w:tc>
        <w:tc>
          <w:tcPr>
            <w:tcW w:w="10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2,899,319</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1,438,617</w:t>
            </w:r>
          </w:p>
        </w:tc>
        <w:tc>
          <w:tcPr>
            <w:tcW w:w="12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1,262,023</w:t>
            </w: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(2,293,349)</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3,306,610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520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2020</w:t>
            </w:r>
          </w:p>
        </w:tc>
        <w:tc>
          <w:tcPr>
            <w:tcW w:w="9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200" w:type="dxa"/>
            <w:vAlign w:val="bottom"/>
          </w:tcPr>
          <w:p>
            <w:pPr>
              <w:spacing w:after="0"/>
              <w:rPr>
                <w:sz w:val="10"/>
                <w:szCs w:val="10"/>
                <w:color w:val="auto"/>
              </w:rPr>
            </w:pPr>
          </w:p>
        </w:tc>
        <w:tc>
          <w:tcPr>
            <w:tcW w:w="102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color w:val="auto"/>
              </w:rPr>
              <w:t>WeRide Inc.</w:t>
            </w:r>
          </w:p>
        </w:tc>
        <w:tc>
          <w:tcPr>
            <w:tcW w:w="104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color w:val="auto"/>
              </w:rPr>
              <w:t>Subsidiaries</w:t>
            </w:r>
          </w:p>
        </w:tc>
        <w:tc>
          <w:tcPr>
            <w:tcW w:w="1220" w:type="dxa"/>
            <w:vAlign w:val="bottom"/>
          </w:tcPr>
          <w:p>
            <w:pPr>
              <w:jc w:val="center"/>
              <w:ind w:right="35"/>
              <w:spacing w:after="0" w:line="119" w:lineRule="exact"/>
              <w:rPr>
                <w:sz w:val="20"/>
                <w:szCs w:val="20"/>
                <w:color w:val="auto"/>
              </w:rPr>
            </w:pPr>
            <w:r>
              <w:rPr>
                <w:rFonts w:ascii="Times New Roman" w:cs="Times New Roman" w:eastAsia="Times New Roman" w:hAnsi="Times New Roman"/>
                <w:sz w:val="13"/>
                <w:szCs w:val="13"/>
                <w:color w:val="auto"/>
              </w:rPr>
              <w:t>VIE and its</w:t>
            </w:r>
          </w:p>
        </w:tc>
        <w:tc>
          <w:tcPr>
            <w:tcW w:w="108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color w:val="auto"/>
              </w:rPr>
              <w:t>Eliminations</w:t>
            </w:r>
          </w:p>
        </w:tc>
        <w:tc>
          <w:tcPr>
            <w:tcW w:w="94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Consolidated</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220" w:type="dxa"/>
            <w:vAlign w:val="bottom"/>
          </w:tcPr>
          <w:p>
            <w:pPr>
              <w:jc w:val="center"/>
              <w:ind w:right="15"/>
              <w:spacing w:after="0"/>
              <w:rPr>
                <w:sz w:val="20"/>
                <w:szCs w:val="20"/>
                <w:color w:val="auto"/>
              </w:rPr>
            </w:pPr>
            <w:r>
              <w:rPr>
                <w:rFonts w:ascii="Times New Roman" w:cs="Times New Roman" w:eastAsia="Times New Roman" w:hAnsi="Times New Roman"/>
                <w:sz w:val="14"/>
                <w:szCs w:val="14"/>
                <w:color w:val="auto"/>
              </w:rPr>
              <w:t>subsidiaries</w:t>
            </w:r>
          </w:p>
        </w:tc>
        <w:tc>
          <w:tcPr>
            <w:tcW w:w="1080" w:type="dxa"/>
            <w:vAlign w:val="bottom"/>
            <w:vMerge w:val="continue"/>
          </w:tcPr>
          <w:p>
            <w:pPr>
              <w:spacing w:after="0"/>
              <w:rPr>
                <w:sz w:val="14"/>
                <w:szCs w:val="14"/>
                <w:color w:val="auto"/>
              </w:rPr>
            </w:pP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4"/>
              </w:rPr>
              <w:t>Total</w:t>
            </w:r>
          </w:p>
        </w:tc>
        <w:tc>
          <w:tcPr>
            <w:tcW w:w="0" w:type="dxa"/>
            <w:vAlign w:val="bottom"/>
          </w:tcPr>
          <w:p>
            <w:pPr>
              <w:spacing w:after="0"/>
              <w:rPr>
                <w:sz w:val="1"/>
                <w:szCs w:val="1"/>
                <w:color w:val="auto"/>
              </w:rPr>
            </w:pPr>
          </w:p>
        </w:tc>
      </w:tr>
      <w:tr>
        <w:trPr>
          <w:trHeight w:val="142"/>
        </w:trPr>
        <w:tc>
          <w:tcPr>
            <w:tcW w:w="520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i w:val="1"/>
                <w:iCs w:val="1"/>
                <w:color w:val="auto"/>
              </w:rPr>
              <w:t>(RMB in thousands)</w:t>
            </w:r>
          </w:p>
        </w:tc>
        <w:tc>
          <w:tcPr>
            <w:tcW w:w="10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14,338</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25,681</w:t>
            </w:r>
          </w:p>
        </w:tc>
        <w:tc>
          <w:tcPr>
            <w:tcW w:w="12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172,603</w:t>
            </w:r>
          </w:p>
        </w:tc>
        <w:tc>
          <w:tcPr>
            <w:tcW w:w="10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212,622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14,338</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275,397</w:t>
            </w:r>
          </w:p>
        </w:tc>
        <w:tc>
          <w:tcPr>
            <w:tcW w:w="12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869,406</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(223,266)</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935,875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0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708,060</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111,214</w:t>
            </w:r>
          </w:p>
        </w:tc>
        <w:tc>
          <w:tcPr>
            <w:tcW w:w="12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100,402</w:t>
            </w:r>
          </w:p>
        </w:tc>
        <w:tc>
          <w:tcPr>
            <w:tcW w:w="10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(724,576)</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722,398</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386,611</w:t>
            </w:r>
          </w:p>
        </w:tc>
        <w:tc>
          <w:tcPr>
            <w:tcW w:w="12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969,808</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(947,842)</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1,130,975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deficit</w:t>
            </w:r>
          </w:p>
        </w:tc>
        <w:tc>
          <w:tcPr>
            <w:tcW w:w="10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(401,893)</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(1,064,187)</w:t>
            </w:r>
          </w:p>
        </w:tc>
        <w:tc>
          <w:tcPr>
            <w:tcW w:w="1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(267,660)</w:t>
            </w:r>
          </w:p>
        </w:tc>
        <w:tc>
          <w:tcPr>
            <w:tcW w:w="10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1,331,847</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(401,893)</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435,941</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1,319,444</w:t>
            </w:r>
          </w:p>
        </w:tc>
        <w:tc>
          <w:tcPr>
            <w:tcW w:w="12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1,116,024</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(2,279,689)</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591,720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0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688,350</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131,354</w:t>
            </w:r>
          </w:p>
        </w:tc>
        <w:tc>
          <w:tcPr>
            <w:tcW w:w="12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121,444</w:t>
            </w:r>
          </w:p>
        </w:tc>
        <w:tc>
          <w:tcPr>
            <w:tcW w:w="10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941,148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1,124,291</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1,450,798</w:t>
            </w:r>
          </w:p>
        </w:tc>
        <w:tc>
          <w:tcPr>
            <w:tcW w:w="12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1,237,468</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(2,279,689)</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1,532,868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deficit and liabilities</w:t>
            </w:r>
          </w:p>
        </w:tc>
        <w:tc>
          <w:tcPr>
            <w:tcW w:w="10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722,398</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386,611</w:t>
            </w:r>
          </w:p>
        </w:tc>
        <w:tc>
          <w:tcPr>
            <w:tcW w:w="12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969,808</w:t>
            </w:r>
          </w:p>
        </w:tc>
        <w:tc>
          <w:tcPr>
            <w:tcW w:w="10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(947,842)</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1,130,975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00" w:right="200" w:firstLine="426"/>
        <w:spacing w:after="0" w:line="266" w:lineRule="auto"/>
        <w:rPr>
          <w:sz w:val="20"/>
          <w:szCs w:val="20"/>
          <w:color w:val="auto"/>
        </w:rPr>
      </w:pPr>
      <w:r>
        <w:rPr>
          <w:rFonts w:ascii="Times New Roman" w:cs="Times New Roman" w:eastAsia="Times New Roman" w:hAnsi="Times New Roman"/>
          <w:sz w:val="18"/>
          <w:szCs w:val="18"/>
          <w:color w:val="auto"/>
        </w:rPr>
        <w:t>The following tables present the condensed consolidating schedule of WeRide Inc. depicting the consolidated statements of cash flows for the years ended December 31, 2020 and 2021 and the six months ended June 30, 2022 of WeRide Inc., its subsidiaries, the VIE and the VIE’s subsidiaries, and the corresponding eliminating adjustments separately.</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8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6"/>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For the Six Months Ended June 30, 2022</w:t>
            </w: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18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WeRide Inc.</w:t>
            </w:r>
          </w:p>
        </w:tc>
        <w:tc>
          <w:tcPr>
            <w:tcW w:w="96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Subsidiaries</w:t>
            </w:r>
          </w:p>
        </w:tc>
        <w:tc>
          <w:tcPr>
            <w:tcW w:w="940" w:type="dxa"/>
            <w:vAlign w:val="bottom"/>
            <w:gridSpan w:val="2"/>
          </w:tcPr>
          <w:p>
            <w:pPr>
              <w:jc w:val="right"/>
              <w:ind w:right="240"/>
              <w:spacing w:after="0" w:line="119" w:lineRule="exact"/>
              <w:rPr>
                <w:sz w:val="20"/>
                <w:szCs w:val="20"/>
                <w:color w:val="auto"/>
              </w:rPr>
            </w:pPr>
            <w:r>
              <w:rPr>
                <w:rFonts w:ascii="Times New Roman" w:cs="Times New Roman" w:eastAsia="Times New Roman" w:hAnsi="Times New Roman"/>
                <w:sz w:val="13"/>
                <w:szCs w:val="13"/>
                <w:color w:val="auto"/>
              </w:rPr>
              <w:t>VIE and its</w:t>
            </w:r>
          </w:p>
        </w:tc>
        <w:tc>
          <w:tcPr>
            <w:tcW w:w="10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Eliminations</w:t>
            </w:r>
          </w:p>
        </w:tc>
        <w:tc>
          <w:tcPr>
            <w:tcW w:w="86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Consolidated</w:t>
            </w:r>
          </w:p>
        </w:tc>
        <w:tc>
          <w:tcPr>
            <w:tcW w:w="3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subsidiaries</w:t>
            </w:r>
          </w:p>
        </w:tc>
        <w:tc>
          <w:tcPr>
            <w:tcW w:w="1000" w:type="dxa"/>
            <w:vAlign w:val="bottom"/>
            <w:gridSpan w:val="2"/>
            <w:vMerge w:val="continue"/>
          </w:tcPr>
          <w:p>
            <w:pPr>
              <w:spacing w:after="0"/>
              <w:rPr>
                <w:sz w:val="14"/>
                <w:szCs w:val="14"/>
                <w:color w:val="auto"/>
              </w:rPr>
            </w:pPr>
          </w:p>
        </w:tc>
        <w:tc>
          <w:tcPr>
            <w:tcW w:w="11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140" w:type="dxa"/>
            <w:vAlign w:val="bottom"/>
            <w:tcBorders>
              <w:top w:val="single" w:sz="8" w:color="auto"/>
            </w:tcBorders>
            <w:gridSpan w:val="5"/>
          </w:tcPr>
          <w:p>
            <w:pPr>
              <w:jc w:val="right"/>
              <w:ind w:right="960"/>
              <w:spacing w:after="0" w:line="142" w:lineRule="exact"/>
              <w:rPr>
                <w:sz w:val="20"/>
                <w:szCs w:val="20"/>
                <w:color w:val="auto"/>
              </w:rPr>
            </w:pPr>
            <w:r>
              <w:rPr>
                <w:rFonts w:ascii="Times New Roman" w:cs="Times New Roman" w:eastAsia="Times New Roman" w:hAnsi="Times New Roman"/>
                <w:sz w:val="14"/>
                <w:szCs w:val="14"/>
                <w:i w:val="1"/>
                <w:iCs w:val="1"/>
                <w:color w:val="auto"/>
              </w:rPr>
              <w:t>(RMB in thousands)</w:t>
            </w:r>
          </w:p>
        </w:tc>
        <w:tc>
          <w:tcPr>
            <w:tcW w:w="8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2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(3,559)</w:t>
            </w:r>
          </w:p>
        </w:tc>
        <w:tc>
          <w:tcPr>
            <w:tcW w:w="96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(384,808)</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(3,703)</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(392,070)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(499,068)</w:t>
            </w:r>
          </w:p>
        </w:tc>
        <w:tc>
          <w:tcPr>
            <w:tcW w:w="9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(354,557)</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(13,801)</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499,068</w:t>
            </w:r>
          </w:p>
        </w:tc>
        <w:tc>
          <w:tcPr>
            <w:tcW w:w="2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(368,358)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generated from (used in) financing activities</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2,224,990</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134,262</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(496,035)</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(499,068)</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1,364,149</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16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1,722,363</w:t>
            </w:r>
          </w:p>
        </w:tc>
        <w:tc>
          <w:tcPr>
            <w:tcW w:w="20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(605,103)</w:t>
            </w:r>
          </w:p>
        </w:tc>
        <w:tc>
          <w:tcPr>
            <w:tcW w:w="20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(513,539)</w:t>
            </w:r>
          </w:p>
        </w:tc>
        <w:tc>
          <w:tcPr>
            <w:tcW w:w="200" w:type="dxa"/>
            <w:vAlign w:val="bottom"/>
          </w:tcPr>
          <w:p>
            <w:pPr>
              <w:spacing w:after="0"/>
              <w:rPr>
                <w:sz w:val="19"/>
                <w:szCs w:val="19"/>
                <w:color w:val="auto"/>
              </w:rPr>
            </w:pPr>
          </w:p>
        </w:tc>
        <w:tc>
          <w:tcPr>
            <w:tcW w:w="8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603,721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as of January 1</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1,084,196</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877,165</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764,207</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2,725,568</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exchange rate changes</w:t>
            </w:r>
          </w:p>
        </w:tc>
        <w:tc>
          <w:tcPr>
            <w:tcW w:w="11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79,242</w:t>
            </w:r>
          </w:p>
        </w:tc>
        <w:tc>
          <w:tcPr>
            <w:tcW w:w="2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70,128</w:t>
            </w:r>
          </w:p>
        </w:tc>
        <w:tc>
          <w:tcPr>
            <w:tcW w:w="200" w:type="dxa"/>
            <w:vAlign w:val="bottom"/>
          </w:tcPr>
          <w:p>
            <w:pPr>
              <w:spacing w:after="0"/>
              <w:rPr>
                <w:sz w:val="19"/>
                <w:szCs w:val="19"/>
                <w:color w:val="auto"/>
              </w:rPr>
            </w:pPr>
          </w:p>
        </w:tc>
        <w:tc>
          <w:tcPr>
            <w:tcW w:w="7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149,370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as of June 30</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2,885,801</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342,190</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250,668</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3,478,659</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80" w:type="dxa"/>
            <w:vAlign w:val="bottom"/>
            <w:tcBorders>
              <w:bottom w:val="single" w:sz="8" w:color="auto"/>
            </w:tcBorders>
          </w:tcPr>
          <w:p>
            <w:pPr>
              <w:spacing w:after="0"/>
              <w:rPr>
                <w:sz w:val="13"/>
                <w:szCs w:val="13"/>
                <w:color w:val="auto"/>
              </w:rPr>
            </w:pPr>
          </w:p>
        </w:tc>
        <w:tc>
          <w:tcPr>
            <w:tcW w:w="45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61"/>
        </w:trPr>
        <w:tc>
          <w:tcPr>
            <w:tcW w:w="1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1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22</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79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8970" cy="597916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1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For the Year Ended December 31, 2021</w:t>
            </w: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400" w:type="dxa"/>
            <w:vAlign w:val="bottom"/>
          </w:tcPr>
          <w:p>
            <w:pPr>
              <w:spacing w:after="0"/>
              <w:rPr>
                <w:sz w:val="10"/>
                <w:szCs w:val="10"/>
                <w:color w:val="auto"/>
              </w:rPr>
            </w:pPr>
          </w:p>
        </w:tc>
        <w:tc>
          <w:tcPr>
            <w:tcW w:w="1100" w:type="dxa"/>
            <w:vAlign w:val="bottom"/>
            <w:gridSpan w:val="4"/>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WeRide Inc.</w:t>
            </w:r>
          </w:p>
        </w:tc>
        <w:tc>
          <w:tcPr>
            <w:tcW w:w="96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Subsidiaries</w:t>
            </w:r>
          </w:p>
        </w:tc>
        <w:tc>
          <w:tcPr>
            <w:tcW w:w="100" w:type="dxa"/>
            <w:vAlign w:val="bottom"/>
          </w:tcPr>
          <w:p>
            <w:pPr>
              <w:spacing w:after="0"/>
              <w:rPr>
                <w:sz w:val="10"/>
                <w:szCs w:val="10"/>
                <w:color w:val="auto"/>
              </w:rPr>
            </w:pPr>
          </w:p>
        </w:tc>
        <w:tc>
          <w:tcPr>
            <w:tcW w:w="980" w:type="dxa"/>
            <w:vAlign w:val="bottom"/>
            <w:gridSpan w:val="5"/>
          </w:tcPr>
          <w:p>
            <w:pPr>
              <w:jc w:val="center"/>
              <w:ind w:right="240"/>
              <w:spacing w:after="0" w:line="119" w:lineRule="exact"/>
              <w:rPr>
                <w:sz w:val="20"/>
                <w:szCs w:val="20"/>
                <w:color w:val="auto"/>
              </w:rPr>
            </w:pPr>
            <w:r>
              <w:rPr>
                <w:rFonts w:ascii="Times New Roman" w:cs="Times New Roman" w:eastAsia="Times New Roman" w:hAnsi="Times New Roman"/>
                <w:sz w:val="13"/>
                <w:szCs w:val="13"/>
                <w:color w:val="auto"/>
              </w:rPr>
              <w:t>VIE and its</w:t>
            </w:r>
          </w:p>
        </w:tc>
        <w:tc>
          <w:tcPr>
            <w:tcW w:w="1080" w:type="dxa"/>
            <w:vAlign w:val="bottom"/>
            <w:gridSpan w:val="4"/>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Eliminations</w:t>
            </w:r>
          </w:p>
        </w:tc>
        <w:tc>
          <w:tcPr>
            <w:tcW w:w="860" w:type="dxa"/>
            <w:vAlign w:val="bottom"/>
            <w:gridSpan w:val="2"/>
          </w:tcPr>
          <w:p>
            <w:pPr>
              <w:jc w:val="right"/>
              <w:spacing w:after="0" w:line="119" w:lineRule="exact"/>
              <w:rPr>
                <w:sz w:val="20"/>
                <w:szCs w:val="20"/>
                <w:color w:val="auto"/>
              </w:rPr>
            </w:pPr>
            <w:r>
              <w:rPr>
                <w:rFonts w:ascii="Times New Roman" w:cs="Times New Roman" w:eastAsia="Times New Roman" w:hAnsi="Times New Roman"/>
                <w:sz w:val="13"/>
                <w:szCs w:val="13"/>
                <w:color w:val="auto"/>
              </w:rPr>
              <w:t>Consolidated</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96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color w:val="auto"/>
              </w:rPr>
              <w:t>subsidiaries</w:t>
            </w:r>
          </w:p>
        </w:tc>
        <w:tc>
          <w:tcPr>
            <w:tcW w:w="108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8"/>
          </w:tcPr>
          <w:p>
            <w:pPr>
              <w:jc w:val="center"/>
              <w:ind w:right="20"/>
              <w:spacing w:after="0" w:line="142" w:lineRule="exact"/>
              <w:rPr>
                <w:sz w:val="20"/>
                <w:szCs w:val="20"/>
                <w:color w:val="auto"/>
              </w:rPr>
            </w:pPr>
            <w:r>
              <w:rPr>
                <w:rFonts w:ascii="Times New Roman" w:cs="Times New Roman" w:eastAsia="Times New Roman" w:hAnsi="Times New Roman"/>
                <w:sz w:val="14"/>
                <w:szCs w:val="14"/>
                <w:i w:val="1"/>
                <w:iCs w:val="1"/>
                <w:color w:val="auto"/>
              </w:rPr>
              <w:t>(RMB in thousands)</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in)/generated from operating activities</w:t>
            </w:r>
          </w:p>
        </w:tc>
        <w:tc>
          <w:tcPr>
            <w:tcW w:w="110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(7,639)</w:t>
            </w:r>
          </w:p>
        </w:tc>
        <w:tc>
          <w:tcPr>
            <w:tcW w:w="9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(685,362)</w:t>
            </w:r>
          </w:p>
        </w:tc>
        <w:tc>
          <w:tcPr>
            <w:tcW w:w="860" w:type="dxa"/>
            <w:vAlign w:val="bottom"/>
            <w:gridSpan w:val="3"/>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rPr>
              <w:t>186,334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(506,667)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in)/generated from investing activities</w:t>
            </w:r>
          </w:p>
        </w:tc>
        <w:tc>
          <w:tcPr>
            <w:tcW w:w="110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(1,229,146)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214,141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center"/>
              <w:ind w:left="172"/>
              <w:spacing w:after="0"/>
              <w:rPr>
                <w:sz w:val="20"/>
                <w:szCs w:val="20"/>
                <w:color w:val="auto"/>
              </w:rPr>
            </w:pPr>
            <w:r>
              <w:rPr>
                <w:rFonts w:ascii="Times New Roman" w:cs="Times New Roman" w:eastAsia="Times New Roman" w:hAnsi="Times New Roman"/>
                <w:sz w:val="18"/>
                <w:szCs w:val="18"/>
                <w:color w:val="auto"/>
              </w:rPr>
              <w:t>246,762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1,229,146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460,903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generated from financing activities</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2,343,121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1,330,570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rPr>
              <w:t>158,508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(1,229,146)</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2,603,053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9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1,106,336</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859,349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Borders>
              <w:top w:val="single" w:sz="8" w:color="auto"/>
            </w:tcBorders>
            <w:gridSpan w:val="2"/>
          </w:tcPr>
          <w:p>
            <w:pPr>
              <w:jc w:val="center"/>
              <w:ind w:left="80"/>
              <w:spacing w:after="0"/>
              <w:rPr>
                <w:sz w:val="20"/>
                <w:szCs w:val="20"/>
                <w:color w:val="auto"/>
              </w:rPr>
            </w:pPr>
            <w:r>
              <w:rPr>
                <w:rFonts w:ascii="Times New Roman" w:cs="Times New Roman" w:eastAsia="Times New Roman" w:hAnsi="Times New Roman"/>
                <w:sz w:val="18"/>
                <w:szCs w:val="18"/>
                <w:color w:val="auto"/>
              </w:rPr>
              <w:t>591,604</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2,557,289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as of January 1</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14,338</w:t>
            </w: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25,681</w:t>
            </w: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rPr>
              <w:t>172,603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212,622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exchange rate changes</w:t>
            </w:r>
          </w:p>
        </w:tc>
        <w:tc>
          <w:tcPr>
            <w:tcW w:w="110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(36,478)</w:t>
            </w:r>
          </w:p>
        </w:tc>
        <w:tc>
          <w:tcPr>
            <w:tcW w:w="9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(7,865)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(44,343)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as of December 31</w:t>
            </w: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1,084,196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877,165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2"/>
            <w:shd w:val="clear" w:color="auto" w:fill="CCEEFF"/>
          </w:tcPr>
          <w:p>
            <w:pPr>
              <w:jc w:val="center"/>
              <w:ind w:left="80"/>
              <w:spacing w:after="0"/>
              <w:rPr>
                <w:sz w:val="20"/>
                <w:szCs w:val="20"/>
                <w:color w:val="auto"/>
              </w:rPr>
            </w:pPr>
            <w:r>
              <w:rPr>
                <w:rFonts w:ascii="Times New Roman" w:cs="Times New Roman" w:eastAsia="Times New Roman" w:hAnsi="Times New Roman"/>
                <w:sz w:val="18"/>
                <w:szCs w:val="18"/>
                <w:color w:val="auto"/>
              </w:rPr>
              <w:t>764,207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spacing w:after="0"/>
              <w:rPr>
                <w:sz w:val="18"/>
                <w:szCs w:val="18"/>
                <w:color w:val="auto"/>
              </w:rPr>
            </w:pPr>
          </w:p>
        </w:tc>
        <w:tc>
          <w:tcPr>
            <w:tcW w:w="8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2,725,568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1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For the Year Ended December 31, 2020</w:t>
            </w: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400" w:type="dxa"/>
            <w:vAlign w:val="bottom"/>
          </w:tcPr>
          <w:p>
            <w:pPr>
              <w:spacing w:after="0"/>
              <w:rPr>
                <w:sz w:val="10"/>
                <w:szCs w:val="10"/>
                <w:color w:val="auto"/>
              </w:rPr>
            </w:pPr>
          </w:p>
        </w:tc>
        <w:tc>
          <w:tcPr>
            <w:tcW w:w="110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WeRide Inc.</w:t>
            </w:r>
          </w:p>
        </w:tc>
        <w:tc>
          <w:tcPr>
            <w:tcW w:w="160" w:type="dxa"/>
            <w:vAlign w:val="bottom"/>
          </w:tcPr>
          <w:p>
            <w:pPr>
              <w:spacing w:after="0"/>
              <w:rPr>
                <w:sz w:val="10"/>
                <w:szCs w:val="10"/>
                <w:color w:val="auto"/>
              </w:rPr>
            </w:pPr>
          </w:p>
        </w:tc>
        <w:tc>
          <w:tcPr>
            <w:tcW w:w="8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w w:val="99"/>
              </w:rPr>
              <w:t>Subsidiaries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4"/>
          </w:tcPr>
          <w:p>
            <w:pPr>
              <w:jc w:val="center"/>
              <w:ind w:right="160"/>
              <w:spacing w:after="0" w:line="119" w:lineRule="exact"/>
              <w:rPr>
                <w:sz w:val="20"/>
                <w:szCs w:val="20"/>
                <w:color w:val="auto"/>
              </w:rPr>
            </w:pPr>
            <w:r>
              <w:rPr>
                <w:rFonts w:ascii="Times New Roman" w:cs="Times New Roman" w:eastAsia="Times New Roman" w:hAnsi="Times New Roman"/>
                <w:sz w:val="13"/>
                <w:szCs w:val="13"/>
                <w:color w:val="auto"/>
              </w:rPr>
              <w:t>VIE and its</w:t>
            </w:r>
          </w:p>
        </w:tc>
        <w:tc>
          <w:tcPr>
            <w:tcW w:w="160" w:type="dxa"/>
            <w:vAlign w:val="bottom"/>
          </w:tcPr>
          <w:p>
            <w:pPr>
              <w:spacing w:after="0"/>
              <w:rPr>
                <w:sz w:val="10"/>
                <w:szCs w:val="10"/>
                <w:color w:val="auto"/>
              </w:rPr>
            </w:pPr>
          </w:p>
        </w:tc>
        <w:tc>
          <w:tcPr>
            <w:tcW w:w="9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Eliminations</w:t>
            </w:r>
          </w:p>
        </w:tc>
        <w:tc>
          <w:tcPr>
            <w:tcW w:w="120" w:type="dxa"/>
            <w:vAlign w:val="bottom"/>
          </w:tcPr>
          <w:p>
            <w:pPr>
              <w:spacing w:after="0"/>
              <w:rPr>
                <w:sz w:val="10"/>
                <w:szCs w:val="10"/>
                <w:color w:val="auto"/>
              </w:rPr>
            </w:pPr>
          </w:p>
        </w:tc>
        <w:tc>
          <w:tcPr>
            <w:tcW w:w="780" w:type="dxa"/>
            <w:vAlign w:val="bottom"/>
            <w:gridSpan w:val="2"/>
          </w:tcPr>
          <w:p>
            <w:pPr>
              <w:jc w:val="right"/>
              <w:ind w:right="20"/>
              <w:spacing w:after="0" w:line="119" w:lineRule="exact"/>
              <w:rPr>
                <w:sz w:val="20"/>
                <w:szCs w:val="20"/>
                <w:color w:val="auto"/>
              </w:rPr>
            </w:pPr>
            <w:r>
              <w:rPr>
                <w:rFonts w:ascii="Times New Roman" w:cs="Times New Roman" w:eastAsia="Times New Roman" w:hAnsi="Times New Roman"/>
                <w:sz w:val="13"/>
                <w:szCs w:val="13"/>
                <w:color w:val="auto"/>
              </w:rPr>
              <w:t>Consolidated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color w:val="auto"/>
              </w:rPr>
              <w:t>subsidiaries</w:t>
            </w:r>
          </w:p>
        </w:tc>
        <w:tc>
          <w:tcPr>
            <w:tcW w:w="16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160" w:type="dxa"/>
            <w:vAlign w:val="bottom"/>
            <w:tcBorders>
              <w:top w:val="single" w:sz="8" w:color="auto"/>
            </w:tcBorders>
            <w:gridSpan w:val="10"/>
          </w:tcPr>
          <w:p>
            <w:pPr>
              <w:jc w:val="right"/>
              <w:ind w:right="960"/>
              <w:spacing w:after="0" w:line="142" w:lineRule="exact"/>
              <w:rPr>
                <w:sz w:val="20"/>
                <w:szCs w:val="20"/>
                <w:color w:val="auto"/>
              </w:rPr>
            </w:pPr>
            <w:r>
              <w:rPr>
                <w:rFonts w:ascii="Times New Roman" w:cs="Times New Roman" w:eastAsia="Times New Roman" w:hAnsi="Times New Roman"/>
                <w:sz w:val="14"/>
                <w:szCs w:val="14"/>
                <w:i w:val="1"/>
                <w:iCs w:val="1"/>
                <w:color w:val="auto"/>
              </w:rPr>
              <w:t>(RMB in thousands)</w:t>
            </w: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1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(893)</w:t>
            </w:r>
          </w:p>
        </w:tc>
        <w:tc>
          <w:tcPr>
            <w:tcW w:w="9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(150,927)</w:t>
            </w:r>
          </w:p>
        </w:tc>
        <w:tc>
          <w:tcPr>
            <w:tcW w:w="100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(62,010)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(213,830)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in)/generated from investing activities</w:t>
            </w:r>
          </w:p>
        </w:tc>
        <w:tc>
          <w:tcPr>
            <w:tcW w:w="11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(55,404)</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41,696</w:t>
            </w:r>
          </w:p>
        </w:tc>
        <w:tc>
          <w:tcPr>
            <w:tcW w:w="80" w:type="dxa"/>
            <w:vAlign w:val="bottom"/>
          </w:tcPr>
          <w:p>
            <w:pPr>
              <w:spacing w:after="0"/>
              <w:rPr>
                <w:sz w:val="18"/>
                <w:szCs w:val="18"/>
                <w:color w:val="auto"/>
              </w:rPr>
            </w:pPr>
          </w:p>
        </w:tc>
        <w:tc>
          <w:tcPr>
            <w:tcW w:w="10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(551,097)</w:t>
            </w:r>
          </w:p>
        </w:tc>
        <w:tc>
          <w:tcPr>
            <w:tcW w:w="80" w:type="dxa"/>
            <w:vAlign w:val="bottom"/>
          </w:tcPr>
          <w:p>
            <w:pPr>
              <w:spacing w:after="0"/>
              <w:rPr>
                <w:sz w:val="18"/>
                <w:szCs w:val="18"/>
                <w:color w:val="auto"/>
              </w:rPr>
            </w:pPr>
          </w:p>
        </w:tc>
        <w:tc>
          <w:tcPr>
            <w:tcW w:w="10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55,404</w:t>
            </w:r>
          </w:p>
        </w:tc>
        <w:tc>
          <w:tcPr>
            <w:tcW w:w="10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(509,401)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generated from financing activities</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104,283</w:t>
            </w: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72,290</w:t>
            </w:r>
          </w:p>
        </w:tc>
        <w:tc>
          <w:tcPr>
            <w:tcW w:w="8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615,795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(55,404)</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736,964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20" w:type="dxa"/>
            <w:vAlign w:val="bottom"/>
          </w:tcPr>
          <w:p>
            <w:pPr>
              <w:spacing w:after="0"/>
              <w:rPr>
                <w:sz w:val="19"/>
                <w:szCs w:val="19"/>
                <w:color w:val="auto"/>
              </w:rPr>
            </w:pPr>
          </w:p>
        </w:tc>
        <w:tc>
          <w:tcPr>
            <w:tcW w:w="7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47,986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(36,941)</w:t>
            </w:r>
          </w:p>
        </w:tc>
        <w:tc>
          <w:tcPr>
            <w:tcW w:w="80" w:type="dxa"/>
            <w:vAlign w:val="bottom"/>
          </w:tcPr>
          <w:p>
            <w:pPr>
              <w:spacing w:after="0"/>
              <w:rPr>
                <w:sz w:val="19"/>
                <w:szCs w:val="19"/>
                <w:color w:val="auto"/>
              </w:rPr>
            </w:pPr>
          </w:p>
        </w:tc>
        <w:tc>
          <w:tcPr>
            <w:tcW w:w="220" w:type="dxa"/>
            <w:vAlign w:val="bottom"/>
            <w:gridSpan w:val="2"/>
          </w:tcPr>
          <w:p>
            <w:pPr>
              <w:spacing w:after="0"/>
              <w:rPr>
                <w:sz w:val="19"/>
                <w:szCs w:val="19"/>
                <w:color w:val="auto"/>
              </w:rPr>
            </w:pPr>
          </w:p>
        </w:tc>
        <w:tc>
          <w:tcPr>
            <w:tcW w:w="7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13,733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as of January 1</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39,064</w:t>
            </w:r>
          </w:p>
        </w:tc>
        <w:tc>
          <w:tcPr>
            <w:tcW w:w="8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169,915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exchange rate changes</w:t>
            </w:r>
          </w:p>
        </w:tc>
        <w:tc>
          <w:tcPr>
            <w:tcW w:w="220" w:type="dxa"/>
            <w:vAlign w:val="bottom"/>
          </w:tcPr>
          <w:p>
            <w:pPr>
              <w:spacing w:after="0"/>
              <w:rPr>
                <w:sz w:val="19"/>
                <w:szCs w:val="19"/>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(33,929)</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23,558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(10,371)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as of December 31</w:t>
            </w:r>
          </w:p>
        </w:tc>
        <w:tc>
          <w:tcPr>
            <w:tcW w:w="22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25,681</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172,603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Implication of Being a Foreign Private Issuer</w:t>
      </w:r>
    </w:p>
    <w:p>
      <w:pPr>
        <w:spacing w:after="0" w:line="121" w:lineRule="exact"/>
        <w:rPr>
          <w:sz w:val="20"/>
          <w:szCs w:val="20"/>
          <w:color w:val="auto"/>
        </w:rPr>
      </w:pPr>
    </w:p>
    <w:p>
      <w:pPr>
        <w:ind w:left="300" w:right="20" w:firstLine="426"/>
        <w:spacing w:after="0" w:line="254" w:lineRule="auto"/>
        <w:rPr>
          <w:sz w:val="20"/>
          <w:szCs w:val="20"/>
          <w:color w:val="auto"/>
        </w:rPr>
      </w:pPr>
      <w:r>
        <w:rPr>
          <w:rFonts w:ascii="Times New Roman" w:cs="Times New Roman" w:eastAsia="Times New Roman" w:hAnsi="Times New Roman"/>
          <w:sz w:val="18"/>
          <w:szCs w:val="18"/>
          <w:color w:val="auto"/>
        </w:rPr>
        <w:t>We are a foreign private issuer within the meaning of the rules under the Exchange Act, and as such we are exempt from certain provisions of the securities rules and regulations in the United States that are applicable to U.S. domestic issuers. Moreover, the information we are required to file with or furnish to the SEC will be less extensive and less timely compared to that required to be filed with the SEC by U.S. domestic issuers. In addition, as an exempted company incorporated in the Cayman Islands, we are permitted to adopt certain home country practices in relation to corporate governance matters that differ significantly from the [NYSE corporate governance listing standards/Nasdaq Stock Market Rules]. See “Risk Factors—Risks Related to the ADSs and This Offering—As an exempted company incorporated in the Cayman Islands, we are permitted to adopt certain home country practices in relation to corporate governance matters that differ significantly from the [New York Stock Exchange’s/Nasdaq Stock Market’s] corporate governance requirements; these practices may afford less protection to shareholders than they would enjoy if we complied fully with the [New York Stock Exchange’s/Nasdaq Stock Market’s] corporate governance requirements.”</w:t>
      </w:r>
    </w:p>
    <w:p>
      <w:pPr>
        <w:spacing w:after="0" w:line="2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Implication of Being an Emerging Growth Company</w:t>
      </w:r>
    </w:p>
    <w:p>
      <w:pPr>
        <w:spacing w:after="0" w:line="121" w:lineRule="exact"/>
        <w:rPr>
          <w:sz w:val="20"/>
          <w:szCs w:val="20"/>
          <w:color w:val="auto"/>
        </w:rPr>
      </w:pPr>
    </w:p>
    <w:p>
      <w:pPr>
        <w:ind w:left="300" w:right="100" w:firstLine="426"/>
        <w:spacing w:after="0" w:line="258" w:lineRule="auto"/>
        <w:rPr>
          <w:sz w:val="20"/>
          <w:szCs w:val="20"/>
          <w:color w:val="auto"/>
        </w:rPr>
      </w:pPr>
      <w:r>
        <w:rPr>
          <w:rFonts w:ascii="Times New Roman" w:cs="Times New Roman" w:eastAsia="Times New Roman" w:hAnsi="Times New Roman"/>
          <w:sz w:val="18"/>
          <w:szCs w:val="18"/>
          <w:color w:val="auto"/>
        </w:rPr>
        <w:t>As a company with less than US$1.235 billion in revenue for our last fiscal year, we qualify as an “emerging growth company” pursuant to the Jumpstart Our Business Startups Act of 2012, as amended (the “JOBS Act”). An emerging growth company may take advantage of specified reduced reporting and other requirements compared to those that are otherwise applicable generally to public companies. These provisions include an exemption from the auditor attestation requirement under Section 404 of the Sarbanes-Oxley Act of 2002 in the assessment of the emerging growth company’s internal control over financial reporting.</w:t>
      </w:r>
    </w:p>
    <w:p>
      <w:pPr>
        <w:spacing w:after="0" w:line="29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40"/>
          </w:cols>
          <w:pgMar w:left="320" w:top="455" w:right="6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991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8970" cy="60991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(a) the last day of the fiscal year during which we have total annual gross revenue of at least US$1.235 billion; (b) the last day of our fiscal year following the fifth anniversary of the completion of this offering; (c) the date on which we have, during the preceding three-year period, issued more than US$1.0 billion in non-convertible debt; or (d) the date on which we are deemed to be a “large accelerated filer” under the United States Securities Exchange Act of 1934, as amended, (the “Exchange Act”), which would occur if the market value of our ADSs that are held by non-affiliates exceeds US$700 million as of the last business day of our most recently completed second fiscal quarter. Once we cease to be an emerging growth company, we will not be entitled to the exemptions provided in the JOBS Act discussed above.</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right="240" w:firstLine="426"/>
        <w:spacing w:after="0" w:line="209" w:lineRule="auto"/>
        <w:rPr>
          <w:sz w:val="20"/>
          <w:szCs w:val="20"/>
          <w:color w:val="auto"/>
        </w:rPr>
      </w:pPr>
      <w:r>
        <w:rPr>
          <w:rFonts w:ascii="Times New Roman" w:cs="Times New Roman" w:eastAsia="Times New Roman" w:hAnsi="Times New Roman"/>
          <w:sz w:val="18"/>
          <w:szCs w:val="18"/>
          <w:color w:val="auto"/>
        </w:rPr>
        <w:t>Our principal executive offices are located at 21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Floor, Tower A, Guanzhou Life Science Innovation Center, No. 51, Luoxuan Road, Guangzhou International Biotech Island, Guangzhou, People’s Republic of China. Our telephone number at this address is +86 (20) 2909-3388. Our registered office in the Cayman Islands is located at the offices of International Corporation Services Ltd., P.O. Box 472, Harbour Place,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xml:space="preserve"> Floor, 103 South Church Street, George Town, Grand Cayman KY1-1106, Cayman Islands.</w:t>
      </w:r>
    </w:p>
    <w:p>
      <w:pPr>
        <w:spacing w:after="0" w:line="199" w:lineRule="exact"/>
        <w:rPr>
          <w:sz w:val="20"/>
          <w:szCs w:val="20"/>
          <w:color w:val="auto"/>
        </w:rPr>
      </w:pPr>
    </w:p>
    <w:p>
      <w:pPr>
        <w:jc w:val="center"/>
        <w:ind w:left="360" w:right="260"/>
        <w:spacing w:after="0" w:line="276" w:lineRule="auto"/>
        <w:rPr>
          <w:sz w:val="20"/>
          <w:szCs w:val="20"/>
          <w:color w:val="auto"/>
        </w:rPr>
      </w:pPr>
      <w:r>
        <w:rPr>
          <w:rFonts w:ascii="Times New Roman" w:cs="Times New Roman" w:eastAsia="Times New Roman" w:hAnsi="Times New Roman"/>
          <w:sz w:val="17"/>
          <w:szCs w:val="17"/>
          <w:color w:val="auto"/>
        </w:rPr>
        <w:t xml:space="preserve">Investors should submit any inquiries to the address and telephone number of our principal executive offices. Our main websites are </w:t>
      </w:r>
      <w:r>
        <w:rPr>
          <w:rFonts w:ascii="Times New Roman" w:cs="Times New Roman" w:eastAsia="Times New Roman" w:hAnsi="Times New Roman"/>
          <w:sz w:val="17"/>
          <w:szCs w:val="17"/>
          <w:i w:val="1"/>
          <w:iCs w:val="1"/>
          <w:color w:val="auto"/>
        </w:rPr>
        <w:t>https://www.weride.ai/</w:t>
      </w:r>
      <w:r>
        <w:rPr>
          <w:rFonts w:ascii="Times New Roman" w:cs="Times New Roman" w:eastAsia="Times New Roman" w:hAnsi="Times New Roman"/>
          <w:sz w:val="17"/>
          <w:szCs w:val="17"/>
          <w:color w:val="auto"/>
        </w:rPr>
        <w:t>. The information contained on our websites is not a part of this prospectus. Our agent for service of process in the United</w:t>
      </w:r>
    </w:p>
    <w:p>
      <w:pPr>
        <w:spacing w:after="0" w:line="1" w:lineRule="exact"/>
        <w:rPr>
          <w:sz w:val="20"/>
          <w:szCs w:val="20"/>
          <w:color w:val="auto"/>
        </w:rPr>
      </w:pPr>
    </w:p>
    <w:p>
      <w:pPr>
        <w:ind w:left="300"/>
        <w:spacing w:after="0"/>
        <w:tabs>
          <w:tab w:leader="none" w:pos="1640" w:val="left"/>
        </w:tabs>
        <w:rPr>
          <w:sz w:val="20"/>
          <w:szCs w:val="20"/>
          <w:color w:val="auto"/>
        </w:rPr>
      </w:pPr>
      <w:r>
        <w:rPr>
          <w:rFonts w:ascii="Times New Roman" w:cs="Times New Roman" w:eastAsia="Times New Roman" w:hAnsi="Times New Roman"/>
          <w:sz w:val="18"/>
          <w:szCs w:val="18"/>
          <w:color w:val="auto"/>
        </w:rPr>
        <w:t>States is</w:t>
      </w:r>
      <w:r>
        <w:rPr>
          <w:sz w:val="20"/>
          <w:szCs w:val="20"/>
          <w:color w:val="auto"/>
        </w:rPr>
        <w:tab/>
      </w:r>
      <w:r>
        <w:rPr>
          <w:rFonts w:ascii="Times New Roman" w:cs="Times New Roman" w:eastAsia="Times New Roman" w:hAnsi="Times New Roman"/>
          <w:sz w:val="18"/>
          <w:szCs w:val="18"/>
          <w:color w:val="auto"/>
        </w:rPr>
        <w:t>, located at .</w:t>
      </w:r>
    </w:p>
    <w:p>
      <w:pPr>
        <w:spacing w:after="0" w:line="3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Conventions that Apply to this Prospectus</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Unless otherwise indicated or the context otherwise requires, references in this prospectus to:</w:t>
      </w:r>
    </w:p>
    <w:p>
      <w:pPr>
        <w:spacing w:after="0" w:line="131" w:lineRule="exact"/>
        <w:rPr>
          <w:sz w:val="20"/>
          <w:szCs w:val="20"/>
          <w:color w:val="auto"/>
        </w:rPr>
      </w:pPr>
    </w:p>
    <w:p>
      <w:pPr>
        <w:ind w:left="1240" w:hanging="415"/>
        <w:spacing w:after="0"/>
        <w:tabs>
          <w:tab w:leader="none" w:pos="1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“ADAS” are to advanced driver-assistance system;</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“ADRs” are to the American depositary receipts that may evidence the ADSs;</w:t>
      </w:r>
    </w:p>
    <w:p>
      <w:pPr>
        <w:spacing w:after="0" w:line="131" w:lineRule="exact"/>
        <w:rPr>
          <w:sz w:val="20"/>
          <w:szCs w:val="20"/>
          <w:color w:val="auto"/>
        </w:rPr>
      </w:pPr>
    </w:p>
    <w:p>
      <w:pPr>
        <w:ind w:left="820"/>
        <w:spacing w:after="0"/>
        <w:tabs>
          <w:tab w:leader="none" w:pos="1220" w:val="left"/>
          <w:tab w:leader="none" w:pos="70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“ADSs” are to the American depositary shares, each of which represents</w:t>
      </w:r>
      <w:r>
        <w:rPr>
          <w:sz w:val="20"/>
          <w:szCs w:val="20"/>
          <w:color w:val="auto"/>
        </w:rPr>
        <w:tab/>
      </w:r>
      <w:r>
        <w:rPr>
          <w:rFonts w:ascii="Times New Roman" w:cs="Times New Roman" w:eastAsia="Times New Roman" w:hAnsi="Times New Roman"/>
          <w:sz w:val="17"/>
          <w:szCs w:val="17"/>
          <w:color w:val="auto"/>
        </w:rPr>
        <w:t>Class A ordinary shares;</w:t>
      </w:r>
    </w:p>
    <w:p>
      <w:pPr>
        <w:spacing w:after="0" w:line="131" w:lineRule="exact"/>
        <w:rPr>
          <w:sz w:val="20"/>
          <w:szCs w:val="20"/>
          <w:color w:val="auto"/>
        </w:rPr>
      </w:pPr>
    </w:p>
    <w:p>
      <w:pPr>
        <w:ind w:left="1240" w:right="80" w:hanging="415"/>
        <w:spacing w:after="0" w:line="282" w:lineRule="auto"/>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ordinary shares” are to our Class A ordinary shares of par value US$0.00001 per share, carrying one vote per share, that will be designated effective immediately prior to completion of this offering;</w:t>
      </w:r>
    </w:p>
    <w:p>
      <w:pPr>
        <w:sectPr>
          <w:pgSz w:w="11900" w:h="16838" w:orient="portrait"/>
          <w:cols w:equalWidth="0" w:num="1">
            <w:col w:w="10940"/>
          </w:cols>
          <w:pgMar w:left="320" w:top="455" w:right="639" w:bottom="1440" w:gutter="0" w:footer="0" w:header="0"/>
        </w:sectPr>
      </w:pPr>
    </w:p>
    <w:p>
      <w:pPr>
        <w:spacing w:after="0" w:line="6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“Class B ordinary shares” are to our Class B ordinary shares of par value US$0.00001 US$</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per share carrying</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vote</w:t>
      </w:r>
    </w:p>
    <w:p>
      <w:pPr>
        <w:spacing w:after="0" w:line="38" w:lineRule="exact"/>
        <w:rPr>
          <w:sz w:val="20"/>
          <w:szCs w:val="20"/>
          <w:color w:val="auto"/>
        </w:rPr>
      </w:pPr>
    </w:p>
    <w:p>
      <w:pPr>
        <w:sectPr>
          <w:pgSz w:w="11900" w:h="16838" w:orient="portrait"/>
          <w:cols w:equalWidth="0" w:num="4">
            <w:col w:w="880" w:space="360"/>
            <w:col w:w="6560" w:space="720"/>
            <w:col w:w="1300" w:space="720"/>
            <w:col w:w="400"/>
          </w:cols>
          <w:pgMar w:left="320" w:top="455" w:right="639" w:bottom="1440" w:gutter="0" w:footer="0" w:header="0"/>
          <w:type w:val="continuous"/>
        </w:sectPr>
      </w:pPr>
    </w:p>
    <w:p>
      <w:pPr>
        <w:ind w:left="1240"/>
        <w:spacing w:after="0"/>
        <w:rPr>
          <w:sz w:val="20"/>
          <w:szCs w:val="20"/>
          <w:color w:val="auto"/>
        </w:rPr>
      </w:pPr>
      <w:r>
        <w:rPr>
          <w:rFonts w:ascii="Times New Roman" w:cs="Times New Roman" w:eastAsia="Times New Roman" w:hAnsi="Times New Roman"/>
          <w:sz w:val="17"/>
          <w:szCs w:val="17"/>
          <w:color w:val="auto"/>
        </w:rPr>
        <w:t>per share, that will be designated effective immediately prior to completion of this offering;</w:t>
      </w:r>
    </w:p>
    <w:p>
      <w:pPr>
        <w:sectPr>
          <w:pgSz w:w="11900" w:h="16838" w:orient="portrait"/>
          <w:cols w:equalWidth="0" w:num="1">
            <w:col w:w="10940"/>
          </w:cols>
          <w:pgMar w:left="320" w:top="455" w:right="639" w:bottom="1440" w:gutter="0" w:footer="0" w:header="0"/>
          <w:type w:val="continuous"/>
        </w:sectPr>
      </w:pPr>
    </w:p>
    <w:p>
      <w:pPr>
        <w:spacing w:after="0" w:line="124" w:lineRule="exact"/>
        <w:rPr>
          <w:sz w:val="20"/>
          <w:szCs w:val="20"/>
          <w:color w:val="auto"/>
        </w:rPr>
      </w:pPr>
    </w:p>
    <w:p>
      <w:pPr>
        <w:ind w:left="1240" w:hanging="415"/>
        <w:spacing w:after="0"/>
        <w:tabs>
          <w:tab w:leader="none" w:pos="12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“commercialization revenue” are to revenue generated from products and services which have been commercially deployed;</w:t>
      </w:r>
    </w:p>
    <w:p>
      <w:pPr>
        <w:spacing w:after="0" w:line="142" w:lineRule="exact"/>
        <w:rPr>
          <w:rFonts w:ascii="Times New Roman" w:cs="Times New Roman" w:eastAsia="Times New Roman" w:hAnsi="Times New Roman"/>
          <w:sz w:val="17"/>
          <w:szCs w:val="17"/>
          <w:color w:val="auto"/>
        </w:rPr>
      </w:pPr>
    </w:p>
    <w:p>
      <w:pPr>
        <w:ind w:left="1240" w:hanging="415"/>
        <w:spacing w:after="0"/>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“CSRC” are to China Securities Regulatory Commission;</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“GNSS” are to global navigation satellite system;</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 are to integrated development environment;</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“IFRS” are to International Financial Reporting Standards as issued by the International Accounting Standards Board;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“IMU” are to inertial measurement unit;</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“LiDAR” are to light detection and ranging;</w:t>
      </w:r>
    </w:p>
    <w:p>
      <w:pPr>
        <w:spacing w:after="0" w:line="33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40"/>
          </w:cols>
          <w:pgMar w:left="320" w:top="455" w:right="6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3187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8970" cy="53187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415"/>
        <w:spacing w:after="0"/>
        <w:tabs>
          <w:tab w:leader="none" w:pos="1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“OEM” are to original equipment manufacturer;</w:t>
      </w:r>
    </w:p>
    <w:p>
      <w:pPr>
        <w:spacing w:after="0" w:line="130" w:lineRule="exact"/>
        <w:rPr>
          <w:rFonts w:ascii="Times New Roman" w:cs="Times New Roman" w:eastAsia="Times New Roman" w:hAnsi="Times New Roman"/>
          <w:sz w:val="18"/>
          <w:szCs w:val="18"/>
          <w:color w:val="auto"/>
        </w:rPr>
      </w:pPr>
    </w:p>
    <w:p>
      <w:pPr>
        <w:ind w:left="1240" w:right="180" w:hanging="415"/>
        <w:spacing w:after="0" w:line="282" w:lineRule="auto"/>
        <w:tabs>
          <w:tab w:leader="none" w:pos="1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are to our ordinary shares, par value US$0.00001 per share, and upon and after the completion of this offering, are to our Class A ordinary shares and Class B ordinary shares, par value US$0.00001 per share;</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WFOE” or “the WFOE” are to Guangzhou Wenyuan Zhixing Technology Co., Ltd.;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“PCAOB” are to The United States Public Company Accounting Oversight Board;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“RMB” and “Renminbi” are to the legal currency of mainland China;</w:t>
      </w:r>
    </w:p>
    <w:p>
      <w:pPr>
        <w:spacing w:after="0" w:line="130" w:lineRule="exact"/>
        <w:rPr>
          <w:rFonts w:ascii="Times New Roman" w:cs="Times New Roman" w:eastAsia="Times New Roman" w:hAnsi="Times New Roman"/>
          <w:sz w:val="18"/>
          <w:szCs w:val="18"/>
          <w:color w:val="auto"/>
        </w:rPr>
      </w:pPr>
    </w:p>
    <w:p>
      <w:pPr>
        <w:ind w:left="1240" w:right="160" w:hanging="415"/>
        <w:spacing w:after="0" w:line="282" w:lineRule="auto"/>
        <w:tabs>
          <w:tab w:leader="none" w:pos="1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“smallest net loss among publicly-listed L4 companies globally” are to our loss for the year/period under IFRS as compared with the net losses of publicly-listed L4 companies under Generally Accepted Accounting Principles in the U.S.;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VIE” are to Guangzhou Jingqi Technology Ltd.;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“U.S. dollars,” “$,” and “dollars” are to the legal currency of the United States;</w:t>
      </w:r>
    </w:p>
    <w:p>
      <w:pPr>
        <w:spacing w:after="0" w:line="130" w:lineRule="exact"/>
        <w:rPr>
          <w:rFonts w:ascii="Times New Roman" w:cs="Times New Roman" w:eastAsia="Times New Roman" w:hAnsi="Times New Roman"/>
          <w:sz w:val="18"/>
          <w:szCs w:val="18"/>
          <w:color w:val="auto"/>
        </w:rPr>
      </w:pPr>
    </w:p>
    <w:p>
      <w:pPr>
        <w:ind w:left="1240" w:right="260" w:hanging="415"/>
        <w:spacing w:after="0" w:line="282" w:lineRule="auto"/>
        <w:tabs>
          <w:tab w:leader="none" w:pos="1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“WeRide,” “we,” “us,” “our company” and “our” are to WeRide Inc., our Cayman Islands holding company, its subsidiaries and, in the context of describing its operations and consolidated financial information, the VIE and its subsidiaries; and</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“Yutong” are to Zhengzhou Yutong Group Co., Ltd. and its affiliates.</w:t>
      </w:r>
    </w:p>
    <w:p>
      <w:pPr>
        <w:spacing w:after="0" w:line="225" w:lineRule="exact"/>
        <w:rPr>
          <w:sz w:val="20"/>
          <w:szCs w:val="20"/>
          <w:color w:val="auto"/>
        </w:rPr>
      </w:pPr>
    </w:p>
    <w:p>
      <w:pPr>
        <w:ind w:left="300" w:right="100" w:firstLine="426"/>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all information in this prospectus assumes no exercise by the underwriters of their option to purchase additional ADSs.</w:t>
      </w:r>
    </w:p>
    <w:p>
      <w:pPr>
        <w:spacing w:after="0" w:line="162"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Our reporting currency is Renminbi. This prospectus also contains translations of certain foreign currency amounts into U.S. dollars for the convenience of the reader. Unless otherwise stated, all translations from Renminbi to U.S. dollars are made at a rate of RMB6.6981 to US$1.00, the exchange rate in effect as of June 30, 2022 as set forth in the H.10 statistical release of The Board of Governors of the Federal Reserve System. We make no representation that any Renminbi or U.S. dollar amounts referred to in this prospectus could have been or could be converted into U.S. dollars or Renminbi, as the case may be, at any particular rate, or at all.</w:t>
      </w:r>
    </w:p>
    <w:p>
      <w:pPr>
        <w:spacing w:after="0" w:line="183" w:lineRule="exact"/>
        <w:rPr>
          <w:sz w:val="20"/>
          <w:szCs w:val="20"/>
          <w:color w:val="auto"/>
        </w:rPr>
      </w:pPr>
    </w:p>
    <w:p>
      <w:pPr>
        <w:ind w:left="300" w:right="20" w:firstLine="426"/>
        <w:spacing w:after="0" w:line="256" w:lineRule="auto"/>
        <w:rPr>
          <w:sz w:val="20"/>
          <w:szCs w:val="20"/>
          <w:color w:val="auto"/>
        </w:rPr>
      </w:pPr>
      <w:r>
        <w:rPr>
          <w:rFonts w:ascii="Times New Roman" w:cs="Times New Roman" w:eastAsia="Times New Roman" w:hAnsi="Times New Roman"/>
          <w:sz w:val="18"/>
          <w:szCs w:val="18"/>
          <w:color w:val="auto"/>
        </w:rPr>
        <w:t>This prospectus contains information derived from various public sources and certain information from a report we commissioned regarding our industry and our market position in China prepared by China Insights Industry Consultancy Limited, or CIC, an independent research firm. Such information involves a number of assumptions and limitations, and you are cautioned not to give undue weight to these estimates. We have not independently verified the accuracy or completeness of the data contained in this report. The industry in which we operate is subject to a high degree of uncertainty and risk due to variety of factors, including those described in the “Risk Factors” section. These and other factors could cause results to differ materially from those expressed in this report.</w:t>
      </w:r>
    </w:p>
    <w:p>
      <w:pPr>
        <w:spacing w:after="0" w:line="187" w:lineRule="exact"/>
        <w:rPr>
          <w:sz w:val="20"/>
          <w:szCs w:val="20"/>
          <w:color w:val="auto"/>
        </w:rPr>
      </w:pPr>
    </w:p>
    <w:p>
      <w:pPr>
        <w:ind w:left="300" w:right="380" w:firstLine="426"/>
        <w:spacing w:after="0" w:line="282" w:lineRule="auto"/>
        <w:rPr>
          <w:sz w:val="20"/>
          <w:szCs w:val="20"/>
          <w:color w:val="auto"/>
        </w:rPr>
      </w:pPr>
      <w:r>
        <w:rPr>
          <w:rFonts w:ascii="Times New Roman" w:cs="Times New Roman" w:eastAsia="Times New Roman" w:hAnsi="Times New Roman"/>
          <w:sz w:val="18"/>
          <w:szCs w:val="18"/>
          <w:color w:val="auto"/>
        </w:rPr>
        <w:t>Due to rounding, numbers presented throughout this prospectus may not add up precisely to the totals provided and percentages may not precisely reflect the absolute figures.</w:t>
      </w:r>
    </w:p>
    <w:p>
      <w:pPr>
        <w:spacing w:after="0" w:line="27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40"/>
          </w:cols>
          <w:pgMar w:left="320" w:top="455" w:right="6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931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8970" cy="61931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The Offering</w:t>
      </w:r>
    </w:p>
    <w:p>
      <w:pPr>
        <w:sectPr>
          <w:pgSz w:w="11900" w:h="16838" w:orient="portrait"/>
          <w:cols w:equalWidth="0" w:num="1">
            <w:col w:w="10940"/>
          </w:cols>
          <w:pgMar w:left="320" w:top="455" w:right="639" w:bottom="1440" w:gutter="0" w:footer="0" w:header="0"/>
        </w:sectPr>
      </w:pP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Offering price</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currently estimate that the initial public offering price will be</w:t>
      </w:r>
    </w:p>
    <w:p>
      <w:pPr>
        <w:spacing w:after="0" w:line="39" w:lineRule="exact"/>
        <w:rPr>
          <w:sz w:val="20"/>
          <w:szCs w:val="20"/>
          <w:color w:val="auto"/>
        </w:rPr>
      </w:pPr>
    </w:p>
    <w:p>
      <w:pPr>
        <w:spacing w:after="0"/>
        <w:tabs>
          <w:tab w:leader="none" w:pos="1520" w:val="left"/>
          <w:tab w:leader="none" w:pos="2740" w:val="left"/>
        </w:tabs>
        <w:rPr>
          <w:sz w:val="20"/>
          <w:szCs w:val="20"/>
          <w:color w:val="auto"/>
        </w:rPr>
      </w:pPr>
      <w:r>
        <w:rPr>
          <w:rFonts w:ascii="Times New Roman" w:cs="Times New Roman" w:eastAsia="Times New Roman" w:hAnsi="Times New Roman"/>
          <w:sz w:val="18"/>
          <w:szCs w:val="18"/>
          <w:color w:val="auto"/>
        </w:rPr>
        <w:t>between US$</w:t>
      </w:r>
      <w:r>
        <w:rPr>
          <w:sz w:val="20"/>
          <w:szCs w:val="20"/>
          <w:color w:val="auto"/>
        </w:rPr>
        <w:tab/>
      </w:r>
      <w:r>
        <w:rPr>
          <w:rFonts w:ascii="Times New Roman" w:cs="Times New Roman" w:eastAsia="Times New Roman" w:hAnsi="Times New Roman"/>
          <w:sz w:val="18"/>
          <w:szCs w:val="18"/>
          <w:color w:val="auto"/>
        </w:rPr>
        <w:t>and US$</w:t>
      </w:r>
      <w:r>
        <w:rPr>
          <w:sz w:val="20"/>
          <w:szCs w:val="20"/>
          <w:color w:val="auto"/>
        </w:rPr>
        <w:tab/>
      </w:r>
      <w:r>
        <w:rPr>
          <w:rFonts w:ascii="Times New Roman" w:cs="Times New Roman" w:eastAsia="Times New Roman" w:hAnsi="Times New Roman"/>
          <w:sz w:val="17"/>
          <w:szCs w:val="17"/>
          <w:color w:val="auto"/>
        </w:rPr>
        <w:t>per ADS.</w:t>
      </w:r>
    </w:p>
    <w:p>
      <w:pPr>
        <w:spacing w:after="0" w:line="200" w:lineRule="exact"/>
        <w:rPr>
          <w:sz w:val="20"/>
          <w:szCs w:val="20"/>
          <w:color w:val="auto"/>
        </w:rPr>
      </w:pPr>
    </w:p>
    <w:p>
      <w:pPr>
        <w:sectPr>
          <w:pgSz w:w="11900" w:h="16838" w:orient="portrait"/>
          <w:cols w:equalWidth="0" w:num="2">
            <w:col w:w="3620" w:space="720"/>
            <w:col w:w="6600"/>
          </w:cols>
          <w:pgMar w:left="320" w:top="455" w:right="639" w:bottom="1440" w:gutter="0" w:footer="0" w:header="0"/>
          <w:type w:val="continuous"/>
        </w:sectPr>
      </w:pPr>
    </w:p>
    <w:p>
      <w:pPr>
        <w:spacing w:after="0" w:line="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ADSs offered by us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ADSs (or</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ADSs if the underwriters exercise their over-allotment option in</w:t>
      </w:r>
    </w:p>
    <w:p>
      <w:pPr>
        <w:spacing w:after="0" w:line="39" w:lineRule="exact"/>
        <w:rPr>
          <w:sz w:val="20"/>
          <w:szCs w:val="20"/>
          <w:color w:val="auto"/>
        </w:rPr>
      </w:pPr>
    </w:p>
    <w:p>
      <w:pPr>
        <w:sectPr>
          <w:pgSz w:w="11900" w:h="16838" w:orient="portrait"/>
          <w:cols w:equalWidth="0" w:num="3">
            <w:col w:w="4140" w:space="720"/>
            <w:col w:w="680" w:space="580"/>
            <w:col w:w="4820"/>
          </w:cols>
          <w:pgMar w:left="320" w:top="455" w:right="639" w:bottom="1440" w:gutter="0" w:footer="0" w:header="0"/>
          <w:type w:val="continuous"/>
        </w:sectPr>
      </w:pPr>
    </w:p>
    <w:p>
      <w:pPr>
        <w:ind w:left="4340"/>
        <w:spacing w:after="0"/>
        <w:rPr>
          <w:sz w:val="20"/>
          <w:szCs w:val="20"/>
          <w:color w:val="auto"/>
        </w:rPr>
      </w:pPr>
      <w:r>
        <w:rPr>
          <w:rFonts w:ascii="Times New Roman" w:cs="Times New Roman" w:eastAsia="Times New Roman" w:hAnsi="Times New Roman"/>
          <w:sz w:val="17"/>
          <w:szCs w:val="17"/>
          <w:color w:val="auto"/>
        </w:rPr>
        <w:t>full).</w:t>
      </w:r>
    </w:p>
    <w:p>
      <w:pPr>
        <w:sectPr>
          <w:pgSz w:w="11900" w:h="16838" w:orient="portrait"/>
          <w:cols w:equalWidth="0" w:num="1">
            <w:col w:w="10940"/>
          </w:cols>
          <w:pgMar w:left="320" w:top="455" w:right="639" w:bottom="1440" w:gutter="0" w:footer="0" w:header="0"/>
          <w:type w:val="continuous"/>
        </w:sectPr>
      </w:pPr>
    </w:p>
    <w:p>
      <w:pPr>
        <w:spacing w:after="0" w:line="2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[ADSs offered by the selling shareholders</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ADSs (or</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ADSs if the underwriters exercise their over-allotment option in</w:t>
      </w:r>
    </w:p>
    <w:p>
      <w:pPr>
        <w:spacing w:after="0" w:line="39" w:lineRule="exact"/>
        <w:rPr>
          <w:sz w:val="20"/>
          <w:szCs w:val="20"/>
          <w:color w:val="auto"/>
        </w:rPr>
      </w:pPr>
    </w:p>
    <w:p>
      <w:pPr>
        <w:sectPr>
          <w:pgSz w:w="11900" w:h="16838" w:orient="portrait"/>
          <w:cols w:equalWidth="0" w:num="3">
            <w:col w:w="4140" w:space="720"/>
            <w:col w:w="680" w:space="580"/>
            <w:col w:w="4820"/>
          </w:cols>
          <w:pgMar w:left="320" w:top="455" w:right="639" w:bottom="1440" w:gutter="0" w:footer="0" w:header="0"/>
          <w:type w:val="continuous"/>
        </w:sectPr>
      </w:pPr>
    </w:p>
    <w:p>
      <w:pPr>
        <w:ind w:left="4340"/>
        <w:spacing w:after="0"/>
        <w:rPr>
          <w:sz w:val="20"/>
          <w:szCs w:val="20"/>
          <w:color w:val="auto"/>
        </w:rPr>
      </w:pPr>
      <w:r>
        <w:rPr>
          <w:rFonts w:ascii="Times New Roman" w:cs="Times New Roman" w:eastAsia="Times New Roman" w:hAnsi="Times New Roman"/>
          <w:sz w:val="17"/>
          <w:szCs w:val="17"/>
          <w:color w:val="auto"/>
        </w:rPr>
        <w:t>full).]</w:t>
      </w:r>
    </w:p>
    <w:p>
      <w:pPr>
        <w:sectPr>
          <w:pgSz w:w="11900" w:h="16838" w:orient="portrait"/>
          <w:cols w:equalWidth="0" w:num="1">
            <w:col w:w="10940"/>
          </w:cols>
          <w:pgMar w:left="320" w:top="455" w:right="639" w:bottom="1440" w:gutter="0" w:footer="0" w:header="0"/>
          <w:type w:val="continuous"/>
        </w:sectPr>
      </w:pPr>
    </w:p>
    <w:p>
      <w:pPr>
        <w:spacing w:after="0" w:line="2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ADSs outstanding immediately after this offering</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ADSs (or</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ADSs if the underwriters exercise their over-allotment option in</w:t>
      </w:r>
    </w:p>
    <w:p>
      <w:pPr>
        <w:spacing w:after="0" w:line="39" w:lineRule="exact"/>
        <w:rPr>
          <w:sz w:val="20"/>
          <w:szCs w:val="20"/>
          <w:color w:val="auto"/>
        </w:rPr>
      </w:pPr>
    </w:p>
    <w:p>
      <w:pPr>
        <w:sectPr>
          <w:pgSz w:w="11900" w:h="16838" w:orient="portrait"/>
          <w:cols w:equalWidth="0" w:num="3">
            <w:col w:w="4140" w:space="720"/>
            <w:col w:w="680" w:space="580"/>
            <w:col w:w="4820"/>
          </w:cols>
          <w:pgMar w:left="320" w:top="455" w:right="639" w:bottom="1440" w:gutter="0" w:footer="0" w:header="0"/>
          <w:type w:val="continuous"/>
        </w:sectPr>
      </w:pPr>
    </w:p>
    <w:p>
      <w:pPr>
        <w:ind w:left="4340"/>
        <w:spacing w:after="0"/>
        <w:rPr>
          <w:sz w:val="20"/>
          <w:szCs w:val="20"/>
          <w:color w:val="auto"/>
        </w:rPr>
      </w:pPr>
      <w:r>
        <w:rPr>
          <w:rFonts w:ascii="Times New Roman" w:cs="Times New Roman" w:eastAsia="Times New Roman" w:hAnsi="Times New Roman"/>
          <w:sz w:val="17"/>
          <w:szCs w:val="17"/>
          <w:color w:val="auto"/>
        </w:rPr>
        <w:t>full).</w:t>
      </w:r>
    </w:p>
    <w:p>
      <w:pPr>
        <w:sectPr>
          <w:pgSz w:w="11900" w:h="16838" w:orient="portrait"/>
          <w:cols w:equalWidth="0" w:num="1">
            <w:col w:w="10940"/>
          </w:cols>
          <w:pgMar w:left="320" w:top="455" w:right="639" w:bottom="1440" w:gutter="0" w:footer="0" w:header="0"/>
          <w:type w:val="continuous"/>
        </w:sectPr>
      </w:pPr>
    </w:p>
    <w:p>
      <w:pPr>
        <w:spacing w:after="0" w:line="245" w:lineRule="exact"/>
        <w:rPr>
          <w:sz w:val="20"/>
          <w:szCs w:val="20"/>
          <w:color w:val="auto"/>
        </w:rPr>
      </w:pPr>
    </w:p>
    <w:p>
      <w:pPr>
        <w:ind w:left="380" w:hanging="78"/>
        <w:spacing w:after="0" w:line="282" w:lineRule="auto"/>
        <w:rPr>
          <w:sz w:val="20"/>
          <w:szCs w:val="20"/>
          <w:color w:val="auto"/>
        </w:rPr>
      </w:pPr>
      <w:r>
        <w:rPr>
          <w:rFonts w:ascii="Times New Roman" w:cs="Times New Roman" w:eastAsia="Times New Roman" w:hAnsi="Times New Roman"/>
          <w:sz w:val="18"/>
          <w:szCs w:val="18"/>
          <w:color w:val="auto"/>
        </w:rPr>
        <w:t>Ordinary shares issued and outstanding immediately after this offering</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will adopt a dual class ordinary share structure immediately upon the completion of this</w:t>
      </w:r>
    </w:p>
    <w:p>
      <w:pPr>
        <w:spacing w:after="0" w:line="39" w:lineRule="exact"/>
        <w:rPr>
          <w:sz w:val="20"/>
          <w:szCs w:val="20"/>
          <w:color w:val="auto"/>
        </w:rPr>
      </w:pPr>
    </w:p>
    <w:p>
      <w:pPr>
        <w:spacing w:after="0"/>
        <w:tabs>
          <w:tab w:leader="none" w:pos="1180" w:val="left"/>
          <w:tab w:leader="none" w:pos="3900" w:val="left"/>
        </w:tabs>
        <w:rPr>
          <w:sz w:val="20"/>
          <w:szCs w:val="20"/>
          <w:color w:val="auto"/>
        </w:rPr>
      </w:pPr>
      <w:r>
        <w:rPr>
          <w:rFonts w:ascii="Times New Roman" w:cs="Times New Roman" w:eastAsia="Times New Roman" w:hAnsi="Times New Roman"/>
          <w:sz w:val="18"/>
          <w:szCs w:val="18"/>
          <w:color w:val="auto"/>
        </w:rPr>
        <w:t>offering.</w:t>
      </w:r>
      <w:r>
        <w:rPr>
          <w:sz w:val="20"/>
          <w:szCs w:val="20"/>
          <w:color w:val="auto"/>
        </w:rPr>
        <w:tab/>
      </w:r>
      <w:r>
        <w:rPr>
          <w:rFonts w:ascii="Times New Roman" w:cs="Times New Roman" w:eastAsia="Times New Roman" w:hAnsi="Times New Roman"/>
          <w:sz w:val="18"/>
          <w:szCs w:val="18"/>
          <w:color w:val="auto"/>
        </w:rPr>
        <w:t>ordinary shares, comprised of</w:t>
      </w:r>
      <w:r>
        <w:rPr>
          <w:sz w:val="20"/>
          <w:szCs w:val="20"/>
          <w:color w:val="auto"/>
        </w:rPr>
        <w:tab/>
      </w:r>
      <w:r>
        <w:rPr>
          <w:rFonts w:ascii="Times New Roman" w:cs="Times New Roman" w:eastAsia="Times New Roman" w:hAnsi="Times New Roman"/>
          <w:sz w:val="17"/>
          <w:szCs w:val="17"/>
          <w:color w:val="auto"/>
        </w:rPr>
        <w:t>Class A ordinary shares and</w:t>
      </w:r>
    </w:p>
    <w:p>
      <w:pPr>
        <w:spacing w:after="0" w:line="9" w:lineRule="exact"/>
        <w:rPr>
          <w:sz w:val="20"/>
          <w:szCs w:val="20"/>
          <w:color w:val="auto"/>
        </w:rPr>
      </w:pPr>
    </w:p>
    <w:p>
      <w:pPr>
        <w:ind w:left="540"/>
        <w:spacing w:after="0"/>
        <w:tabs>
          <w:tab w:leader="none" w:pos="3060" w:val="left"/>
        </w:tabs>
        <w:rPr>
          <w:sz w:val="20"/>
          <w:szCs w:val="20"/>
          <w:color w:val="auto"/>
        </w:rPr>
      </w:pPr>
      <w:r>
        <w:rPr>
          <w:rFonts w:ascii="Times New Roman" w:cs="Times New Roman" w:eastAsia="Times New Roman" w:hAnsi="Times New Roman"/>
          <w:sz w:val="18"/>
          <w:szCs w:val="18"/>
          <w:color w:val="auto"/>
        </w:rPr>
        <w:t>Class B ordinary shares (or</w:t>
      </w:r>
      <w:r>
        <w:rPr>
          <w:sz w:val="20"/>
          <w:szCs w:val="20"/>
          <w:color w:val="auto"/>
        </w:rPr>
        <w:tab/>
      </w:r>
      <w:r>
        <w:rPr>
          <w:rFonts w:ascii="Times New Roman" w:cs="Times New Roman" w:eastAsia="Times New Roman" w:hAnsi="Times New Roman"/>
          <w:sz w:val="17"/>
          <w:szCs w:val="17"/>
          <w:color w:val="auto"/>
        </w:rPr>
        <w:t>ordinary shares if the underwriters exercise their</w:t>
      </w:r>
    </w:p>
    <w:p>
      <w:pPr>
        <w:spacing w:after="0" w:line="9" w:lineRule="exact"/>
        <w:rPr>
          <w:sz w:val="20"/>
          <w:szCs w:val="20"/>
          <w:color w:val="auto"/>
        </w:rPr>
      </w:pPr>
    </w:p>
    <w:p>
      <w:pPr>
        <w:spacing w:after="0"/>
        <w:tabs>
          <w:tab w:leader="none" w:pos="3640" w:val="left"/>
        </w:tabs>
        <w:rPr>
          <w:sz w:val="20"/>
          <w:szCs w:val="20"/>
          <w:color w:val="auto"/>
        </w:rPr>
      </w:pPr>
      <w:r>
        <w:rPr>
          <w:rFonts w:ascii="Times New Roman" w:cs="Times New Roman" w:eastAsia="Times New Roman" w:hAnsi="Times New Roman"/>
          <w:sz w:val="18"/>
          <w:szCs w:val="18"/>
          <w:color w:val="auto"/>
        </w:rPr>
        <w:t>over-allotment option in full, comprised of</w:t>
      </w:r>
      <w:r>
        <w:rPr>
          <w:sz w:val="20"/>
          <w:szCs w:val="20"/>
          <w:color w:val="auto"/>
        </w:rPr>
        <w:tab/>
      </w:r>
      <w:r>
        <w:rPr>
          <w:rFonts w:ascii="Times New Roman" w:cs="Times New Roman" w:eastAsia="Times New Roman" w:hAnsi="Times New Roman"/>
          <w:sz w:val="17"/>
          <w:szCs w:val="17"/>
          <w:color w:val="auto"/>
        </w:rPr>
        <w:t>Class A ordinary shares and</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Class B ordinary shares).</w:t>
      </w:r>
    </w:p>
    <w:p>
      <w:pPr>
        <w:spacing w:after="0" w:line="200" w:lineRule="exact"/>
        <w:rPr>
          <w:sz w:val="20"/>
          <w:szCs w:val="20"/>
          <w:color w:val="auto"/>
        </w:rPr>
      </w:pPr>
    </w:p>
    <w:p>
      <w:pPr>
        <w:sectPr>
          <w:pgSz w:w="11900" w:h="16838" w:orient="portrait"/>
          <w:cols w:equalWidth="0" w:num="2">
            <w:col w:w="4080" w:space="260"/>
            <w:col w:w="6600"/>
          </w:cols>
          <w:pgMar w:left="320" w:top="455" w:right="639" w:bottom="1440" w:gutter="0" w:footer="0" w:header="0"/>
          <w:type w:val="continuous"/>
        </w:sectPr>
      </w:pPr>
    </w:p>
    <w:p>
      <w:pPr>
        <w:spacing w:after="0" w:line="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ADSs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Each ADS represents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Class A ordinary shares, par value US$0.00001 per share.</w:t>
      </w:r>
    </w:p>
    <w:p>
      <w:pPr>
        <w:spacing w:after="0" w:line="211" w:lineRule="exact"/>
        <w:rPr>
          <w:sz w:val="20"/>
          <w:szCs w:val="20"/>
          <w:color w:val="auto"/>
        </w:rPr>
      </w:pPr>
    </w:p>
    <w:p>
      <w:pPr>
        <w:sectPr>
          <w:pgSz w:w="11900" w:h="16838" w:orient="portrait"/>
          <w:cols w:equalWidth="0" w:num="3">
            <w:col w:w="3620" w:space="720"/>
            <w:col w:w="1540" w:space="580"/>
            <w:col w:w="4480"/>
          </w:cols>
          <w:pgMar w:left="320" w:top="455" w:right="639" w:bottom="1440" w:gutter="0" w:footer="0" w:header="0"/>
          <w:type w:val="continuous"/>
        </w:sectPr>
      </w:pPr>
    </w:p>
    <w:p>
      <w:pPr>
        <w:spacing w:after="0" w:line="66" w:lineRule="exact"/>
        <w:rPr>
          <w:sz w:val="20"/>
          <w:szCs w:val="20"/>
          <w:color w:val="auto"/>
        </w:rPr>
      </w:pPr>
    </w:p>
    <w:p>
      <w:pPr>
        <w:ind w:left="4340" w:right="320"/>
        <w:spacing w:after="0" w:line="266" w:lineRule="auto"/>
        <w:rPr>
          <w:sz w:val="20"/>
          <w:szCs w:val="20"/>
          <w:color w:val="auto"/>
        </w:rPr>
      </w:pPr>
      <w:r>
        <w:rPr>
          <w:rFonts w:ascii="Times New Roman" w:cs="Times New Roman" w:eastAsia="Times New Roman" w:hAnsi="Times New Roman"/>
          <w:sz w:val="18"/>
          <w:szCs w:val="18"/>
          <w:color w:val="auto"/>
        </w:rPr>
        <w:t>The depositary will hold Class A ordinary shares underlying your ADSs. You will have rights as provided in the deposit agreement among us, the depositary and holders and beneficial owners of ADSs from time to time.</w:t>
      </w:r>
    </w:p>
    <w:p>
      <w:pPr>
        <w:spacing w:after="0" w:line="203" w:lineRule="exact"/>
        <w:rPr>
          <w:sz w:val="20"/>
          <w:szCs w:val="20"/>
          <w:color w:val="auto"/>
        </w:rPr>
      </w:pPr>
    </w:p>
    <w:p>
      <w:pPr>
        <w:ind w:left="4340" w:right="20"/>
        <w:spacing w:after="0" w:line="258" w:lineRule="auto"/>
        <w:rPr>
          <w:sz w:val="20"/>
          <w:szCs w:val="20"/>
          <w:color w:val="auto"/>
        </w:rPr>
      </w:pPr>
      <w:r>
        <w:rPr>
          <w:rFonts w:ascii="Times New Roman" w:cs="Times New Roman" w:eastAsia="Times New Roman" w:hAnsi="Times New Roman"/>
          <w:sz w:val="18"/>
          <w:szCs w:val="18"/>
          <w:color w:val="auto"/>
        </w:rPr>
        <w:t>We do not expect to pay any cash dividends on our Class A ordinary shares in the foreseeable future. If, however, we declare dividends on our ordinary shares, the depositary will pay you the cash dividends and other distributions it receives on our Class A ordinary shares after deducting its fees and expenses in accordance with the terms set forth in the deposit agreement.</w:t>
      </w:r>
    </w:p>
    <w:p>
      <w:pPr>
        <w:spacing w:after="0" w:line="210" w:lineRule="exact"/>
        <w:rPr>
          <w:sz w:val="20"/>
          <w:szCs w:val="20"/>
          <w:color w:val="auto"/>
        </w:rPr>
      </w:pPr>
    </w:p>
    <w:p>
      <w:pPr>
        <w:ind w:left="4340" w:right="200"/>
        <w:spacing w:after="0" w:line="282" w:lineRule="auto"/>
        <w:rPr>
          <w:sz w:val="20"/>
          <w:szCs w:val="20"/>
          <w:color w:val="auto"/>
        </w:rPr>
      </w:pPr>
      <w:r>
        <w:rPr>
          <w:rFonts w:ascii="Times New Roman" w:cs="Times New Roman" w:eastAsia="Times New Roman" w:hAnsi="Times New Roman"/>
          <w:sz w:val="18"/>
          <w:szCs w:val="18"/>
          <w:color w:val="auto"/>
        </w:rPr>
        <w:t>You may surrender your ADSs to the depositary for cancellation in exchange for Class A ordinary shares. The depositary will charge you fees for any cancellation.</w:t>
      </w:r>
    </w:p>
    <w:p>
      <w:pPr>
        <w:spacing w:after="0" w:line="189" w:lineRule="exact"/>
        <w:rPr>
          <w:sz w:val="20"/>
          <w:szCs w:val="20"/>
          <w:color w:val="auto"/>
        </w:rPr>
      </w:pPr>
    </w:p>
    <w:p>
      <w:pPr>
        <w:ind w:left="4340"/>
        <w:spacing w:after="0" w:line="266" w:lineRule="auto"/>
        <w:rPr>
          <w:sz w:val="20"/>
          <w:szCs w:val="20"/>
          <w:color w:val="auto"/>
        </w:rPr>
      </w:pPr>
      <w:r>
        <w:rPr>
          <w:rFonts w:ascii="Times New Roman" w:cs="Times New Roman" w:eastAsia="Times New Roman" w:hAnsi="Times New Roman"/>
          <w:sz w:val="18"/>
          <w:szCs w:val="18"/>
          <w:color w:val="auto"/>
        </w:rPr>
        <w:t>We may amend or terminate the deposit agreement without your consent. If you continue to hold your ADSs after an amendment to the deposit agreement, you agree to be bound by the deposit agreement as amended.</w:t>
      </w:r>
    </w:p>
    <w:p>
      <w:pPr>
        <w:spacing w:after="0" w:line="203" w:lineRule="exact"/>
        <w:rPr>
          <w:sz w:val="20"/>
          <w:szCs w:val="20"/>
          <w:color w:val="auto"/>
        </w:rPr>
      </w:pPr>
    </w:p>
    <w:p>
      <w:pPr>
        <w:jc w:val="both"/>
        <w:ind w:left="4340" w:right="140"/>
        <w:spacing w:after="0" w:line="266" w:lineRule="auto"/>
        <w:rPr>
          <w:sz w:val="20"/>
          <w:szCs w:val="20"/>
          <w:color w:val="auto"/>
        </w:rPr>
      </w:pPr>
      <w:r>
        <w:rPr>
          <w:rFonts w:ascii="Times New Roman" w:cs="Times New Roman" w:eastAsia="Times New Roman" w:hAnsi="Times New Roman"/>
          <w:sz w:val="18"/>
          <w:szCs w:val="18"/>
          <w:color w:val="auto"/>
        </w:rPr>
        <w:t>To better understand the terms of the ADSs, you should carefully read the “Description of American Depositary Shares” section of this prospectus. You should also read the deposit agreement, which is</w:t>
      </w:r>
    </w:p>
    <w:p>
      <w:pPr>
        <w:spacing w:after="0" w:line="28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40"/>
          </w:cols>
          <w:pgMar w:left="320" w:top="455" w:right="6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408"/>
        </w:trPr>
        <w:tc>
          <w:tcPr>
            <w:tcW w:w="3500" w:type="dxa"/>
            <w:vAlign w:val="bottom"/>
            <w:tcBorders>
              <w:top w:val="single" w:sz="8" w:color="auto"/>
              <w:left w:val="single" w:sz="8" w:color="auto"/>
            </w:tcBorders>
          </w:tcPr>
          <w:p>
            <w:pPr>
              <w:spacing w:after="0"/>
              <w:rPr>
                <w:sz w:val="24"/>
                <w:szCs w:val="24"/>
                <w:color w:val="auto"/>
              </w:rPr>
            </w:pPr>
          </w:p>
        </w:tc>
        <w:tc>
          <w:tcPr>
            <w:tcW w:w="7520" w:type="dxa"/>
            <w:vAlign w:val="bottom"/>
            <w:tcBorders>
              <w:top w:val="single" w:sz="8" w:color="auto"/>
              <w:right w:val="single" w:sz="8" w:color="auto"/>
            </w:tcBorders>
            <w:gridSpan w:val="4"/>
          </w:tcPr>
          <w:p>
            <w:pPr>
              <w:ind w:left="720"/>
              <w:spacing w:after="0"/>
              <w:rPr>
                <w:sz w:val="20"/>
                <w:szCs w:val="20"/>
                <w:color w:val="auto"/>
              </w:rPr>
            </w:pPr>
            <w:r>
              <w:rPr>
                <w:rFonts w:ascii="Times New Roman" w:cs="Times New Roman" w:eastAsia="Times New Roman" w:hAnsi="Times New Roman"/>
                <w:sz w:val="18"/>
                <w:szCs w:val="18"/>
                <w:color w:val="auto"/>
              </w:rPr>
              <w:t>filed as an exhibit to the registration statement that includes this prospectus.</w:t>
            </w:r>
          </w:p>
        </w:tc>
      </w:tr>
      <w:tr>
        <w:trPr>
          <w:trHeight w:val="454"/>
        </w:trPr>
        <w:tc>
          <w:tcPr>
            <w:tcW w:w="35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Option to purchase additional ADSs</w:t>
            </w:r>
          </w:p>
        </w:tc>
        <w:tc>
          <w:tcPr>
            <w:tcW w:w="7520" w:type="dxa"/>
            <w:vAlign w:val="bottom"/>
            <w:tcBorders>
              <w:right w:val="single" w:sz="8" w:color="auto"/>
            </w:tcBorders>
            <w:gridSpan w:val="4"/>
          </w:tcPr>
          <w:p>
            <w:pPr>
              <w:ind w:left="720"/>
              <w:spacing w:after="0"/>
              <w:rPr>
                <w:sz w:val="20"/>
                <w:szCs w:val="20"/>
                <w:color w:val="auto"/>
              </w:rPr>
            </w:pPr>
            <w:r>
              <w:rPr>
                <w:rFonts w:ascii="Times New Roman" w:cs="Times New Roman" w:eastAsia="Times New Roman" w:hAnsi="Times New Roman"/>
                <w:sz w:val="18"/>
                <w:szCs w:val="18"/>
                <w:color w:val="auto"/>
              </w:rPr>
              <w:t>We [and the selling shareholders] have granted to the underwriters an option, exercisable</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gridSpan w:val="4"/>
          </w:tcPr>
          <w:p>
            <w:pPr>
              <w:ind w:left="720"/>
              <w:spacing w:after="0"/>
              <w:rPr>
                <w:sz w:val="20"/>
                <w:szCs w:val="20"/>
                <w:color w:val="auto"/>
              </w:rPr>
            </w:pPr>
            <w:r>
              <w:rPr>
                <w:rFonts w:ascii="Times New Roman" w:cs="Times New Roman" w:eastAsia="Times New Roman" w:hAnsi="Times New Roman"/>
                <w:sz w:val="18"/>
                <w:szCs w:val="18"/>
                <w:color w:val="auto"/>
              </w:rPr>
              <w:t>within 30 days from the date of this prospectus, to purchase up to an aggregate of</w:t>
            </w:r>
          </w:p>
        </w:tc>
      </w:tr>
      <w:tr>
        <w:trPr>
          <w:trHeight w:val="234"/>
        </w:trPr>
        <w:tc>
          <w:tcPr>
            <w:tcW w:w="3500" w:type="dxa"/>
            <w:vAlign w:val="bottom"/>
            <w:tcBorders>
              <w:left w:val="single" w:sz="8" w:color="auto"/>
            </w:tcBorders>
          </w:tcPr>
          <w:p>
            <w:pPr>
              <w:spacing w:after="0"/>
              <w:rPr>
                <w:sz w:val="20"/>
                <w:szCs w:val="20"/>
                <w:color w:val="auto"/>
              </w:rPr>
            </w:pPr>
          </w:p>
        </w:tc>
        <w:tc>
          <w:tcPr>
            <w:tcW w:w="1140" w:type="dxa"/>
            <w:vAlign w:val="bottom"/>
          </w:tcPr>
          <w:p>
            <w:pPr>
              <w:spacing w:after="0"/>
              <w:rPr>
                <w:sz w:val="20"/>
                <w:szCs w:val="20"/>
                <w:color w:val="auto"/>
              </w:rPr>
            </w:pPr>
          </w:p>
        </w:tc>
        <w:tc>
          <w:tcPr>
            <w:tcW w:w="638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additional ADSs to cover over-allotment.</w:t>
            </w:r>
          </w:p>
        </w:tc>
      </w:tr>
      <w:tr>
        <w:trPr>
          <w:trHeight w:val="441"/>
        </w:trPr>
        <w:tc>
          <w:tcPr>
            <w:tcW w:w="35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7520" w:type="dxa"/>
            <w:vAlign w:val="bottom"/>
            <w:tcBorders>
              <w:right w:val="single" w:sz="8" w:color="auto"/>
            </w:tcBorders>
            <w:gridSpan w:val="4"/>
          </w:tcPr>
          <w:p>
            <w:pPr>
              <w:ind w:left="720"/>
              <w:spacing w:after="0"/>
              <w:rPr>
                <w:sz w:val="20"/>
                <w:szCs w:val="20"/>
                <w:color w:val="auto"/>
              </w:rPr>
            </w:pPr>
            <w:r>
              <w:rPr>
                <w:rFonts w:ascii="Times New Roman" w:cs="Times New Roman" w:eastAsia="Times New Roman" w:hAnsi="Times New Roman"/>
                <w:sz w:val="18"/>
                <w:szCs w:val="18"/>
                <w:color w:val="auto"/>
              </w:rPr>
              <w:t>We expect that we will receive net proceeds of approximately</w:t>
            </w:r>
          </w:p>
        </w:tc>
      </w:tr>
      <w:tr>
        <w:trPr>
          <w:trHeight w:val="216"/>
        </w:trPr>
        <w:tc>
          <w:tcPr>
            <w:tcW w:w="3500" w:type="dxa"/>
            <w:vAlign w:val="bottom"/>
            <w:tcBorders>
              <w:left w:val="single" w:sz="8" w:color="auto"/>
            </w:tcBorders>
          </w:tcPr>
          <w:p>
            <w:pPr>
              <w:spacing w:after="0"/>
              <w:rPr>
                <w:sz w:val="18"/>
                <w:szCs w:val="18"/>
                <w:color w:val="auto"/>
              </w:rPr>
            </w:pPr>
          </w:p>
        </w:tc>
        <w:tc>
          <w:tcPr>
            <w:tcW w:w="1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US$</w:t>
            </w:r>
          </w:p>
        </w:tc>
        <w:tc>
          <w:tcPr>
            <w:tcW w:w="6380" w:type="dxa"/>
            <w:vAlign w:val="bottom"/>
            <w:tcBorders>
              <w:right w:val="single" w:sz="8" w:color="auto"/>
            </w:tcBorders>
            <w:gridSpan w:val="3"/>
          </w:tcPr>
          <w:p>
            <w:pPr>
              <w:ind w:left="480"/>
              <w:spacing w:after="0"/>
              <w:rPr>
                <w:sz w:val="20"/>
                <w:szCs w:val="20"/>
                <w:color w:val="auto"/>
              </w:rPr>
            </w:pPr>
            <w:r>
              <w:rPr>
                <w:rFonts w:ascii="Times New Roman" w:cs="Times New Roman" w:eastAsia="Times New Roman" w:hAnsi="Times New Roman"/>
                <w:sz w:val="18"/>
                <w:szCs w:val="18"/>
                <w:color w:val="auto"/>
              </w:rPr>
              <w:t>million from this offering (or approximately</w:t>
            </w:r>
          </w:p>
        </w:tc>
      </w:tr>
      <w:tr>
        <w:trPr>
          <w:trHeight w:val="216"/>
        </w:trPr>
        <w:tc>
          <w:tcPr>
            <w:tcW w:w="3500" w:type="dxa"/>
            <w:vAlign w:val="bottom"/>
            <w:tcBorders>
              <w:left w:val="single" w:sz="8" w:color="auto"/>
            </w:tcBorders>
          </w:tcPr>
          <w:p>
            <w:pPr>
              <w:spacing w:after="0"/>
              <w:rPr>
                <w:sz w:val="18"/>
                <w:szCs w:val="18"/>
                <w:color w:val="auto"/>
              </w:rPr>
            </w:pPr>
          </w:p>
        </w:tc>
        <w:tc>
          <w:tcPr>
            <w:tcW w:w="1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US$</w:t>
            </w:r>
          </w:p>
        </w:tc>
        <w:tc>
          <w:tcPr>
            <w:tcW w:w="6380" w:type="dxa"/>
            <w:vAlign w:val="bottom"/>
            <w:tcBorders>
              <w:right w:val="single" w:sz="8" w:color="auto"/>
            </w:tcBorders>
            <w:gridSpan w:val="3"/>
          </w:tcPr>
          <w:p>
            <w:pPr>
              <w:ind w:left="480"/>
              <w:spacing w:after="0"/>
              <w:rPr>
                <w:sz w:val="20"/>
                <w:szCs w:val="20"/>
                <w:color w:val="auto"/>
              </w:rPr>
            </w:pPr>
            <w:r>
              <w:rPr>
                <w:rFonts w:ascii="Times New Roman" w:cs="Times New Roman" w:eastAsia="Times New Roman" w:hAnsi="Times New Roman"/>
                <w:sz w:val="18"/>
                <w:szCs w:val="18"/>
                <w:color w:val="auto"/>
              </w:rPr>
              <w:t>million if the underwriters exercise their over-allotment</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gridSpan w:val="4"/>
          </w:tcPr>
          <w:p>
            <w:pPr>
              <w:ind w:left="720"/>
              <w:spacing w:after="0"/>
              <w:rPr>
                <w:sz w:val="20"/>
                <w:szCs w:val="20"/>
                <w:color w:val="auto"/>
              </w:rPr>
            </w:pPr>
            <w:r>
              <w:rPr>
                <w:rFonts w:ascii="Times New Roman" w:cs="Times New Roman" w:eastAsia="Times New Roman" w:hAnsi="Times New Roman"/>
                <w:sz w:val="18"/>
                <w:szCs w:val="18"/>
                <w:color w:val="auto"/>
              </w:rPr>
              <w:t>option in full), assuming an initial public offering price of</w:t>
            </w:r>
          </w:p>
        </w:tc>
      </w:tr>
      <w:tr>
        <w:trPr>
          <w:trHeight w:val="216"/>
        </w:trPr>
        <w:tc>
          <w:tcPr>
            <w:tcW w:w="3500" w:type="dxa"/>
            <w:vAlign w:val="bottom"/>
            <w:tcBorders>
              <w:left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638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US$ per ADS, which is the midpoint of the estimated range of</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gridSpan w:val="4"/>
          </w:tcPr>
          <w:p>
            <w:pPr>
              <w:ind w:left="720"/>
              <w:spacing w:after="0"/>
              <w:rPr>
                <w:sz w:val="20"/>
                <w:szCs w:val="20"/>
                <w:color w:val="auto"/>
              </w:rPr>
            </w:pPr>
            <w:r>
              <w:rPr>
                <w:rFonts w:ascii="Times New Roman" w:cs="Times New Roman" w:eastAsia="Times New Roman" w:hAnsi="Times New Roman"/>
                <w:sz w:val="18"/>
                <w:szCs w:val="18"/>
                <w:color w:val="auto"/>
              </w:rPr>
              <w:t>the initial public offering price, after deducting underwriting</w:t>
            </w:r>
          </w:p>
        </w:tc>
      </w:tr>
      <w:tr>
        <w:trPr>
          <w:trHeight w:val="234"/>
        </w:trPr>
        <w:tc>
          <w:tcPr>
            <w:tcW w:w="3500" w:type="dxa"/>
            <w:vAlign w:val="bottom"/>
            <w:tcBorders>
              <w:left w:val="single" w:sz="8" w:color="auto"/>
            </w:tcBorders>
          </w:tcPr>
          <w:p>
            <w:pPr>
              <w:spacing w:after="0"/>
              <w:rPr>
                <w:sz w:val="20"/>
                <w:szCs w:val="20"/>
                <w:color w:val="auto"/>
              </w:rPr>
            </w:pPr>
          </w:p>
        </w:tc>
        <w:tc>
          <w:tcPr>
            <w:tcW w:w="7520" w:type="dxa"/>
            <w:vAlign w:val="bottom"/>
            <w:tcBorders>
              <w:right w:val="single" w:sz="8" w:color="auto"/>
            </w:tcBorders>
            <w:gridSpan w:val="4"/>
          </w:tcPr>
          <w:p>
            <w:pPr>
              <w:ind w:left="720"/>
              <w:spacing w:after="0"/>
              <w:rPr>
                <w:sz w:val="20"/>
                <w:szCs w:val="20"/>
                <w:color w:val="auto"/>
              </w:rPr>
            </w:pPr>
            <w:r>
              <w:rPr>
                <w:rFonts w:ascii="Times New Roman" w:cs="Times New Roman" w:eastAsia="Times New Roman" w:hAnsi="Times New Roman"/>
                <w:sz w:val="18"/>
                <w:szCs w:val="18"/>
                <w:color w:val="auto"/>
              </w:rPr>
              <w:t>discounts and commissions and estimated offering expenses payable by us.</w:t>
            </w:r>
          </w:p>
        </w:tc>
      </w:tr>
      <w:tr>
        <w:trPr>
          <w:trHeight w:val="441"/>
        </w:trPr>
        <w:tc>
          <w:tcPr>
            <w:tcW w:w="3500" w:type="dxa"/>
            <w:vAlign w:val="bottom"/>
            <w:tcBorders>
              <w:left w:val="single" w:sz="8" w:color="auto"/>
            </w:tcBorders>
          </w:tcPr>
          <w:p>
            <w:pPr>
              <w:spacing w:after="0"/>
              <w:rPr>
                <w:sz w:val="24"/>
                <w:szCs w:val="24"/>
                <w:color w:val="auto"/>
              </w:rPr>
            </w:pPr>
          </w:p>
        </w:tc>
        <w:tc>
          <w:tcPr>
            <w:tcW w:w="7520" w:type="dxa"/>
            <w:vAlign w:val="bottom"/>
            <w:tcBorders>
              <w:right w:val="single" w:sz="8" w:color="auto"/>
            </w:tcBorders>
            <w:gridSpan w:val="4"/>
          </w:tcPr>
          <w:p>
            <w:pPr>
              <w:ind w:left="720"/>
              <w:spacing w:after="0"/>
              <w:rPr>
                <w:sz w:val="20"/>
                <w:szCs w:val="20"/>
                <w:color w:val="auto"/>
              </w:rPr>
            </w:pPr>
            <w:r>
              <w:rPr>
                <w:rFonts w:ascii="Times New Roman" w:cs="Times New Roman" w:eastAsia="Times New Roman" w:hAnsi="Times New Roman"/>
                <w:sz w:val="18"/>
                <w:szCs w:val="18"/>
                <w:color w:val="auto"/>
              </w:rPr>
              <w:t>We plan to use the net proceeds of this offering as follows: (i) approximately 35% for</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gridSpan w:val="4"/>
          </w:tcPr>
          <w:p>
            <w:pPr>
              <w:ind w:left="720"/>
              <w:spacing w:after="0"/>
              <w:rPr>
                <w:sz w:val="20"/>
                <w:szCs w:val="20"/>
                <w:color w:val="auto"/>
              </w:rPr>
            </w:pPr>
            <w:r>
              <w:rPr>
                <w:rFonts w:ascii="Times New Roman" w:cs="Times New Roman" w:eastAsia="Times New Roman" w:hAnsi="Times New Roman"/>
                <w:sz w:val="18"/>
                <w:szCs w:val="18"/>
                <w:color w:val="auto"/>
              </w:rPr>
              <w:t>research and development of autonomous driving technologies, products and services;</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gridSpan w:val="4"/>
          </w:tcPr>
          <w:p>
            <w:pPr>
              <w:ind w:left="720"/>
              <w:spacing w:after="0"/>
              <w:rPr>
                <w:sz w:val="20"/>
                <w:szCs w:val="20"/>
                <w:color w:val="auto"/>
              </w:rPr>
            </w:pPr>
            <w:r>
              <w:rPr>
                <w:rFonts w:ascii="Times New Roman" w:cs="Times New Roman" w:eastAsia="Times New Roman" w:hAnsi="Times New Roman"/>
                <w:sz w:val="18"/>
                <w:szCs w:val="18"/>
                <w:color w:val="auto"/>
              </w:rPr>
              <w:t>(ii) approximately 30% for commercialization and operation of our autonomous driving</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gridSpan w:val="4"/>
          </w:tcPr>
          <w:p>
            <w:pPr>
              <w:ind w:left="720"/>
              <w:spacing w:after="0"/>
              <w:rPr>
                <w:sz w:val="20"/>
                <w:szCs w:val="20"/>
                <w:color w:val="auto"/>
              </w:rPr>
            </w:pPr>
            <w:r>
              <w:rPr>
                <w:rFonts w:ascii="Times New Roman" w:cs="Times New Roman" w:eastAsia="Times New Roman" w:hAnsi="Times New Roman"/>
                <w:sz w:val="18"/>
                <w:szCs w:val="18"/>
                <w:color w:val="auto"/>
              </w:rPr>
              <w:t>fleets, as well as marketing activities to expand into more markets; (iii) approximately 25%</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gridSpan w:val="4"/>
          </w:tcPr>
          <w:p>
            <w:pPr>
              <w:ind w:left="720"/>
              <w:spacing w:after="0"/>
              <w:rPr>
                <w:sz w:val="20"/>
                <w:szCs w:val="20"/>
                <w:color w:val="auto"/>
              </w:rPr>
            </w:pPr>
            <w:r>
              <w:rPr>
                <w:rFonts w:ascii="Times New Roman" w:cs="Times New Roman" w:eastAsia="Times New Roman" w:hAnsi="Times New Roman"/>
                <w:sz w:val="18"/>
                <w:szCs w:val="18"/>
                <w:color w:val="auto"/>
              </w:rPr>
              <w:t>to support our capital expenditures, including purchase of testing vehicles, research and</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gridSpan w:val="4"/>
          </w:tcPr>
          <w:p>
            <w:pPr>
              <w:ind w:left="720"/>
              <w:spacing w:after="0"/>
              <w:rPr>
                <w:sz w:val="20"/>
                <w:szCs w:val="20"/>
                <w:color w:val="auto"/>
              </w:rPr>
            </w:pPr>
            <w:r>
              <w:rPr>
                <w:rFonts w:ascii="Times New Roman" w:cs="Times New Roman" w:eastAsia="Times New Roman" w:hAnsi="Times New Roman"/>
                <w:sz w:val="18"/>
                <w:szCs w:val="18"/>
                <w:color w:val="auto"/>
              </w:rPr>
              <w:t>development facilities and administrative expenses; and (iv) the remaining 10% for general</w:t>
            </w:r>
          </w:p>
        </w:tc>
      </w:tr>
      <w:tr>
        <w:trPr>
          <w:trHeight w:val="234"/>
        </w:trPr>
        <w:tc>
          <w:tcPr>
            <w:tcW w:w="3500" w:type="dxa"/>
            <w:vAlign w:val="bottom"/>
            <w:tcBorders>
              <w:left w:val="single" w:sz="8" w:color="auto"/>
            </w:tcBorders>
          </w:tcPr>
          <w:p>
            <w:pPr>
              <w:spacing w:after="0"/>
              <w:rPr>
                <w:sz w:val="20"/>
                <w:szCs w:val="20"/>
                <w:color w:val="auto"/>
              </w:rPr>
            </w:pPr>
          </w:p>
        </w:tc>
        <w:tc>
          <w:tcPr>
            <w:tcW w:w="25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corporate purposes.</w:t>
            </w:r>
          </w:p>
        </w:tc>
        <w:tc>
          <w:tcPr>
            <w:tcW w:w="1000" w:type="dxa"/>
            <w:vAlign w:val="bottom"/>
          </w:tcPr>
          <w:p>
            <w:pPr>
              <w:spacing w:after="0"/>
              <w:rPr>
                <w:sz w:val="20"/>
                <w:szCs w:val="20"/>
                <w:color w:val="auto"/>
              </w:rPr>
            </w:pPr>
          </w:p>
        </w:tc>
        <w:tc>
          <w:tcPr>
            <w:tcW w:w="4000" w:type="dxa"/>
            <w:vAlign w:val="bottom"/>
            <w:tcBorders>
              <w:right w:val="single" w:sz="8" w:color="auto"/>
            </w:tcBorders>
          </w:tcPr>
          <w:p>
            <w:pPr>
              <w:spacing w:after="0"/>
              <w:rPr>
                <w:sz w:val="20"/>
                <w:szCs w:val="20"/>
                <w:color w:val="auto"/>
              </w:rPr>
            </w:pPr>
          </w:p>
        </w:tc>
      </w:tr>
      <w:tr>
        <w:trPr>
          <w:trHeight w:val="459"/>
        </w:trPr>
        <w:tc>
          <w:tcPr>
            <w:tcW w:w="3500" w:type="dxa"/>
            <w:vAlign w:val="bottom"/>
            <w:tcBorders>
              <w:left w:val="single" w:sz="8" w:color="auto"/>
            </w:tcBorders>
          </w:tcPr>
          <w:p>
            <w:pPr>
              <w:spacing w:after="0"/>
              <w:rPr>
                <w:sz w:val="24"/>
                <w:szCs w:val="24"/>
                <w:color w:val="auto"/>
              </w:rPr>
            </w:pPr>
          </w:p>
        </w:tc>
        <w:tc>
          <w:tcPr>
            <w:tcW w:w="7520" w:type="dxa"/>
            <w:vAlign w:val="bottom"/>
            <w:tcBorders>
              <w:right w:val="single" w:sz="8" w:color="auto"/>
            </w:tcBorders>
            <w:gridSpan w:val="4"/>
          </w:tcPr>
          <w:p>
            <w:pPr>
              <w:ind w:left="720"/>
              <w:spacing w:after="0"/>
              <w:rPr>
                <w:sz w:val="20"/>
                <w:szCs w:val="20"/>
                <w:color w:val="auto"/>
              </w:rPr>
            </w:pPr>
            <w:r>
              <w:rPr>
                <w:rFonts w:ascii="Times New Roman" w:cs="Times New Roman" w:eastAsia="Times New Roman" w:hAnsi="Times New Roman"/>
                <w:sz w:val="18"/>
                <w:szCs w:val="18"/>
                <w:color w:val="auto"/>
              </w:rPr>
              <w:t>See “Use of Proceeds” for more information.</w:t>
            </w:r>
          </w:p>
        </w:tc>
      </w:tr>
      <w:tr>
        <w:trPr>
          <w:trHeight w:val="441"/>
        </w:trPr>
        <w:tc>
          <w:tcPr>
            <w:tcW w:w="3500" w:type="dxa"/>
            <w:vAlign w:val="bottom"/>
            <w:tcBorders>
              <w:left w:val="single" w:sz="8" w:color="auto"/>
            </w:tcBorders>
          </w:tcPr>
          <w:p>
            <w:pPr>
              <w:spacing w:after="0"/>
              <w:rPr>
                <w:sz w:val="24"/>
                <w:szCs w:val="24"/>
                <w:color w:val="auto"/>
              </w:rPr>
            </w:pPr>
          </w:p>
        </w:tc>
        <w:tc>
          <w:tcPr>
            <w:tcW w:w="7520" w:type="dxa"/>
            <w:vAlign w:val="bottom"/>
            <w:tcBorders>
              <w:right w:val="single" w:sz="8" w:color="auto"/>
            </w:tcBorders>
            <w:gridSpan w:val="4"/>
          </w:tcPr>
          <w:p>
            <w:pPr>
              <w:ind w:left="720"/>
              <w:spacing w:after="0"/>
              <w:rPr>
                <w:sz w:val="20"/>
                <w:szCs w:val="20"/>
                <w:color w:val="auto"/>
              </w:rPr>
            </w:pPr>
            <w:r>
              <w:rPr>
                <w:rFonts w:ascii="Times New Roman" w:cs="Times New Roman" w:eastAsia="Times New Roman" w:hAnsi="Times New Roman"/>
                <w:sz w:val="18"/>
                <w:szCs w:val="18"/>
                <w:color w:val="auto"/>
              </w:rPr>
              <w:t>[We will not receive any of the proceeds from the sale of ADSs by the selling</w:t>
            </w:r>
          </w:p>
        </w:tc>
      </w:tr>
      <w:tr>
        <w:trPr>
          <w:trHeight w:val="234"/>
        </w:trPr>
        <w:tc>
          <w:tcPr>
            <w:tcW w:w="3500" w:type="dxa"/>
            <w:vAlign w:val="bottom"/>
            <w:tcBorders>
              <w:left w:val="single" w:sz="8" w:color="auto"/>
            </w:tcBorders>
          </w:tcPr>
          <w:p>
            <w:pPr>
              <w:spacing w:after="0"/>
              <w:rPr>
                <w:sz w:val="20"/>
                <w:szCs w:val="20"/>
                <w:color w:val="auto"/>
              </w:rPr>
            </w:pPr>
          </w:p>
        </w:tc>
        <w:tc>
          <w:tcPr>
            <w:tcW w:w="25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shareholders.]</w:t>
            </w:r>
          </w:p>
        </w:tc>
        <w:tc>
          <w:tcPr>
            <w:tcW w:w="1000" w:type="dxa"/>
            <w:vAlign w:val="bottom"/>
          </w:tcPr>
          <w:p>
            <w:pPr>
              <w:spacing w:after="0"/>
              <w:rPr>
                <w:sz w:val="20"/>
                <w:szCs w:val="20"/>
                <w:color w:val="auto"/>
              </w:rPr>
            </w:pPr>
          </w:p>
        </w:tc>
        <w:tc>
          <w:tcPr>
            <w:tcW w:w="4000" w:type="dxa"/>
            <w:vAlign w:val="bottom"/>
            <w:tcBorders>
              <w:right w:val="single" w:sz="8" w:color="auto"/>
            </w:tcBorders>
          </w:tcPr>
          <w:p>
            <w:pPr>
              <w:spacing w:after="0"/>
              <w:rPr>
                <w:sz w:val="20"/>
                <w:szCs w:val="20"/>
                <w:color w:val="auto"/>
              </w:rPr>
            </w:pPr>
          </w:p>
        </w:tc>
      </w:tr>
      <w:tr>
        <w:trPr>
          <w:trHeight w:val="441"/>
        </w:trPr>
        <w:tc>
          <w:tcPr>
            <w:tcW w:w="35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Lock-up</w:t>
            </w:r>
          </w:p>
        </w:tc>
        <w:tc>
          <w:tcPr>
            <w:tcW w:w="7520" w:type="dxa"/>
            <w:vAlign w:val="bottom"/>
            <w:tcBorders>
              <w:right w:val="single" w:sz="8" w:color="auto"/>
            </w:tcBorders>
            <w:gridSpan w:val="4"/>
          </w:tcPr>
          <w:p>
            <w:pPr>
              <w:ind w:left="720"/>
              <w:spacing w:after="0"/>
              <w:rPr>
                <w:sz w:val="20"/>
                <w:szCs w:val="20"/>
                <w:color w:val="auto"/>
              </w:rPr>
            </w:pPr>
            <w:r>
              <w:rPr>
                <w:rFonts w:ascii="Times New Roman" w:cs="Times New Roman" w:eastAsia="Times New Roman" w:hAnsi="Times New Roman"/>
                <w:sz w:val="18"/>
                <w:szCs w:val="18"/>
                <w:color w:val="auto"/>
              </w:rPr>
              <w:t>We, [our directors and executive officers, and all of our existing shareholders] have agreed</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gridSpan w:val="4"/>
          </w:tcPr>
          <w:p>
            <w:pPr>
              <w:ind w:left="720"/>
              <w:spacing w:after="0"/>
              <w:rPr>
                <w:sz w:val="20"/>
                <w:szCs w:val="20"/>
                <w:color w:val="auto"/>
              </w:rPr>
            </w:pPr>
            <w:r>
              <w:rPr>
                <w:rFonts w:ascii="Times New Roman" w:cs="Times New Roman" w:eastAsia="Times New Roman" w:hAnsi="Times New Roman"/>
                <w:sz w:val="18"/>
                <w:szCs w:val="18"/>
                <w:color w:val="auto"/>
              </w:rPr>
              <w:t>with the underwriters, subject to certain exceptions, not to sell, transfer or otherwise</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gridSpan w:val="4"/>
          </w:tcPr>
          <w:p>
            <w:pPr>
              <w:ind w:left="720"/>
              <w:spacing w:after="0"/>
              <w:rPr>
                <w:sz w:val="20"/>
                <w:szCs w:val="20"/>
                <w:color w:val="auto"/>
              </w:rPr>
            </w:pPr>
            <w:r>
              <w:rPr>
                <w:rFonts w:ascii="Times New Roman" w:cs="Times New Roman" w:eastAsia="Times New Roman" w:hAnsi="Times New Roman"/>
                <w:sz w:val="18"/>
                <w:szCs w:val="18"/>
                <w:color w:val="auto"/>
              </w:rPr>
              <w:t>dispose of any ADSs, ordinary shares or similar securities for a period of 180 days after the</w:t>
            </w:r>
          </w:p>
        </w:tc>
      </w:tr>
      <w:tr>
        <w:trPr>
          <w:trHeight w:val="234"/>
        </w:trPr>
        <w:tc>
          <w:tcPr>
            <w:tcW w:w="3500" w:type="dxa"/>
            <w:vAlign w:val="bottom"/>
            <w:tcBorders>
              <w:left w:val="single" w:sz="8" w:color="auto"/>
            </w:tcBorders>
          </w:tcPr>
          <w:p>
            <w:pPr>
              <w:spacing w:after="0"/>
              <w:rPr>
                <w:sz w:val="20"/>
                <w:szCs w:val="20"/>
                <w:color w:val="auto"/>
              </w:rPr>
            </w:pPr>
          </w:p>
        </w:tc>
        <w:tc>
          <w:tcPr>
            <w:tcW w:w="7520" w:type="dxa"/>
            <w:vAlign w:val="bottom"/>
            <w:tcBorders>
              <w:right w:val="single" w:sz="8" w:color="auto"/>
            </w:tcBorders>
            <w:gridSpan w:val="4"/>
          </w:tcPr>
          <w:p>
            <w:pPr>
              <w:ind w:left="720"/>
              <w:spacing w:after="0"/>
              <w:rPr>
                <w:sz w:val="20"/>
                <w:szCs w:val="20"/>
                <w:color w:val="auto"/>
              </w:rPr>
            </w:pPr>
            <w:r>
              <w:rPr>
                <w:rFonts w:ascii="Times New Roman" w:cs="Times New Roman" w:eastAsia="Times New Roman" w:hAnsi="Times New Roman"/>
                <w:sz w:val="18"/>
                <w:szCs w:val="18"/>
                <w:color w:val="auto"/>
              </w:rPr>
              <w:t>date of this prospectus. See “Underwriting” for more information.</w:t>
            </w:r>
          </w:p>
        </w:tc>
      </w:tr>
      <w:tr>
        <w:trPr>
          <w:trHeight w:val="441"/>
        </w:trPr>
        <w:tc>
          <w:tcPr>
            <w:tcW w:w="35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[Directed Share Program</w:t>
            </w:r>
          </w:p>
        </w:tc>
        <w:tc>
          <w:tcPr>
            <w:tcW w:w="7520" w:type="dxa"/>
            <w:vAlign w:val="bottom"/>
            <w:tcBorders>
              <w:right w:val="single" w:sz="8" w:color="auto"/>
            </w:tcBorders>
            <w:gridSpan w:val="4"/>
          </w:tcPr>
          <w:p>
            <w:pPr>
              <w:ind w:left="720"/>
              <w:spacing w:after="0"/>
              <w:rPr>
                <w:sz w:val="20"/>
                <w:szCs w:val="20"/>
                <w:color w:val="auto"/>
              </w:rPr>
            </w:pPr>
            <w:r>
              <w:rPr>
                <w:rFonts w:ascii="Times New Roman" w:cs="Times New Roman" w:eastAsia="Times New Roman" w:hAnsi="Times New Roman"/>
                <w:sz w:val="18"/>
                <w:szCs w:val="18"/>
                <w:color w:val="auto"/>
              </w:rPr>
              <w:t>At our request, the underwriters have reserved for sale, at the initial public offering price,</w:t>
            </w:r>
          </w:p>
        </w:tc>
      </w:tr>
      <w:tr>
        <w:trPr>
          <w:trHeight w:val="216"/>
        </w:trPr>
        <w:tc>
          <w:tcPr>
            <w:tcW w:w="3500" w:type="dxa"/>
            <w:vAlign w:val="bottom"/>
            <w:tcBorders>
              <w:left w:val="single" w:sz="8" w:color="auto"/>
            </w:tcBorders>
          </w:tcPr>
          <w:p>
            <w:pPr>
              <w:spacing w:after="0"/>
              <w:rPr>
                <w:sz w:val="18"/>
                <w:szCs w:val="18"/>
                <w:color w:val="auto"/>
              </w:rPr>
            </w:pPr>
          </w:p>
        </w:tc>
        <w:tc>
          <w:tcPr>
            <w:tcW w:w="25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up to an aggregate of</w:t>
            </w:r>
          </w:p>
        </w:tc>
        <w:tc>
          <w:tcPr>
            <w:tcW w:w="5000" w:type="dxa"/>
            <w:vAlign w:val="bottom"/>
            <w:tcBorders>
              <w:right w:val="single" w:sz="8" w:color="auto"/>
            </w:tcBorders>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ADSs offered in this offering to some of our directors,</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gridSpan w:val="4"/>
          </w:tcPr>
          <w:p>
            <w:pPr>
              <w:ind w:left="720"/>
              <w:spacing w:after="0"/>
              <w:rPr>
                <w:sz w:val="20"/>
                <w:szCs w:val="20"/>
                <w:color w:val="auto"/>
              </w:rPr>
            </w:pPr>
            <w:r>
              <w:rPr>
                <w:rFonts w:ascii="Times New Roman" w:cs="Times New Roman" w:eastAsia="Times New Roman" w:hAnsi="Times New Roman"/>
                <w:sz w:val="18"/>
                <w:szCs w:val="18"/>
                <w:color w:val="auto"/>
              </w:rPr>
              <w:t>officers, employees, business associates and related persons through a directed share</w:t>
            </w:r>
          </w:p>
        </w:tc>
      </w:tr>
      <w:tr>
        <w:trPr>
          <w:trHeight w:val="234"/>
        </w:trPr>
        <w:tc>
          <w:tcPr>
            <w:tcW w:w="3500" w:type="dxa"/>
            <w:vAlign w:val="bottom"/>
            <w:tcBorders>
              <w:left w:val="single" w:sz="8" w:color="auto"/>
            </w:tcBorders>
          </w:tcPr>
          <w:p>
            <w:pPr>
              <w:spacing w:after="0"/>
              <w:rPr>
                <w:sz w:val="20"/>
                <w:szCs w:val="20"/>
                <w:color w:val="auto"/>
              </w:rPr>
            </w:pPr>
          </w:p>
        </w:tc>
        <w:tc>
          <w:tcPr>
            <w:tcW w:w="25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program.]</w:t>
            </w:r>
          </w:p>
        </w:tc>
        <w:tc>
          <w:tcPr>
            <w:tcW w:w="1000" w:type="dxa"/>
            <w:vAlign w:val="bottom"/>
          </w:tcPr>
          <w:p>
            <w:pPr>
              <w:spacing w:after="0"/>
              <w:rPr>
                <w:sz w:val="20"/>
                <w:szCs w:val="20"/>
                <w:color w:val="auto"/>
              </w:rPr>
            </w:pPr>
          </w:p>
        </w:tc>
        <w:tc>
          <w:tcPr>
            <w:tcW w:w="4000" w:type="dxa"/>
            <w:vAlign w:val="bottom"/>
            <w:tcBorders>
              <w:right w:val="single" w:sz="8" w:color="auto"/>
            </w:tcBorders>
          </w:tcPr>
          <w:p>
            <w:pPr>
              <w:spacing w:after="0"/>
              <w:rPr>
                <w:sz w:val="20"/>
                <w:szCs w:val="20"/>
                <w:color w:val="auto"/>
              </w:rPr>
            </w:pPr>
          </w:p>
        </w:tc>
      </w:tr>
      <w:tr>
        <w:trPr>
          <w:trHeight w:val="441"/>
        </w:trPr>
        <w:tc>
          <w:tcPr>
            <w:tcW w:w="35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Listing</w:t>
            </w:r>
          </w:p>
        </w:tc>
        <w:tc>
          <w:tcPr>
            <w:tcW w:w="7520" w:type="dxa"/>
            <w:vAlign w:val="bottom"/>
            <w:tcBorders>
              <w:right w:val="single" w:sz="8" w:color="auto"/>
            </w:tcBorders>
            <w:gridSpan w:val="4"/>
          </w:tcPr>
          <w:p>
            <w:pPr>
              <w:ind w:left="720"/>
              <w:spacing w:after="0"/>
              <w:rPr>
                <w:sz w:val="20"/>
                <w:szCs w:val="20"/>
                <w:color w:val="auto"/>
              </w:rPr>
            </w:pPr>
            <w:r>
              <w:rPr>
                <w:rFonts w:ascii="Times New Roman" w:cs="Times New Roman" w:eastAsia="Times New Roman" w:hAnsi="Times New Roman"/>
                <w:sz w:val="18"/>
                <w:szCs w:val="18"/>
                <w:color w:val="auto"/>
              </w:rPr>
              <w:t>We intend to apply to have the ADSs listed on the [New York Stock Exchange/Nasdaq</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gridSpan w:val="4"/>
          </w:tcPr>
          <w:p>
            <w:pPr>
              <w:ind w:left="720"/>
              <w:spacing w:after="0"/>
              <w:rPr>
                <w:sz w:val="20"/>
                <w:szCs w:val="20"/>
                <w:color w:val="auto"/>
              </w:rPr>
            </w:pPr>
            <w:r>
              <w:rPr>
                <w:rFonts w:ascii="Times New Roman" w:cs="Times New Roman" w:eastAsia="Times New Roman" w:hAnsi="Times New Roman"/>
                <w:sz w:val="18"/>
                <w:szCs w:val="18"/>
                <w:color w:val="auto"/>
              </w:rPr>
              <w:t>Stock Market] under the symbol “WRD.” The ADSs and our ordinary shares will not be</w:t>
            </w:r>
          </w:p>
        </w:tc>
      </w:tr>
      <w:tr>
        <w:trPr>
          <w:trHeight w:val="234"/>
        </w:trPr>
        <w:tc>
          <w:tcPr>
            <w:tcW w:w="3500" w:type="dxa"/>
            <w:vAlign w:val="bottom"/>
            <w:tcBorders>
              <w:left w:val="single" w:sz="8" w:color="auto"/>
            </w:tcBorders>
          </w:tcPr>
          <w:p>
            <w:pPr>
              <w:spacing w:after="0"/>
              <w:rPr>
                <w:sz w:val="20"/>
                <w:szCs w:val="20"/>
                <w:color w:val="auto"/>
              </w:rPr>
            </w:pPr>
          </w:p>
        </w:tc>
        <w:tc>
          <w:tcPr>
            <w:tcW w:w="7520" w:type="dxa"/>
            <w:vAlign w:val="bottom"/>
            <w:tcBorders>
              <w:right w:val="single" w:sz="8" w:color="auto"/>
            </w:tcBorders>
            <w:gridSpan w:val="4"/>
          </w:tcPr>
          <w:p>
            <w:pPr>
              <w:ind w:left="720"/>
              <w:spacing w:after="0"/>
              <w:rPr>
                <w:sz w:val="20"/>
                <w:szCs w:val="20"/>
                <w:color w:val="auto"/>
              </w:rPr>
            </w:pPr>
            <w:r>
              <w:rPr>
                <w:rFonts w:ascii="Times New Roman" w:cs="Times New Roman" w:eastAsia="Times New Roman" w:hAnsi="Times New Roman"/>
                <w:sz w:val="18"/>
                <w:szCs w:val="18"/>
                <w:color w:val="auto"/>
              </w:rPr>
              <w:t>listed on any other stock exchange or traded on any automated quotation system.</w:t>
            </w:r>
          </w:p>
        </w:tc>
      </w:tr>
      <w:tr>
        <w:trPr>
          <w:trHeight w:val="441"/>
        </w:trPr>
        <w:tc>
          <w:tcPr>
            <w:tcW w:w="35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Payment and settlement</w:t>
            </w:r>
          </w:p>
        </w:tc>
        <w:tc>
          <w:tcPr>
            <w:tcW w:w="7520" w:type="dxa"/>
            <w:vAlign w:val="bottom"/>
            <w:tcBorders>
              <w:right w:val="single" w:sz="8" w:color="auto"/>
            </w:tcBorders>
            <w:gridSpan w:val="4"/>
          </w:tcPr>
          <w:p>
            <w:pPr>
              <w:ind w:left="720"/>
              <w:spacing w:after="0"/>
              <w:rPr>
                <w:sz w:val="20"/>
                <w:szCs w:val="20"/>
                <w:color w:val="auto"/>
              </w:rPr>
            </w:pPr>
            <w:r>
              <w:rPr>
                <w:rFonts w:ascii="Times New Roman" w:cs="Times New Roman" w:eastAsia="Times New Roman" w:hAnsi="Times New Roman"/>
                <w:sz w:val="18"/>
                <w:szCs w:val="18"/>
                <w:color w:val="auto"/>
              </w:rPr>
              <w:t>The underwriters expect to deliver the ADSs against payment therefor through the facilities</w:t>
            </w:r>
          </w:p>
        </w:tc>
      </w:tr>
      <w:tr>
        <w:trPr>
          <w:trHeight w:val="234"/>
        </w:trPr>
        <w:tc>
          <w:tcPr>
            <w:tcW w:w="3500" w:type="dxa"/>
            <w:vAlign w:val="bottom"/>
            <w:tcBorders>
              <w:left w:val="single" w:sz="8" w:color="auto"/>
            </w:tcBorders>
          </w:tcPr>
          <w:p>
            <w:pPr>
              <w:spacing w:after="0"/>
              <w:rPr>
                <w:sz w:val="20"/>
                <w:szCs w:val="20"/>
                <w:color w:val="auto"/>
              </w:rPr>
            </w:pPr>
          </w:p>
        </w:tc>
        <w:tc>
          <w:tcPr>
            <w:tcW w:w="352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of the Depository Trust Company ,</w:t>
            </w:r>
          </w:p>
        </w:tc>
        <w:tc>
          <w:tcPr>
            <w:tcW w:w="4000" w:type="dxa"/>
            <w:vAlign w:val="bottom"/>
            <w:tcBorders>
              <w:right w:val="single" w:sz="8" w:color="auto"/>
            </w:tcBorders>
          </w:tcPr>
          <w:p>
            <w:pPr>
              <w:jc w:val="right"/>
              <w:ind w:right="3210"/>
              <w:spacing w:after="0"/>
              <w:rPr>
                <w:sz w:val="20"/>
                <w:szCs w:val="20"/>
                <w:color w:val="auto"/>
              </w:rPr>
            </w:pPr>
            <w:r>
              <w:rPr>
                <w:rFonts w:ascii="Times New Roman" w:cs="Times New Roman" w:eastAsia="Times New Roman" w:hAnsi="Times New Roman"/>
                <w:sz w:val="18"/>
                <w:szCs w:val="18"/>
                <w:color w:val="auto"/>
              </w:rPr>
              <w:t>2022.</w:t>
            </w:r>
          </w:p>
        </w:tc>
      </w:tr>
      <w:tr>
        <w:trPr>
          <w:trHeight w:val="159"/>
        </w:trPr>
        <w:tc>
          <w:tcPr>
            <w:tcW w:w="3500" w:type="dxa"/>
            <w:vAlign w:val="bottom"/>
            <w:tcBorders>
              <w:left w:val="single" w:sz="8" w:color="auto"/>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4000" w:type="dxa"/>
            <w:vAlign w:val="bottom"/>
            <w:tcBorders>
              <w:bottom w:val="single" w:sz="8" w:color="auto"/>
              <w:right w:val="single" w:sz="8" w:color="auto"/>
            </w:tcBorders>
          </w:tcPr>
          <w:p>
            <w:pPr>
              <w:spacing w:after="0"/>
              <w:rPr>
                <w:sz w:val="13"/>
                <w:szCs w:val="13"/>
                <w:color w:val="auto"/>
              </w:rPr>
            </w:pPr>
          </w:p>
        </w:tc>
      </w:tr>
      <w:tr>
        <w:trPr>
          <w:trHeight w:val="361"/>
        </w:trPr>
        <w:tc>
          <w:tcPr>
            <w:tcW w:w="3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27</w:t>
            </w:r>
          </w:p>
        </w:tc>
        <w:tc>
          <w:tcPr>
            <w:tcW w:w="1000" w:type="dxa"/>
            <w:vAlign w:val="bottom"/>
          </w:tcPr>
          <w:p>
            <w:pPr>
              <w:spacing w:after="0"/>
              <w:rPr>
                <w:sz w:val="24"/>
                <w:szCs w:val="24"/>
                <w:color w:val="auto"/>
              </w:rPr>
            </w:pPr>
          </w:p>
        </w:tc>
        <w:tc>
          <w:tcPr>
            <w:tcW w:w="400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21132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8970" cy="21132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Depositary</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number of ordinary shares that will be outstanding immediately after this offering:</w:t>
      </w:r>
    </w:p>
    <w:p>
      <w:pPr>
        <w:spacing w:after="0" w:line="131" w:lineRule="exact"/>
        <w:rPr>
          <w:sz w:val="20"/>
          <w:szCs w:val="20"/>
          <w:color w:val="auto"/>
        </w:rPr>
      </w:pPr>
    </w:p>
    <w:p>
      <w:pPr>
        <w:jc w:val="both"/>
        <w:ind w:left="1240" w:right="20" w:hanging="415"/>
        <w:spacing w:after="0" w:line="258" w:lineRule="auto"/>
        <w:tabs>
          <w:tab w:leader="none" w:pos="1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based on 627,077,956 issued and outstanding ordinary shares as of the date of this prospectus, assuming the automatic conversion of all of our issued and outstanding preferred shares and golden shares into ordinary shares on a one-for-one basis immediately prior to the completion of this offering, taking into consideration (i) the 99,687,100 ordinary shares to be issued to certain directors of our company pursuant to their vested restricted share units and (ii) the 20,084,781 ordinary shares, on an as-converted basis, that certain RMB investors have the right to acquire pursuant to warrants we issued in relation to our offshore reorganization;</w:t>
      </w:r>
    </w:p>
    <w:p>
      <w:pPr>
        <w:sectPr>
          <w:pgSz w:w="11900" w:h="16838" w:orient="portrait"/>
          <w:cols w:equalWidth="0" w:num="1">
            <w:col w:w="10780"/>
          </w:cols>
          <w:pgMar w:left="320" w:top="455" w:right="799" w:bottom="1440" w:gutter="0" w:footer="0" w:header="0"/>
        </w:sectPr>
      </w:pPr>
    </w:p>
    <w:p>
      <w:pPr>
        <w:spacing w:after="0" w:line="8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includes ordinary shares in the form of ADSs that we will issue and sell in this offering, assuming the underwriters do not exercise their option to purchase additional ADSs; and</w:t>
      </w:r>
    </w:p>
    <w:p>
      <w:pPr>
        <w:spacing w:after="0" w:line="67" w:lineRule="exact"/>
        <w:rPr>
          <w:sz w:val="20"/>
          <w:szCs w:val="20"/>
          <w:color w:val="auto"/>
        </w:rPr>
      </w:pPr>
    </w:p>
    <w:p>
      <w:pPr>
        <w:sectPr>
          <w:pgSz w:w="11900" w:h="16838" w:orient="portrait"/>
          <w:cols w:equalWidth="0" w:num="2">
            <w:col w:w="880" w:space="360"/>
            <w:col w:w="9540"/>
          </w:cols>
          <w:pgMar w:left="320" w:top="455" w:right="799" w:bottom="1440" w:gutter="0" w:footer="0" w:header="0"/>
          <w:type w:val="continuous"/>
        </w:sectPr>
      </w:pPr>
    </w:p>
    <w:p>
      <w:pPr>
        <w:ind w:left="1240" w:hanging="415"/>
        <w:spacing w:after="0" w:line="312" w:lineRule="auto"/>
        <w:tabs>
          <w:tab w:leader="none" w:pos="12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excludes all ordinary shares issuable upon exercise of our outstanding options and restricted share units and ordinary shares reserved for future issuances under our share incentive plan and ordinary shares that are treated as treasury stock for accounting purposes.</w:t>
      </w:r>
    </w:p>
    <w:p>
      <w:pPr>
        <w:spacing w:after="0" w:line="248"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780"/>
          </w:cols>
          <w:pgMar w:left="320" w:top="455" w:right="79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20186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8970" cy="20186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SUMMARY CONSOLIDATED FINANCIAL DATA</w:t>
      </w:r>
    </w:p>
    <w:p>
      <w:pPr>
        <w:spacing w:after="0" w:line="229"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The following summary consolidated statements of profit or loss and summary consolidated statements of cash flow data for the years ended December 31, 2020 and 2021 and summary consolidated statements of financial position data as of December 31, 2020 and 2021 have been derived from our audited consolidated financial statements included elsewhere in this prospectus. The following summary consolidated statements of profit or loss and summary consolidated statements of cash flow data for the six months ended June 30, 2021 and 2022 and summary consolidated statements of financial position data as of June 30, 2022 have been derived from our unaudited condensed consolidated financial statements included elsewhere in this prospectus and have been prepared on the same basis as the audited consolidated financial statements.</w:t>
      </w:r>
    </w:p>
    <w:p>
      <w:pPr>
        <w:spacing w:after="0" w:line="187" w:lineRule="exact"/>
        <w:rPr>
          <w:sz w:val="20"/>
          <w:szCs w:val="20"/>
          <w:color w:val="auto"/>
        </w:rPr>
      </w:pPr>
    </w:p>
    <w:p>
      <w:pPr>
        <w:ind w:left="300" w:right="40" w:firstLine="426"/>
        <w:spacing w:after="0" w:line="261" w:lineRule="auto"/>
        <w:rPr>
          <w:sz w:val="20"/>
          <w:szCs w:val="20"/>
          <w:color w:val="auto"/>
        </w:rPr>
      </w:pPr>
      <w:r>
        <w:rPr>
          <w:rFonts w:ascii="Times New Roman" w:cs="Times New Roman" w:eastAsia="Times New Roman" w:hAnsi="Times New Roman"/>
          <w:sz w:val="18"/>
          <w:szCs w:val="18"/>
          <w:color w:val="auto"/>
        </w:rPr>
        <w:t>Our consolidated financial statements are prepared and presented in accordance with International Financial Reporting Standards, or IFRS, issued by the International Accounting Standard Board, or IASB. Our historical results are not necessarily indicative of results expected for future periods. You should read this Summary Consolidated Financial Data section together with our consolidated financial statements and the related notes and “Management’s Discussion and Analysis of Financial Condition and Results of Operations” included elsewhere in this prospectus.</w:t>
      </w:r>
    </w:p>
    <w:p>
      <w:pPr>
        <w:spacing w:after="0" w:line="28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860"/>
          </w:cols>
          <w:pgMar w:left="320" w:top="455" w:right="7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7447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8970" cy="47447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40" w:firstLine="426"/>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summary consolidated statements of profit or loss for the years ended December 31, 2020 and 2021, and the six months ended June 30, 2021 and 2022.</w:t>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4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7"/>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8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5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Borders>
              <w:bottom w:val="single" w:sz="8" w:color="auto"/>
            </w:tcBorders>
            <w:gridSpan w:val="4"/>
          </w:tcPr>
          <w:p>
            <w:pPr>
              <w:jc w:val="right"/>
              <w:ind w:right="468"/>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800" w:type="dxa"/>
            <w:vAlign w:val="bottom"/>
            <w:tcBorders>
              <w:bottom w:val="single" w:sz="8" w:color="auto"/>
            </w:tcBorders>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58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820" w:type="dxa"/>
            <w:vAlign w:val="bottom"/>
            <w:tcBorders>
              <w:bottom w:val="single" w:sz="8" w:color="auto"/>
            </w:tcBorders>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6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60" w:type="dxa"/>
            <w:vAlign w:val="bottom"/>
            <w:tcBorders>
              <w:bottom w:val="single" w:sz="8" w:color="auto"/>
            </w:tcBorders>
            <w:gridSpan w:val="2"/>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760" w:type="dxa"/>
            <w:vAlign w:val="bottom"/>
            <w:tcBorders>
              <w:bottom w:val="single" w:sz="8" w:color="auto"/>
            </w:tcBorders>
            <w:gridSpan w:val="2"/>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8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60" w:type="dxa"/>
            <w:vAlign w:val="bottom"/>
            <w:gridSpan w:val="9"/>
          </w:tcPr>
          <w:p>
            <w:pPr>
              <w:jc w:val="right"/>
              <w:ind w:right="58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for percentages)</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8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Summary Consolidated Statements of Profit</w:t>
            </w:r>
          </w:p>
        </w:tc>
        <w:tc>
          <w:tcPr>
            <w:tcW w:w="6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tcBorders>
              <w:left w:val="single" w:sz="8" w:color="CCEEFF"/>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or Loss Data:</w:t>
            </w: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tcBorders>
              <w:lef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Revenue</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Product revenue</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5,920</w:t>
            </w:r>
          </w:p>
        </w:tc>
        <w:tc>
          <w:tcPr>
            <w:tcW w:w="180" w:type="dxa"/>
            <w:vAlign w:val="bottom"/>
            <w:shd w:val="clear" w:color="auto" w:fill="CCEEFF"/>
          </w:tcPr>
          <w:p>
            <w:pPr>
              <w:spacing w:after="0"/>
              <w:rPr>
                <w:sz w:val="12"/>
                <w:szCs w:val="12"/>
                <w:color w:val="auto"/>
              </w:rPr>
            </w:pPr>
          </w:p>
        </w:tc>
        <w:tc>
          <w:tcPr>
            <w:tcW w:w="780" w:type="dxa"/>
            <w:vAlign w:val="bottom"/>
            <w:tcBorders>
              <w:left w:val="single" w:sz="8" w:color="CCEEFF"/>
            </w:tcBorders>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32.5</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101,597</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15,168</w:t>
            </w:r>
          </w:p>
        </w:tc>
        <w:tc>
          <w:tcPr>
            <w:tcW w:w="6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73.5</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18,470</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74.3</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92,257</w:t>
            </w: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13,774</w:t>
            </w: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Service revenue</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12,270</w:t>
            </w:r>
          </w:p>
        </w:tc>
        <w:tc>
          <w:tcPr>
            <w:tcW w:w="1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67.5</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36,575</w:t>
            </w:r>
          </w:p>
        </w:tc>
        <w:tc>
          <w:tcPr>
            <w:tcW w:w="18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5,461</w:t>
            </w:r>
          </w:p>
        </w:tc>
        <w:tc>
          <w:tcPr>
            <w:tcW w:w="6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26.5</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6,375</w:t>
            </w:r>
          </w:p>
        </w:tc>
        <w:tc>
          <w:tcPr>
            <w:tcW w:w="8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25.7</w:t>
            </w:r>
          </w:p>
        </w:tc>
        <w:tc>
          <w:tcPr>
            <w:tcW w:w="2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47,468</w:t>
            </w: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7,087</w:t>
            </w: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Borders>
              <w:lef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28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revenue</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18,190</w:t>
            </w:r>
          </w:p>
        </w:tc>
        <w:tc>
          <w:tcPr>
            <w:tcW w:w="180" w:type="dxa"/>
            <w:vAlign w:val="bottom"/>
            <w:shd w:val="clear" w:color="auto" w:fill="CCEEFF"/>
          </w:tcPr>
          <w:p>
            <w:pPr>
              <w:spacing w:after="0"/>
              <w:rPr>
                <w:sz w:val="12"/>
                <w:szCs w:val="12"/>
                <w:color w:val="auto"/>
              </w:rPr>
            </w:pPr>
          </w:p>
        </w:tc>
        <w:tc>
          <w:tcPr>
            <w:tcW w:w="780" w:type="dxa"/>
            <w:vAlign w:val="bottom"/>
            <w:tcBorders>
              <w:left w:val="single" w:sz="8" w:color="CCEEFF"/>
            </w:tcBorders>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138,172</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20,629</w:t>
            </w:r>
          </w:p>
        </w:tc>
        <w:tc>
          <w:tcPr>
            <w:tcW w:w="6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24,845</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139,725</w:t>
            </w: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20,861</w:t>
            </w: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Cost of revenue</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Cost of goods sold</w:t>
            </w: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(2,621)</w:t>
            </w:r>
          </w:p>
        </w:tc>
        <w:tc>
          <w:tcPr>
            <w:tcW w:w="780" w:type="dxa"/>
            <w:vAlign w:val="bottom"/>
            <w:tcBorders>
              <w:left w:val="single" w:sz="8" w:color="CCEEFF"/>
            </w:tcBorders>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(14.4)</w:t>
            </w:r>
          </w:p>
        </w:tc>
        <w:tc>
          <w:tcPr>
            <w:tcW w:w="9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(77,383)</w:t>
            </w:r>
          </w:p>
        </w:tc>
        <w:tc>
          <w:tcPr>
            <w:tcW w:w="8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(11,553)</w:t>
            </w:r>
          </w:p>
        </w:tc>
        <w:tc>
          <w:tcPr>
            <w:tcW w:w="6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(56.0)</w:t>
            </w:r>
          </w:p>
        </w:tc>
        <w:tc>
          <w:tcPr>
            <w:tcW w:w="7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(18,447)</w:t>
            </w:r>
          </w:p>
        </w:tc>
        <w:tc>
          <w:tcPr>
            <w:tcW w:w="86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(74.2)</w:t>
            </w:r>
          </w:p>
        </w:tc>
        <w:tc>
          <w:tcPr>
            <w:tcW w:w="8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(54,233)</w:t>
            </w: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(8,097)</w:t>
            </w:r>
          </w:p>
        </w:tc>
        <w:tc>
          <w:tcPr>
            <w:tcW w:w="6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(38.8)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Cost of services</w:t>
            </w: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(2,095)</w:t>
            </w: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(11.5)</w:t>
            </w: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(9,129)</w:t>
            </w:r>
          </w:p>
        </w:tc>
        <w:tc>
          <w:tcPr>
            <w:tcW w:w="8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(1,363)</w:t>
            </w:r>
          </w:p>
        </w:tc>
        <w:tc>
          <w:tcPr>
            <w:tcW w:w="6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7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(1,695)</w:t>
            </w:r>
          </w:p>
        </w:tc>
        <w:tc>
          <w:tcPr>
            <w:tcW w:w="86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(6.8)</w:t>
            </w:r>
          </w:p>
        </w:tc>
        <w:tc>
          <w:tcPr>
            <w:tcW w:w="8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(22,063)</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(3,294)</w:t>
            </w:r>
          </w:p>
        </w:tc>
        <w:tc>
          <w:tcPr>
            <w:tcW w:w="6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Borders>
              <w:lef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cost of revenue</w:t>
            </w: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(4,716)</w:t>
            </w:r>
          </w:p>
        </w:tc>
        <w:tc>
          <w:tcPr>
            <w:tcW w:w="780" w:type="dxa"/>
            <w:vAlign w:val="bottom"/>
            <w:tcBorders>
              <w:left w:val="single" w:sz="8" w:color="CCEEFF"/>
            </w:tcBorders>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(25.9)</w:t>
            </w:r>
          </w:p>
        </w:tc>
        <w:tc>
          <w:tcPr>
            <w:tcW w:w="9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(86,512)</w:t>
            </w:r>
          </w:p>
        </w:tc>
        <w:tc>
          <w:tcPr>
            <w:tcW w:w="8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(12,916)</w:t>
            </w:r>
          </w:p>
        </w:tc>
        <w:tc>
          <w:tcPr>
            <w:tcW w:w="6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(62.6)</w:t>
            </w:r>
          </w:p>
        </w:tc>
        <w:tc>
          <w:tcPr>
            <w:tcW w:w="7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(20,142)</w:t>
            </w:r>
          </w:p>
        </w:tc>
        <w:tc>
          <w:tcPr>
            <w:tcW w:w="86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(81.1)</w:t>
            </w:r>
          </w:p>
        </w:tc>
        <w:tc>
          <w:tcPr>
            <w:tcW w:w="8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(76,296)</w:t>
            </w: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(11,391)</w:t>
            </w:r>
          </w:p>
        </w:tc>
        <w:tc>
          <w:tcPr>
            <w:tcW w:w="6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(54.6)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Gross profit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13,474</w:t>
            </w:r>
          </w:p>
        </w:tc>
        <w:tc>
          <w:tcPr>
            <w:tcW w:w="1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74.1</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51,660</w:t>
            </w:r>
          </w:p>
        </w:tc>
        <w:tc>
          <w:tcPr>
            <w:tcW w:w="18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7,713</w:t>
            </w:r>
          </w:p>
        </w:tc>
        <w:tc>
          <w:tcPr>
            <w:tcW w:w="6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37.4</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4,703</w:t>
            </w:r>
          </w:p>
        </w:tc>
        <w:tc>
          <w:tcPr>
            <w:tcW w:w="8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18.9</w:t>
            </w:r>
          </w:p>
        </w:tc>
        <w:tc>
          <w:tcPr>
            <w:tcW w:w="2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63,429</w:t>
            </w: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9,470</w:t>
            </w: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net income</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14,122</w:t>
            </w:r>
          </w:p>
        </w:tc>
        <w:tc>
          <w:tcPr>
            <w:tcW w:w="180" w:type="dxa"/>
            <w:vAlign w:val="bottom"/>
            <w:shd w:val="clear" w:color="auto" w:fill="CCEEFF"/>
          </w:tcPr>
          <w:p>
            <w:pPr>
              <w:spacing w:after="0"/>
              <w:rPr>
                <w:sz w:val="12"/>
                <w:szCs w:val="12"/>
                <w:color w:val="auto"/>
              </w:rPr>
            </w:pPr>
          </w:p>
        </w:tc>
        <w:tc>
          <w:tcPr>
            <w:tcW w:w="780" w:type="dxa"/>
            <w:vAlign w:val="bottom"/>
            <w:tcBorders>
              <w:left w:val="single" w:sz="8" w:color="CCEEFF"/>
            </w:tcBorders>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77.6</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35,472</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5,296</w:t>
            </w:r>
          </w:p>
        </w:tc>
        <w:tc>
          <w:tcPr>
            <w:tcW w:w="6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25.7</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24,313</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97.9</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29,921</w:t>
            </w: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4,467</w:t>
            </w: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Research and development expenses</w:t>
            </w: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(333,351)</w:t>
            </w: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(1,832.6)</w:t>
            </w: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(443,178)</w:t>
            </w:r>
          </w:p>
        </w:tc>
        <w:tc>
          <w:tcPr>
            <w:tcW w:w="8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(66,165)</w:t>
            </w:r>
          </w:p>
        </w:tc>
        <w:tc>
          <w:tcPr>
            <w:tcW w:w="6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(320.7)</w:t>
            </w:r>
          </w:p>
        </w:tc>
        <w:tc>
          <w:tcPr>
            <w:tcW w:w="7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(173,979)</w:t>
            </w:r>
          </w:p>
        </w:tc>
        <w:tc>
          <w:tcPr>
            <w:tcW w:w="86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(700.3)</w:t>
            </w:r>
          </w:p>
        </w:tc>
        <w:tc>
          <w:tcPr>
            <w:tcW w:w="8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(318,692)</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(47,579)</w:t>
            </w:r>
          </w:p>
        </w:tc>
        <w:tc>
          <w:tcPr>
            <w:tcW w:w="6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(228.1)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Administrative expenses</w:t>
            </w: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(151,991)</w:t>
            </w:r>
          </w:p>
        </w:tc>
        <w:tc>
          <w:tcPr>
            <w:tcW w:w="780" w:type="dxa"/>
            <w:vAlign w:val="bottom"/>
            <w:tcBorders>
              <w:left w:val="single" w:sz="8" w:color="CCEEFF"/>
            </w:tcBorders>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(835.6)</w:t>
            </w:r>
          </w:p>
        </w:tc>
        <w:tc>
          <w:tcPr>
            <w:tcW w:w="9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(107,119)</w:t>
            </w:r>
          </w:p>
        </w:tc>
        <w:tc>
          <w:tcPr>
            <w:tcW w:w="8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(15,992)</w:t>
            </w:r>
          </w:p>
        </w:tc>
        <w:tc>
          <w:tcPr>
            <w:tcW w:w="6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(77.5)</w:t>
            </w:r>
          </w:p>
        </w:tc>
        <w:tc>
          <w:tcPr>
            <w:tcW w:w="7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(37,170)</w:t>
            </w:r>
          </w:p>
        </w:tc>
        <w:tc>
          <w:tcPr>
            <w:tcW w:w="86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(149.6)</w:t>
            </w:r>
          </w:p>
        </w:tc>
        <w:tc>
          <w:tcPr>
            <w:tcW w:w="8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(76,233)</w:t>
            </w: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(11,381)</w:t>
            </w:r>
          </w:p>
        </w:tc>
        <w:tc>
          <w:tcPr>
            <w:tcW w:w="6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Selling expenses</w:t>
            </w: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(6,171)</w:t>
            </w: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(33.9)</w:t>
            </w: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(12,225)</w:t>
            </w:r>
          </w:p>
        </w:tc>
        <w:tc>
          <w:tcPr>
            <w:tcW w:w="8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(1,825)</w:t>
            </w:r>
          </w:p>
        </w:tc>
        <w:tc>
          <w:tcPr>
            <w:tcW w:w="6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(8.8)</w:t>
            </w:r>
          </w:p>
        </w:tc>
        <w:tc>
          <w:tcPr>
            <w:tcW w:w="7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(5,100)</w:t>
            </w:r>
          </w:p>
        </w:tc>
        <w:tc>
          <w:tcPr>
            <w:tcW w:w="86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(20.5)</w:t>
            </w:r>
          </w:p>
        </w:tc>
        <w:tc>
          <w:tcPr>
            <w:tcW w:w="8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(9,012)</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(1,345)</w:t>
            </w:r>
          </w:p>
        </w:tc>
        <w:tc>
          <w:tcPr>
            <w:tcW w:w="6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Impairment loss on receivables and contract</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(14)</w:t>
            </w:r>
          </w:p>
        </w:tc>
        <w:tc>
          <w:tcPr>
            <w:tcW w:w="780" w:type="dxa"/>
            <w:vAlign w:val="bottom"/>
            <w:tcBorders>
              <w:left w:val="single" w:sz="8" w:color="CCEEFF"/>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(0.1)</w:t>
            </w: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(409)</w:t>
            </w: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(61)</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(0.3)</w:t>
            </w:r>
          </w:p>
        </w:tc>
        <w:tc>
          <w:tcPr>
            <w:tcW w:w="7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(152)</w:t>
            </w:r>
          </w:p>
        </w:tc>
        <w:tc>
          <w:tcPr>
            <w:tcW w:w="86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(0.6)</w:t>
            </w: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(3,527)</w:t>
            </w: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(527)</w:t>
            </w:r>
          </w:p>
        </w:tc>
        <w:tc>
          <w:tcPr>
            <w:tcW w:w="6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assets</w:t>
            </w:r>
          </w:p>
        </w:tc>
        <w:tc>
          <w:tcPr>
            <w:tcW w:w="800" w:type="dxa"/>
            <w:vAlign w:val="bottom"/>
            <w:gridSpan w:val="2"/>
            <w:vMerge w:val="continue"/>
            <w:shd w:val="clear" w:color="auto" w:fill="CCEEFF"/>
          </w:tcPr>
          <w:p>
            <w:pPr>
              <w:spacing w:after="0"/>
              <w:rPr>
                <w:sz w:val="14"/>
                <w:szCs w:val="14"/>
                <w:color w:val="auto"/>
              </w:rPr>
            </w:pPr>
          </w:p>
        </w:tc>
        <w:tc>
          <w:tcPr>
            <w:tcW w:w="780" w:type="dxa"/>
            <w:vAlign w:val="bottom"/>
            <w:tcBorders>
              <w:left w:val="single" w:sz="8" w:color="CCEEFF"/>
            </w:tcBorders>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60" w:type="dxa"/>
            <w:vAlign w:val="bottom"/>
            <w:gridSpan w:val="3"/>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Operating loss</w:t>
            </w:r>
          </w:p>
        </w:tc>
        <w:tc>
          <w:tcPr>
            <w:tcW w:w="6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5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860" w:type="dxa"/>
            <w:vAlign w:val="bottom"/>
            <w:gridSpan w:val="2"/>
            <w:vMerge w:val="continue"/>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(463,931)</w:t>
            </w:r>
          </w:p>
        </w:tc>
        <w:tc>
          <w:tcPr>
            <w:tcW w:w="180" w:type="dxa"/>
            <w:vAlign w:val="bottom"/>
            <w:vMerge w:val="continue"/>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(2,550.5)</w:t>
            </w:r>
          </w:p>
        </w:tc>
        <w:tc>
          <w:tcPr>
            <w:tcW w:w="200" w:type="dxa"/>
            <w:vAlign w:val="bottom"/>
            <w:vMerge w:val="continue"/>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(475,799)</w:t>
            </w:r>
          </w:p>
        </w:tc>
        <w:tc>
          <w:tcPr>
            <w:tcW w:w="180" w:type="dxa"/>
            <w:vAlign w:val="bottom"/>
            <w:vMerge w:val="continue"/>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(71,034)</w:t>
            </w:r>
          </w:p>
        </w:tc>
        <w:tc>
          <w:tcPr>
            <w:tcW w:w="180" w:type="dxa"/>
            <w:vAlign w:val="bottom"/>
            <w:vMerge w:val="continue"/>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(344.3)</w:t>
            </w:r>
          </w:p>
        </w:tc>
        <w:tc>
          <w:tcPr>
            <w:tcW w:w="200" w:type="dxa"/>
            <w:vAlign w:val="bottom"/>
            <w:vMerge w:val="continue"/>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(187,385)</w:t>
            </w:r>
          </w:p>
        </w:tc>
        <w:tc>
          <w:tcPr>
            <w:tcW w:w="8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740" w:type="dxa"/>
            <w:vAlign w:val="bottom"/>
            <w:gridSpan w:val="2"/>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(754.2)</w:t>
            </w:r>
          </w:p>
        </w:tc>
        <w:tc>
          <w:tcPr>
            <w:tcW w:w="6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(314,114)</w:t>
            </w:r>
          </w:p>
        </w:tc>
        <w:tc>
          <w:tcPr>
            <w:tcW w:w="200" w:type="dxa"/>
            <w:vAlign w:val="bottom"/>
            <w:vMerge w:val="continue"/>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(46,895)</w:t>
            </w:r>
          </w:p>
        </w:tc>
        <w:tc>
          <w:tcPr>
            <w:tcW w:w="200" w:type="dxa"/>
            <w:vAlign w:val="bottom"/>
            <w:vMerge w:val="continue"/>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(224.8)</w:t>
            </w:r>
          </w:p>
        </w:tc>
        <w:tc>
          <w:tcPr>
            <w:tcW w:w="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Fair value changes of financial assets measured</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3,458</w:t>
            </w:r>
          </w:p>
        </w:tc>
        <w:tc>
          <w:tcPr>
            <w:tcW w:w="180" w:type="dxa"/>
            <w:vAlign w:val="bottom"/>
            <w:shd w:val="clear" w:color="auto" w:fill="CCEEFF"/>
          </w:tcPr>
          <w:p>
            <w:pPr>
              <w:spacing w:after="0"/>
              <w:rPr>
                <w:sz w:val="10"/>
                <w:szCs w:val="10"/>
                <w:color w:val="auto"/>
              </w:rPr>
            </w:pPr>
          </w:p>
        </w:tc>
        <w:tc>
          <w:tcPr>
            <w:tcW w:w="780" w:type="dxa"/>
            <w:vAlign w:val="bottom"/>
            <w:tcBorders>
              <w:left w:val="single" w:sz="8" w:color="CCEEFF"/>
            </w:tcBorders>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19.0</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3,479</w:t>
            </w:r>
          </w:p>
        </w:tc>
        <w:tc>
          <w:tcPr>
            <w:tcW w:w="1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1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2.5</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3,338</w:t>
            </w:r>
          </w:p>
        </w:tc>
        <w:tc>
          <w:tcPr>
            <w:tcW w:w="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20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20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0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at FVTPL</w:t>
            </w:r>
          </w:p>
        </w:tc>
        <w:tc>
          <w:tcPr>
            <w:tcW w:w="62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tcBorders>
              <w:left w:val="single" w:sz="8" w:color="CCEEFF"/>
            </w:tcBorders>
            <w:gridSpan w:val="2"/>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finance costs</w:t>
            </w: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(7,264)</w:t>
            </w: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(39.9)</w:t>
            </w: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(6,917)</w:t>
            </w:r>
          </w:p>
        </w:tc>
        <w:tc>
          <w:tcPr>
            <w:tcW w:w="8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(1,033)</w:t>
            </w:r>
          </w:p>
        </w:tc>
        <w:tc>
          <w:tcPr>
            <w:tcW w:w="6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7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(4,359)</w:t>
            </w:r>
          </w:p>
        </w:tc>
        <w:tc>
          <w:tcPr>
            <w:tcW w:w="86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(17.5)</w:t>
            </w:r>
          </w:p>
        </w:tc>
        <w:tc>
          <w:tcPr>
            <w:tcW w:w="8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(2,247)</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(335)</w:t>
            </w:r>
          </w:p>
        </w:tc>
        <w:tc>
          <w:tcPr>
            <w:tcW w:w="6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Inducement charges of warrants</w:t>
            </w: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(211,016)</w:t>
            </w:r>
          </w:p>
        </w:tc>
        <w:tc>
          <w:tcPr>
            <w:tcW w:w="780" w:type="dxa"/>
            <w:vAlign w:val="bottom"/>
            <w:tcBorders>
              <w:left w:val="single" w:sz="8" w:color="CCEEFF"/>
            </w:tcBorders>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(1,160.1)</w:t>
            </w:r>
          </w:p>
        </w:tc>
        <w:tc>
          <w:tcPr>
            <w:tcW w:w="9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(120,750)</w:t>
            </w: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(18,028)</w:t>
            </w:r>
          </w:p>
        </w:tc>
        <w:tc>
          <w:tcPr>
            <w:tcW w:w="6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(86.4)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Fair value changes of financial liabilities</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(12,876)</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(70.8)</w:t>
            </w: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(259,872)</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(38,798)</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(188.1)</w:t>
            </w:r>
          </w:p>
        </w:tc>
        <w:tc>
          <w:tcPr>
            <w:tcW w:w="7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(254,240)</w:t>
            </w:r>
          </w:p>
        </w:tc>
        <w:tc>
          <w:tcPr>
            <w:tcW w:w="8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(1023.3)</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11,162</w:t>
            </w:r>
          </w:p>
        </w:tc>
        <w:tc>
          <w:tcPr>
            <w:tcW w:w="200" w:type="dxa"/>
            <w:vAlign w:val="bottom"/>
          </w:tcPr>
          <w:p>
            <w:pPr>
              <w:spacing w:after="0"/>
              <w:rPr>
                <w:sz w:val="10"/>
                <w:szCs w:val="10"/>
                <w:color w:val="auto"/>
              </w:rPr>
            </w:pPr>
          </w:p>
        </w:tc>
        <w:tc>
          <w:tcPr>
            <w:tcW w:w="7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1,666</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measured at FVTPL</w:t>
            </w:r>
          </w:p>
        </w:tc>
        <w:tc>
          <w:tcPr>
            <w:tcW w:w="80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Changes in the carrying amounts of preferred</w:t>
            </w:r>
          </w:p>
        </w:tc>
        <w:tc>
          <w:tcPr>
            <w:tcW w:w="6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tcBorders>
              <w:left w:val="single" w:sz="8" w:color="CCEEFF"/>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shares and other financial instruments</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tcBorders>
              <w:lef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subject to redemption and other preferential</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(3,259)</w:t>
            </w:r>
          </w:p>
        </w:tc>
        <w:tc>
          <w:tcPr>
            <w:tcW w:w="780" w:type="dxa"/>
            <w:vAlign w:val="bottom"/>
            <w:tcBorders>
              <w:left w:val="single" w:sz="8" w:color="CCEEFF"/>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(17.9)</w:t>
            </w: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(268,142)</w:t>
            </w: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(40,033)</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(194.1)</w:t>
            </w:r>
          </w:p>
        </w:tc>
        <w:tc>
          <w:tcPr>
            <w:tcW w:w="7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(104,350)</w:t>
            </w:r>
          </w:p>
        </w:tc>
        <w:tc>
          <w:tcPr>
            <w:tcW w:w="86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(420.0)</w:t>
            </w: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(231,979)</w:t>
            </w: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(34,634)</w:t>
            </w:r>
          </w:p>
        </w:tc>
        <w:tc>
          <w:tcPr>
            <w:tcW w:w="6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(166.0)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rights</w:t>
            </w:r>
          </w:p>
        </w:tc>
        <w:tc>
          <w:tcPr>
            <w:tcW w:w="800" w:type="dxa"/>
            <w:vAlign w:val="bottom"/>
            <w:gridSpan w:val="2"/>
            <w:vMerge w:val="continue"/>
            <w:shd w:val="clear" w:color="auto" w:fill="CCEEFF"/>
          </w:tcPr>
          <w:p>
            <w:pPr>
              <w:spacing w:after="0"/>
              <w:rPr>
                <w:sz w:val="14"/>
                <w:szCs w:val="14"/>
                <w:color w:val="auto"/>
              </w:rPr>
            </w:pPr>
          </w:p>
        </w:tc>
        <w:tc>
          <w:tcPr>
            <w:tcW w:w="780" w:type="dxa"/>
            <w:vAlign w:val="bottom"/>
            <w:tcBorders>
              <w:left w:val="single" w:sz="8" w:color="CCEEFF"/>
            </w:tcBorders>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60" w:type="dxa"/>
            <w:vAlign w:val="bottom"/>
            <w:gridSpan w:val="3"/>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8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Loss before taxation</w:t>
            </w:r>
          </w:p>
        </w:tc>
        <w:tc>
          <w:tcPr>
            <w:tcW w:w="6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(694,888)</w:t>
            </w:r>
          </w:p>
        </w:tc>
        <w:tc>
          <w:tcPr>
            <w:tcW w:w="180" w:type="dxa"/>
            <w:vAlign w:val="bottom"/>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(3,820.2)</w:t>
            </w:r>
          </w:p>
        </w:tc>
        <w:tc>
          <w:tcPr>
            <w:tcW w:w="200" w:type="dxa"/>
            <w:vAlign w:val="bottom"/>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(1,007,251)</w:t>
            </w:r>
          </w:p>
        </w:tc>
        <w:tc>
          <w:tcPr>
            <w:tcW w:w="180" w:type="dxa"/>
            <w:vAlign w:val="bottom"/>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(150,379)</w:t>
            </w:r>
          </w:p>
        </w:tc>
        <w:tc>
          <w:tcPr>
            <w:tcW w:w="180" w:type="dxa"/>
            <w:vAlign w:val="bottom"/>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(729.0)</w:t>
            </w:r>
          </w:p>
        </w:tc>
        <w:tc>
          <w:tcPr>
            <w:tcW w:w="200" w:type="dxa"/>
            <w:vAlign w:val="bottom"/>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(546,996)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(2201.6)</w:t>
            </w:r>
          </w:p>
        </w:tc>
        <w:tc>
          <w:tcPr>
            <w:tcW w:w="200" w:type="dxa"/>
            <w:vAlign w:val="bottom"/>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(657,885)</w:t>
            </w:r>
          </w:p>
        </w:tc>
        <w:tc>
          <w:tcPr>
            <w:tcW w:w="200" w:type="dxa"/>
            <w:vAlign w:val="bottom"/>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(98,220)</w:t>
            </w:r>
          </w:p>
        </w:tc>
        <w:tc>
          <w:tcPr>
            <w:tcW w:w="200" w:type="dxa"/>
            <w:vAlign w:val="bottom"/>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(470.8)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Income tax</w:t>
            </w:r>
          </w:p>
        </w:tc>
        <w:tc>
          <w:tcPr>
            <w:tcW w:w="8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left w:val="single" w:sz="8" w:color="CCEEFF"/>
            </w:tcBorders>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5"/>
        </w:trPr>
        <w:tc>
          <w:tcPr>
            <w:tcW w:w="28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Loss for the year/period</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(694,888)</w:t>
            </w:r>
          </w:p>
        </w:tc>
        <w:tc>
          <w:tcPr>
            <w:tcW w:w="18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(3,820.2)</w:t>
            </w:r>
          </w:p>
        </w:tc>
        <w:tc>
          <w:tcPr>
            <w:tcW w:w="20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(1,007,251)</w:t>
            </w:r>
          </w:p>
        </w:tc>
        <w:tc>
          <w:tcPr>
            <w:tcW w:w="18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(150,379)</w:t>
            </w:r>
          </w:p>
        </w:tc>
        <w:tc>
          <w:tcPr>
            <w:tcW w:w="180" w:type="dxa"/>
            <w:vAlign w:val="bottom"/>
          </w:tcPr>
          <w:p>
            <w:pPr>
              <w:spacing w:after="0"/>
              <w:rPr>
                <w:sz w:val="13"/>
                <w:szCs w:val="13"/>
                <w:color w:val="auto"/>
              </w:rPr>
            </w:pP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(729.0)</w:t>
            </w:r>
          </w:p>
        </w:tc>
        <w:tc>
          <w:tcPr>
            <w:tcW w:w="20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(546,996)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(2201.6)</w:t>
            </w:r>
          </w:p>
        </w:tc>
        <w:tc>
          <w:tcPr>
            <w:tcW w:w="20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(657,885)</w:t>
            </w:r>
          </w:p>
        </w:tc>
        <w:tc>
          <w:tcPr>
            <w:tcW w:w="20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(98,220)</w:t>
            </w:r>
          </w:p>
        </w:tc>
        <w:tc>
          <w:tcPr>
            <w:tcW w:w="200" w:type="dxa"/>
            <w:vAlign w:val="bottom"/>
          </w:tcPr>
          <w:p>
            <w:pPr>
              <w:spacing w:after="0"/>
              <w:rPr>
                <w:sz w:val="13"/>
                <w:szCs w:val="13"/>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(470.8)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tcPr>
          <w:p>
            <w:pPr>
              <w:spacing w:after="0"/>
              <w:rPr>
                <w:sz w:val="10"/>
                <w:szCs w:val="10"/>
                <w:color w:val="auto"/>
              </w:rPr>
            </w:pPr>
          </w:p>
        </w:tc>
        <w:tc>
          <w:tcPr>
            <w:tcW w:w="284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Non-IFRS adjusted net loss for the</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(337,794)</w:t>
            </w:r>
          </w:p>
        </w:tc>
        <w:tc>
          <w:tcPr>
            <w:tcW w:w="780" w:type="dxa"/>
            <w:vAlign w:val="bottom"/>
            <w:tcBorders>
              <w:left w:val="single" w:sz="8" w:color="CCEEFF"/>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(1,857.0)</w:t>
            </w: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(423,278)</w:t>
            </w: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(63,194)</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(306.3)</w:t>
            </w:r>
          </w:p>
        </w:tc>
        <w:tc>
          <w:tcPr>
            <w:tcW w:w="7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(175,278)</w:t>
            </w:r>
          </w:p>
        </w:tc>
        <w:tc>
          <w:tcPr>
            <w:tcW w:w="86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(705.5)</w:t>
            </w: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(234,650)</w:t>
            </w: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(35,032)</w:t>
            </w:r>
          </w:p>
        </w:tc>
        <w:tc>
          <w:tcPr>
            <w:tcW w:w="6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(167,9)</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year/period</w:t>
            </w:r>
            <w:r>
              <w:rPr>
                <w:rFonts w:ascii="Times New Roman" w:cs="Times New Roman" w:eastAsia="Times New Roman" w:hAnsi="Times New Roman"/>
                <w:sz w:val="10"/>
                <w:szCs w:val="10"/>
                <w:b w:val="1"/>
                <w:bCs w:val="1"/>
                <w:color w:val="auto"/>
              </w:rPr>
              <w:t>(1)</w:t>
            </w:r>
          </w:p>
        </w:tc>
        <w:tc>
          <w:tcPr>
            <w:tcW w:w="800" w:type="dxa"/>
            <w:vAlign w:val="bottom"/>
            <w:gridSpan w:val="2"/>
            <w:vMerge w:val="continue"/>
            <w:shd w:val="clear" w:color="auto" w:fill="CCEEFF"/>
          </w:tcPr>
          <w:p>
            <w:pPr>
              <w:spacing w:after="0"/>
              <w:rPr>
                <w:sz w:val="15"/>
                <w:szCs w:val="15"/>
                <w:color w:val="auto"/>
              </w:rPr>
            </w:pPr>
          </w:p>
        </w:tc>
        <w:tc>
          <w:tcPr>
            <w:tcW w:w="780" w:type="dxa"/>
            <w:vAlign w:val="bottom"/>
            <w:tcBorders>
              <w:left w:val="single" w:sz="8" w:color="CCEEFF"/>
            </w:tcBorders>
            <w:gridSpan w:val="2"/>
            <w:vMerge w:val="continue"/>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860" w:type="dxa"/>
            <w:vAlign w:val="bottom"/>
            <w:gridSpan w:val="3"/>
            <w:vMerge w:val="continue"/>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Note:</w:t>
      </w:r>
    </w:p>
    <w:p>
      <w:pPr>
        <w:spacing w:after="0" w:line="4" w:lineRule="exact"/>
        <w:rPr>
          <w:sz w:val="20"/>
          <w:szCs w:val="20"/>
          <w:color w:val="auto"/>
        </w:rPr>
      </w:pPr>
    </w:p>
    <w:p>
      <w:pPr>
        <w:ind w:left="720" w:right="240" w:hanging="422"/>
        <w:spacing w:after="0" w:line="239" w:lineRule="auto"/>
        <w:tabs>
          <w:tab w:leader="none" w:pos="7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discussions of our adjusted net loss and reconciliation of adjusted net loss to loss for the year/period, see “Management’s Discussion and Analysis of Financial Condition and Results of Operations—Non-IFRS Financial Measures” for details.</w:t>
      </w:r>
    </w:p>
    <w:p>
      <w:pPr>
        <w:spacing w:after="0" w:line="28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40"/>
          </w:cols>
          <w:pgMar w:left="320" w:top="455" w:right="6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6705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8970" cy="56705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following table presents our summary consolidated statements of financial position data as of December 31, 2020 and 2021 and June 30,</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2022:</w:t>
      </w:r>
    </w:p>
    <w:p>
      <w:pPr>
        <w:spacing w:after="0" w:line="227"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5520" w:type="dxa"/>
            <w:vAlign w:val="bottom"/>
          </w:tcPr>
          <w:p>
            <w:pPr>
              <w:spacing w:after="0"/>
              <w:rPr>
                <w:sz w:val="15"/>
                <w:szCs w:val="15"/>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40" w:type="dxa"/>
            <w:vAlign w:val="bottom"/>
            <w:gridSpan w:val="3"/>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As of June 30,</w:t>
            </w:r>
          </w:p>
        </w:tc>
      </w:tr>
      <w:tr>
        <w:trPr>
          <w:trHeight w:val="142"/>
        </w:trPr>
        <w:tc>
          <w:tcPr>
            <w:tcW w:w="552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top w:val="single" w:sz="8" w:color="auto"/>
            </w:tcBorders>
          </w:tcPr>
          <w:p>
            <w:pPr>
              <w:spacing w:after="0"/>
              <w:rPr>
                <w:sz w:val="12"/>
                <w:szCs w:val="12"/>
                <w:color w:val="auto"/>
              </w:rPr>
            </w:pPr>
          </w:p>
        </w:tc>
        <w:tc>
          <w:tcPr>
            <w:tcW w:w="1820" w:type="dxa"/>
            <w:vAlign w:val="bottom"/>
            <w:tcBorders>
              <w:top w:val="single" w:sz="8" w:color="auto"/>
              <w:bottom w:val="single" w:sz="8" w:color="auto"/>
            </w:tcBorders>
            <w:gridSpan w:val="2"/>
          </w:tcPr>
          <w:p>
            <w:pPr>
              <w:jc w:val="right"/>
              <w:ind w:right="67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2"/>
                <w:szCs w:val="12"/>
                <w:color w:val="auto"/>
              </w:rPr>
            </w:pPr>
          </w:p>
        </w:tc>
        <w:tc>
          <w:tcPr>
            <w:tcW w:w="11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720" w:type="dxa"/>
            <w:vAlign w:val="bottom"/>
            <w:tcBorders>
              <w:top w:val="single" w:sz="8" w:color="auto"/>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42"/>
        </w:trPr>
        <w:tc>
          <w:tcPr>
            <w:tcW w:w="5520" w:type="dxa"/>
            <w:vAlign w:val="bottom"/>
          </w:tcPr>
          <w:p>
            <w:pPr>
              <w:spacing w:after="0"/>
              <w:rPr>
                <w:sz w:val="12"/>
                <w:szCs w:val="12"/>
                <w:color w:val="auto"/>
              </w:rPr>
            </w:pPr>
          </w:p>
        </w:tc>
        <w:tc>
          <w:tcPr>
            <w:tcW w:w="840" w:type="dxa"/>
            <w:vAlign w:val="bottom"/>
            <w:tcBorders>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820" w:type="dxa"/>
            <w:vAlign w:val="bottom"/>
            <w:tcBorders>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72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spacing w:after="0"/>
              <w:rPr>
                <w:sz w:val="12"/>
                <w:szCs w:val="12"/>
                <w:color w:val="auto"/>
              </w:rPr>
            </w:pPr>
          </w:p>
        </w:tc>
      </w:tr>
      <w:tr>
        <w:trPr>
          <w:trHeight w:val="142"/>
        </w:trPr>
        <w:tc>
          <w:tcPr>
            <w:tcW w:w="5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Summary Consolidated Statements of Financial Position Data:</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212,622</w:t>
            </w:r>
          </w:p>
        </w:tc>
        <w:tc>
          <w:tcPr>
            <w:tcW w:w="200" w:type="dxa"/>
            <w:vAlign w:val="bottom"/>
          </w:tcPr>
          <w:p>
            <w:pPr>
              <w:spacing w:after="0"/>
              <w:rPr>
                <w:sz w:val="18"/>
                <w:szCs w:val="18"/>
                <w:color w:val="auto"/>
              </w:rPr>
            </w:pPr>
          </w:p>
        </w:tc>
        <w:tc>
          <w:tcPr>
            <w:tcW w:w="10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2,725,568</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406,917</w:t>
            </w:r>
          </w:p>
        </w:tc>
        <w:tc>
          <w:tcPr>
            <w:tcW w:w="220" w:type="dxa"/>
            <w:vAlign w:val="bottom"/>
          </w:tcPr>
          <w:p>
            <w:pPr>
              <w:spacing w:after="0"/>
              <w:rPr>
                <w:sz w:val="18"/>
                <w:szCs w:val="18"/>
                <w:color w:val="auto"/>
              </w:rPr>
            </w:pPr>
          </w:p>
        </w:tc>
        <w:tc>
          <w:tcPr>
            <w:tcW w:w="118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3,478,659</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519,350</w:t>
            </w:r>
          </w:p>
        </w:tc>
        <w:tc>
          <w:tcPr>
            <w:tcW w:w="14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935,875</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3,019,619</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450,817</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4,314,784</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644,180</w:t>
            </w:r>
          </w:p>
        </w:tc>
        <w:tc>
          <w:tcPr>
            <w:tcW w:w="14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195,100</w:t>
            </w:r>
          </w:p>
        </w:tc>
        <w:tc>
          <w:tcPr>
            <w:tcW w:w="200" w:type="dxa"/>
            <w:vAlign w:val="bottom"/>
          </w:tcPr>
          <w:p>
            <w:pPr>
              <w:spacing w:after="0"/>
              <w:rPr>
                <w:sz w:val="18"/>
                <w:szCs w:val="18"/>
                <w:color w:val="auto"/>
              </w:rPr>
            </w:pPr>
          </w:p>
        </w:tc>
        <w:tc>
          <w:tcPr>
            <w:tcW w:w="10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286,991</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42,847</w:t>
            </w:r>
          </w:p>
        </w:tc>
        <w:tc>
          <w:tcPr>
            <w:tcW w:w="220" w:type="dxa"/>
            <w:vAlign w:val="bottom"/>
          </w:tcPr>
          <w:p>
            <w:pPr>
              <w:spacing w:after="0"/>
              <w:rPr>
                <w:sz w:val="18"/>
                <w:szCs w:val="18"/>
                <w:color w:val="auto"/>
              </w:rPr>
            </w:pPr>
          </w:p>
        </w:tc>
        <w:tc>
          <w:tcPr>
            <w:tcW w:w="118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280,994</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41,951</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1,130,975</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3,306,610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493,664</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4,595,778</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686,132</w:t>
            </w:r>
          </w:p>
        </w:tc>
        <w:tc>
          <w:tcPr>
            <w:tcW w:w="14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Total deficit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(401,893)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(966,109)</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(144,236)</w:t>
            </w:r>
          </w:p>
        </w:tc>
        <w:tc>
          <w:tcPr>
            <w:tcW w:w="11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(1,652,297)</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(246,681)</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591,720</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234,337</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34,986</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329,730</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49,227</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941,148</w:t>
            </w:r>
          </w:p>
        </w:tc>
        <w:tc>
          <w:tcPr>
            <w:tcW w:w="200" w:type="dxa"/>
            <w:vAlign w:val="bottom"/>
          </w:tcPr>
          <w:p>
            <w:pPr>
              <w:spacing w:after="0"/>
              <w:rPr>
                <w:sz w:val="18"/>
                <w:szCs w:val="18"/>
                <w:color w:val="auto"/>
              </w:rPr>
            </w:pPr>
          </w:p>
        </w:tc>
        <w:tc>
          <w:tcPr>
            <w:tcW w:w="10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4,038,382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602,915</w:t>
            </w:r>
          </w:p>
        </w:tc>
        <w:tc>
          <w:tcPr>
            <w:tcW w:w="220" w:type="dxa"/>
            <w:vAlign w:val="bottom"/>
          </w:tcPr>
          <w:p>
            <w:pPr>
              <w:spacing w:after="0"/>
              <w:rPr>
                <w:sz w:val="18"/>
                <w:szCs w:val="18"/>
                <w:color w:val="auto"/>
              </w:rPr>
            </w:pPr>
          </w:p>
        </w:tc>
        <w:tc>
          <w:tcPr>
            <w:tcW w:w="118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5,918,345</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883,586</w:t>
            </w:r>
          </w:p>
        </w:tc>
        <w:tc>
          <w:tcPr>
            <w:tcW w:w="14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1,532,868</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4,272,719</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637,900</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6,248,075</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932,813</w:t>
            </w:r>
          </w:p>
        </w:tc>
        <w:tc>
          <w:tcPr>
            <w:tcW w:w="140" w:type="dxa"/>
            <w:vAlign w:val="bottom"/>
            <w:shd w:val="clear" w:color="auto" w:fill="CCEEFF"/>
          </w:tcPr>
          <w:p>
            <w:pPr>
              <w:spacing w:after="0"/>
              <w:rPr>
                <w:sz w:val="18"/>
                <w:szCs w:val="18"/>
                <w:color w:val="auto"/>
              </w:rPr>
            </w:pP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Total deficit and liabilities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1,130,975</w:t>
            </w:r>
          </w:p>
        </w:tc>
        <w:tc>
          <w:tcPr>
            <w:tcW w:w="200" w:type="dxa"/>
            <w:vAlign w:val="bottom"/>
          </w:tcPr>
          <w:p>
            <w:pPr>
              <w:spacing w:after="0"/>
              <w:rPr>
                <w:sz w:val="20"/>
                <w:szCs w:val="20"/>
                <w:color w:val="auto"/>
              </w:rPr>
            </w:pPr>
          </w:p>
        </w:tc>
        <w:tc>
          <w:tcPr>
            <w:tcW w:w="10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3,306,610</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493,664</w:t>
            </w:r>
          </w:p>
        </w:tc>
        <w:tc>
          <w:tcPr>
            <w:tcW w:w="220" w:type="dxa"/>
            <w:vAlign w:val="bottom"/>
          </w:tcPr>
          <w:p>
            <w:pPr>
              <w:spacing w:after="0"/>
              <w:rPr>
                <w:sz w:val="20"/>
                <w:szCs w:val="20"/>
                <w:color w:val="auto"/>
              </w:rPr>
            </w:pPr>
          </w:p>
        </w:tc>
        <w:tc>
          <w:tcPr>
            <w:tcW w:w="118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4,595,778</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686,132</w:t>
            </w:r>
          </w:p>
        </w:tc>
        <w:tc>
          <w:tcPr>
            <w:tcW w:w="140" w:type="dxa"/>
            <w:vAlign w:val="bottom"/>
          </w:tcPr>
          <w:p>
            <w:pPr>
              <w:spacing w:after="0"/>
              <w:rPr>
                <w:sz w:val="20"/>
                <w:szCs w:val="20"/>
                <w:color w:val="auto"/>
              </w:rPr>
            </w:pPr>
          </w:p>
        </w:tc>
      </w:tr>
    </w:tbl>
    <w:p>
      <w:pPr>
        <w:spacing w:after="0" w:line="179" w:lineRule="exact"/>
        <w:rPr>
          <w:sz w:val="20"/>
          <w:szCs w:val="20"/>
          <w:color w:val="auto"/>
        </w:rPr>
      </w:pPr>
    </w:p>
    <w:p>
      <w:pPr>
        <w:ind w:left="300" w:right="240" w:firstLine="426"/>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summary consolidated statements of cash flow data for the years ended December 31, 2020 and 2021 and the six months ended June 30, 2021 and 2022:</w:t>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284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2920" w:type="dxa"/>
            <w:vAlign w:val="bottom"/>
            <w:gridSpan w:val="6"/>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top w:val="single" w:sz="8" w:color="auto"/>
            </w:tcBorders>
          </w:tcPr>
          <w:p>
            <w:pPr>
              <w:spacing w:after="0"/>
              <w:rPr>
                <w:sz w:val="12"/>
                <w:szCs w:val="12"/>
                <w:color w:val="auto"/>
              </w:rPr>
            </w:pPr>
          </w:p>
        </w:tc>
        <w:tc>
          <w:tcPr>
            <w:tcW w:w="104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680" w:type="dxa"/>
            <w:vAlign w:val="bottom"/>
            <w:tcBorders>
              <w:top w:val="single" w:sz="8" w:color="auto"/>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top w:val="single" w:sz="8" w:color="auto"/>
            </w:tcBorders>
          </w:tcPr>
          <w:p>
            <w:pPr>
              <w:spacing w:after="0"/>
              <w:rPr>
                <w:sz w:val="12"/>
                <w:szCs w:val="12"/>
                <w:color w:val="auto"/>
              </w:rPr>
            </w:pPr>
          </w:p>
        </w:tc>
        <w:tc>
          <w:tcPr>
            <w:tcW w:w="104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72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720" w:type="dxa"/>
            <w:vAlign w:val="bottom"/>
            <w:tcBorders>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80" w:type="dxa"/>
            <w:vAlign w:val="bottom"/>
            <w:tcBorders>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jc w:val="right"/>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72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20" w:type="dxa"/>
            <w:vAlign w:val="bottom"/>
            <w:gridSpan w:val="4"/>
          </w:tcPr>
          <w:p>
            <w:pPr>
              <w:jc w:val="right"/>
              <w:ind w:right="6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Summary Consolidated Statements of Cash Flows Data:</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(213,830)</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(506,667)</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(75,643)</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(298,483)</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(392,070)</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(58,535)</w:t>
            </w: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in)/generated from investing activities</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(509,401)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460,903</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68,811</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261,866</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(368,358)</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(54,994)</w:t>
            </w:r>
          </w:p>
        </w:tc>
      </w:tr>
      <w:tr>
        <w:trPr>
          <w:trHeight w:val="223"/>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Net cash generated from financing activities</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736,964</w:t>
            </w:r>
          </w:p>
        </w:tc>
        <w:tc>
          <w:tcPr>
            <w:tcW w:w="2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2,603,053</w:t>
            </w:r>
          </w:p>
        </w:tc>
        <w:tc>
          <w:tcPr>
            <w:tcW w:w="2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388,626</w:t>
            </w:r>
          </w:p>
        </w:tc>
        <w:tc>
          <w:tcPr>
            <w:tcW w:w="2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2,532,530</w:t>
            </w:r>
          </w:p>
        </w:tc>
        <w:tc>
          <w:tcPr>
            <w:tcW w:w="2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1,364,149</w:t>
            </w:r>
          </w:p>
        </w:tc>
        <w:tc>
          <w:tcPr>
            <w:tcW w:w="20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203,662</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13,733</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2,557,289</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381,793</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2,495,913</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603,721</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90,133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year/period</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209,260</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212,622</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31,744</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212,622</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2,725,568</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406,917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exchange rate changes</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(10,371)</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(44,343)</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(6,620)</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(13,617)</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149,370</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22,300</w:t>
            </w:r>
          </w:p>
        </w:tc>
        <w:tc>
          <w:tcPr>
            <w:tcW w:w="120" w:type="dxa"/>
            <w:vAlign w:val="bottom"/>
            <w:shd w:val="clear" w:color="auto" w:fill="CCEEFF"/>
          </w:tcPr>
          <w:p>
            <w:pPr>
              <w:spacing w:after="0"/>
              <w:rPr>
                <w:sz w:val="18"/>
                <w:szCs w:val="18"/>
                <w:color w:val="auto"/>
              </w:rPr>
            </w:pPr>
          </w:p>
        </w:tc>
      </w:tr>
      <w:tr>
        <w:trPr>
          <w:trHeight w:val="223"/>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end of year/period</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212,622</w:t>
            </w:r>
          </w:p>
        </w:tc>
        <w:tc>
          <w:tcPr>
            <w:tcW w:w="2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2,725,568</w:t>
            </w:r>
          </w:p>
        </w:tc>
        <w:tc>
          <w:tcPr>
            <w:tcW w:w="2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406,917</w:t>
            </w:r>
          </w:p>
        </w:tc>
        <w:tc>
          <w:tcPr>
            <w:tcW w:w="2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2,694,918</w:t>
            </w:r>
          </w:p>
        </w:tc>
        <w:tc>
          <w:tcPr>
            <w:tcW w:w="2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3,478,659</w:t>
            </w:r>
          </w:p>
        </w:tc>
        <w:tc>
          <w:tcPr>
            <w:tcW w:w="2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519,350</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Non-IFRS Financial Measures</w:t>
      </w:r>
    </w:p>
    <w:p>
      <w:pPr>
        <w:spacing w:after="0" w:line="121" w:lineRule="exact"/>
        <w:rPr>
          <w:sz w:val="20"/>
          <w:szCs w:val="20"/>
          <w:color w:val="auto"/>
        </w:rPr>
      </w:pPr>
    </w:p>
    <w:p>
      <w:pPr>
        <w:ind w:left="300" w:right="40" w:firstLine="426"/>
        <w:spacing w:after="0" w:line="277" w:lineRule="auto"/>
        <w:rPr>
          <w:sz w:val="20"/>
          <w:szCs w:val="20"/>
          <w:color w:val="auto"/>
        </w:rPr>
      </w:pPr>
      <w:r>
        <w:rPr>
          <w:rFonts w:ascii="Times New Roman" w:cs="Times New Roman" w:eastAsia="Times New Roman" w:hAnsi="Times New Roman"/>
          <w:sz w:val="17"/>
          <w:szCs w:val="17"/>
          <w:color w:val="auto"/>
        </w:rPr>
        <w:t>In evaluating our business, we consider and use of the non-IFRS financial measure of adjusted net loss as a supplemental measure to review and assess our operating performance. We believe that adjusted net loss provides useful information to investors and others in understanding and evaluating our consolidated results of operations in the same manner as it helps our management. We define adjusted net loss as loss for the year/period excluding share-based compensation expenses, inducement charges of warrants, fair value changes of financial liabilities measured at FVTPL and changes in the carrying amounts of preferred shares and other financial instruments subject to redemption and other preferential rights.</w:t>
      </w:r>
    </w:p>
    <w:p>
      <w:pPr>
        <w:spacing w:after="0" w:line="27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40"/>
          </w:cols>
          <w:pgMar w:left="320" w:top="455" w:right="6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5732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8970" cy="45732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40" w:firstLine="426"/>
        <w:spacing w:after="0" w:line="258" w:lineRule="auto"/>
        <w:rPr>
          <w:sz w:val="20"/>
          <w:szCs w:val="20"/>
          <w:color w:val="auto"/>
        </w:rPr>
      </w:pPr>
      <w:r>
        <w:rPr>
          <w:rFonts w:ascii="Times New Roman" w:cs="Times New Roman" w:eastAsia="Times New Roman" w:hAnsi="Times New Roman"/>
          <w:sz w:val="18"/>
          <w:szCs w:val="18"/>
          <w:color w:val="auto"/>
        </w:rPr>
        <w:t>We present the non-IFRS financial measure because it is used by our management to evaluate our operating performance and formulate business plans. Adjusted net loss enables our management to assess our operating results without considering the impacts of the aforementioned non-cash adjustment items that we do not consider to be indicative of our core operations. Accordingly, we believe that the use of this non-IFRS financial measure provides useful information to investors and others in understanding and evaluating our operating results in the same manner as our management and board of directors.</w:t>
      </w:r>
    </w:p>
    <w:p>
      <w:pPr>
        <w:spacing w:after="0" w:line="183" w:lineRule="exact"/>
        <w:rPr>
          <w:sz w:val="20"/>
          <w:szCs w:val="20"/>
          <w:color w:val="auto"/>
        </w:rPr>
      </w:pPr>
    </w:p>
    <w:p>
      <w:pPr>
        <w:ind w:left="300" w:right="20" w:firstLine="426"/>
        <w:spacing w:after="0" w:line="261" w:lineRule="auto"/>
        <w:rPr>
          <w:sz w:val="20"/>
          <w:szCs w:val="20"/>
          <w:color w:val="auto"/>
        </w:rPr>
      </w:pPr>
      <w:r>
        <w:rPr>
          <w:rFonts w:ascii="Times New Roman" w:cs="Times New Roman" w:eastAsia="Times New Roman" w:hAnsi="Times New Roman"/>
          <w:sz w:val="18"/>
          <w:szCs w:val="18"/>
          <w:color w:val="auto"/>
        </w:rPr>
        <w:t>This non-IFRS financial measure is not defined under IFRS and is not presented in accordance with IFRS. The non-IFRS financial measure has limitations as an analytical tool. One of the key limitations of using adjusted net loss is that it does not reflect all items of expenses that affect our operations. Further, this non-IFRS measure may differ from the non-IFRS information used by other companies, including peer companies, and therefore its comparability may be limited.</w:t>
      </w:r>
    </w:p>
    <w:p>
      <w:pPr>
        <w:spacing w:after="0" w:line="180"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The non-IFRS financial measure should not be considered in isolation or construed as an alternative to loss for the year/period or any other measure of performance information prepared and presented in accordance with IFRS or as an indicator of our operating performance. Investors are encouraged to review our historical non-IFRS financial measure in light of the most directly comparable IFRS measure, as shown below. The non-IFRS financial measure presented here may not be comparable to similarly titled measure presented by other companies. Other companies may calculate similarly titled measures differently, limiting the usefulness of such measures when analyzing our data comparatively. We encourage you to review our financial information in its entirety and not rely on a single financial measure.</w:t>
      </w:r>
    </w:p>
    <w:p>
      <w:pPr>
        <w:spacing w:after="0" w:line="187" w:lineRule="exact"/>
        <w:rPr>
          <w:sz w:val="20"/>
          <w:szCs w:val="20"/>
          <w:color w:val="auto"/>
        </w:rPr>
      </w:pPr>
    </w:p>
    <w:p>
      <w:pPr>
        <w:ind w:left="300" w:right="100" w:firstLine="426"/>
        <w:spacing w:after="0" w:line="266" w:lineRule="auto"/>
        <w:rPr>
          <w:sz w:val="20"/>
          <w:szCs w:val="20"/>
          <w:color w:val="auto"/>
        </w:rPr>
      </w:pPr>
      <w:r>
        <w:rPr>
          <w:rFonts w:ascii="Times New Roman" w:cs="Times New Roman" w:eastAsia="Times New Roman" w:hAnsi="Times New Roman"/>
          <w:sz w:val="18"/>
          <w:szCs w:val="18"/>
          <w:color w:val="auto"/>
        </w:rPr>
        <w:t>The following table reconciles our adjusted net loss for the years ended December 31, 2020 and 2021, and the six months periods ended June 30, 2021 and 2022 to the most directly comparable financial measure calculated and presented in accordance with IFRS, which is loss for the year/period:</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5620" w:type="dxa"/>
            <w:vAlign w:val="bottom"/>
          </w:tcPr>
          <w:p>
            <w:pPr>
              <w:spacing w:after="0"/>
              <w:rPr>
                <w:sz w:val="15"/>
                <w:szCs w:val="15"/>
                <w:color w:val="auto"/>
              </w:rPr>
            </w:pPr>
          </w:p>
        </w:tc>
        <w:tc>
          <w:tcPr>
            <w:tcW w:w="248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2540" w:type="dxa"/>
            <w:vAlign w:val="bottom"/>
            <w:gridSpan w:val="7"/>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42"/>
        </w:trPr>
        <w:tc>
          <w:tcPr>
            <w:tcW w:w="562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Borders>
              <w:top w:val="single" w:sz="8" w:color="auto"/>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top w:val="single" w:sz="8" w:color="auto"/>
            </w:tcBorders>
          </w:tcPr>
          <w:p>
            <w:pPr>
              <w:spacing w:after="0"/>
              <w:rPr>
                <w:sz w:val="12"/>
                <w:szCs w:val="12"/>
                <w:color w:val="auto"/>
              </w:rPr>
            </w:pPr>
          </w:p>
        </w:tc>
        <w:tc>
          <w:tcPr>
            <w:tcW w:w="1020" w:type="dxa"/>
            <w:vAlign w:val="bottom"/>
            <w:tcBorders>
              <w:top w:val="single" w:sz="8" w:color="auto"/>
              <w:bottom w:val="single" w:sz="8" w:color="auto"/>
            </w:tcBorders>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20" w:type="dxa"/>
            <w:vAlign w:val="bottom"/>
          </w:tcPr>
          <w:p>
            <w:pPr>
              <w:spacing w:after="0"/>
              <w:rPr>
                <w:sz w:val="12"/>
                <w:szCs w:val="12"/>
                <w:color w:val="auto"/>
              </w:rPr>
            </w:pPr>
          </w:p>
        </w:tc>
        <w:tc>
          <w:tcPr>
            <w:tcW w:w="60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0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3"/>
          </w:tcPr>
          <w:p>
            <w:pPr>
              <w:jc w:val="center"/>
              <w:ind w:right="300"/>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56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gridSpan w:val="4"/>
          </w:tcPr>
          <w:p>
            <w:pPr>
              <w:jc w:val="right"/>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Reconciliation of loss for the year/period to adjusted net loss:</w:t>
            </w: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Loss for the year/period</w:t>
            </w:r>
          </w:p>
        </w:tc>
        <w:tc>
          <w:tcPr>
            <w:tcW w:w="78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(694,888)</w:t>
            </w: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(1,007,251)</w:t>
            </w: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(150,379)</w:t>
            </w:r>
          </w:p>
        </w:tc>
        <w:tc>
          <w:tcPr>
            <w:tcW w:w="8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(546,996)</w:t>
            </w:r>
          </w:p>
        </w:tc>
        <w:tc>
          <w:tcPr>
            <w:tcW w:w="9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(657,885)</w:t>
            </w:r>
          </w:p>
        </w:tc>
        <w:tc>
          <w:tcPr>
            <w:tcW w:w="10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(98,220)</w:t>
            </w:r>
          </w:p>
        </w:tc>
        <w:tc>
          <w:tcPr>
            <w:tcW w:w="0" w:type="dxa"/>
            <w:vAlign w:val="bottom"/>
          </w:tcPr>
          <w:p>
            <w:pPr>
              <w:spacing w:after="0"/>
              <w:rPr>
                <w:sz w:val="1"/>
                <w:szCs w:val="1"/>
                <w:color w:val="auto"/>
              </w:rPr>
            </w:pPr>
          </w:p>
        </w:tc>
      </w:tr>
      <w:tr>
        <w:trPr>
          <w:trHeight w:val="149"/>
        </w:trPr>
        <w:tc>
          <w:tcPr>
            <w:tcW w:w="562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Add:</w:t>
            </w: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share-based compensation expenses</w:t>
            </w:r>
          </w:p>
        </w:tc>
        <w:tc>
          <w:tcPr>
            <w:tcW w:w="78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129,943</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55,959</w:t>
            </w:r>
          </w:p>
        </w:tc>
        <w:tc>
          <w:tcPr>
            <w:tcW w:w="1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8,354</w:t>
            </w: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13,128</w:t>
            </w:r>
          </w:p>
        </w:tc>
        <w:tc>
          <w:tcPr>
            <w:tcW w:w="20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81,668</w:t>
            </w:r>
          </w:p>
        </w:tc>
        <w:tc>
          <w:tcPr>
            <w:tcW w:w="10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12,193</w:t>
            </w:r>
          </w:p>
        </w:tc>
        <w:tc>
          <w:tcPr>
            <w:tcW w:w="0" w:type="dxa"/>
            <w:vAlign w:val="bottom"/>
          </w:tcPr>
          <w:p>
            <w:pPr>
              <w:spacing w:after="0"/>
              <w:rPr>
                <w:sz w:val="1"/>
                <w:szCs w:val="1"/>
                <w:color w:val="auto"/>
              </w:rPr>
            </w:pPr>
          </w:p>
        </w:tc>
      </w:tr>
      <w:tr>
        <w:trPr>
          <w:trHeight w:val="148"/>
        </w:trPr>
        <w:tc>
          <w:tcPr>
            <w:tcW w:w="562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inducement charges of warrants</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211,016</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120,750</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18,028</w:t>
            </w:r>
          </w:p>
        </w:tc>
        <w:tc>
          <w:tcPr>
            <w:tcW w:w="0" w:type="dxa"/>
            <w:vAlign w:val="bottom"/>
          </w:tcPr>
          <w:p>
            <w:pPr>
              <w:spacing w:after="0"/>
              <w:rPr>
                <w:sz w:val="1"/>
                <w:szCs w:val="1"/>
                <w:color w:val="auto"/>
              </w:rPr>
            </w:pPr>
          </w:p>
        </w:tc>
      </w:tr>
      <w:tr>
        <w:trPr>
          <w:trHeight w:val="149"/>
        </w:trPr>
        <w:tc>
          <w:tcPr>
            <w:tcW w:w="562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fair value changes of financial liabilities measured at FVTPL</w:t>
            </w:r>
          </w:p>
        </w:tc>
        <w:tc>
          <w:tcPr>
            <w:tcW w:w="78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12,876</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259,872</w:t>
            </w:r>
          </w:p>
        </w:tc>
        <w:tc>
          <w:tcPr>
            <w:tcW w:w="1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38,798</w:t>
            </w: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254,240</w:t>
            </w:r>
          </w:p>
        </w:tc>
        <w:tc>
          <w:tcPr>
            <w:tcW w:w="20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(11,162)</w:t>
            </w:r>
          </w:p>
        </w:tc>
        <w:tc>
          <w:tcPr>
            <w:tcW w:w="10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(1,666)</w:t>
            </w:r>
          </w:p>
        </w:tc>
        <w:tc>
          <w:tcPr>
            <w:tcW w:w="0" w:type="dxa"/>
            <w:vAlign w:val="bottom"/>
          </w:tcPr>
          <w:p>
            <w:pPr>
              <w:spacing w:after="0"/>
              <w:rPr>
                <w:sz w:val="1"/>
                <w:szCs w:val="1"/>
                <w:color w:val="auto"/>
              </w:rPr>
            </w:pPr>
          </w:p>
        </w:tc>
      </w:tr>
      <w:tr>
        <w:trPr>
          <w:trHeight w:val="126"/>
        </w:trPr>
        <w:tc>
          <w:tcPr>
            <w:tcW w:w="5620" w:type="dxa"/>
            <w:vAlign w:val="bottom"/>
            <w:shd w:val="clear" w:color="auto" w:fill="CCEEFF"/>
          </w:tcPr>
          <w:p>
            <w:pPr>
              <w:ind w:left="300"/>
              <w:spacing w:after="0" w:line="126" w:lineRule="exact"/>
              <w:rPr>
                <w:sz w:val="20"/>
                <w:szCs w:val="20"/>
                <w:color w:val="auto"/>
              </w:rPr>
            </w:pPr>
            <w:r>
              <w:rPr>
                <w:rFonts w:ascii="Times New Roman" w:cs="Times New Roman" w:eastAsia="Times New Roman" w:hAnsi="Times New Roman"/>
                <w:sz w:val="14"/>
                <w:szCs w:val="14"/>
                <w:color w:val="auto"/>
              </w:rPr>
              <w:t>changes in the carrying amounts of preferred shares and other financial instruments</w:t>
            </w:r>
          </w:p>
        </w:tc>
        <w:tc>
          <w:tcPr>
            <w:tcW w:w="780" w:type="dxa"/>
            <w:vAlign w:val="bottom"/>
            <w:gridSpan w:val="2"/>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3,259</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268,142</w:t>
            </w:r>
          </w:p>
        </w:tc>
        <w:tc>
          <w:tcPr>
            <w:tcW w:w="1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40,033</w:t>
            </w:r>
          </w:p>
        </w:tc>
        <w:tc>
          <w:tcPr>
            <w:tcW w:w="20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104,350</w:t>
            </w:r>
          </w:p>
        </w:tc>
        <w:tc>
          <w:tcPr>
            <w:tcW w:w="20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231,979</w:t>
            </w:r>
          </w:p>
        </w:tc>
        <w:tc>
          <w:tcPr>
            <w:tcW w:w="10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34,634</w:t>
            </w:r>
          </w:p>
        </w:tc>
        <w:tc>
          <w:tcPr>
            <w:tcW w:w="0" w:type="dxa"/>
            <w:vAlign w:val="bottom"/>
          </w:tcPr>
          <w:p>
            <w:pPr>
              <w:spacing w:after="0"/>
              <w:rPr>
                <w:sz w:val="1"/>
                <w:szCs w:val="1"/>
                <w:color w:val="auto"/>
              </w:rPr>
            </w:pPr>
          </w:p>
        </w:tc>
      </w:tr>
      <w:tr>
        <w:trPr>
          <w:trHeight w:val="171"/>
        </w:trPr>
        <w:tc>
          <w:tcPr>
            <w:tcW w:w="5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subject to redemption and other preferential rights</w:t>
            </w:r>
          </w:p>
        </w:tc>
        <w:tc>
          <w:tcPr>
            <w:tcW w:w="780" w:type="dxa"/>
            <w:vAlign w:val="bottom"/>
            <w:gridSpan w:val="2"/>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62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Non-IFRS adjusted net loss for the year/period</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(337,794</w:t>
            </w:r>
          </w:p>
        </w:tc>
        <w:tc>
          <w:tcPr>
            <w:tcW w:w="180" w:type="dxa"/>
            <w:vAlign w:val="bottom"/>
          </w:tcPr>
          <w:p>
            <w:pPr>
              <w:jc w:val="right"/>
              <w:ind w:right="99"/>
              <w:spacing w:after="0"/>
              <w:rPr>
                <w:sz w:val="20"/>
                <w:szCs w:val="20"/>
                <w:color w:val="auto"/>
              </w:rPr>
            </w:pPr>
            <w:r>
              <w:rPr>
                <w:rFonts w:ascii="Times New Roman" w:cs="Times New Roman" w:eastAsia="Times New Roman" w:hAnsi="Times New Roman"/>
                <w:sz w:val="8"/>
                <w:szCs w:val="8"/>
                <w:color w:val="auto"/>
                <w:w w:val="73"/>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(423,278)</w:t>
            </w:r>
          </w:p>
        </w:tc>
        <w:tc>
          <w:tcPr>
            <w:tcW w:w="18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(63,194)</w:t>
            </w:r>
          </w:p>
        </w:tc>
        <w:tc>
          <w:tcPr>
            <w:tcW w:w="20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(175,278)</w:t>
            </w:r>
          </w:p>
        </w:tc>
        <w:tc>
          <w:tcPr>
            <w:tcW w:w="20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(234,650)</w:t>
            </w: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(35,032)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40"/>
          </w:cols>
          <w:pgMar w:left="320" w:top="455" w:right="6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An investment in our ADSs involves significant risks. You should consider carefully all of the information in this prospectus, including the risks and uncertainties described below, before making an investment in our ADSs. Any of the following risks could have a material and adverse effect on our business, financial condition and results of operations. In any such case, the market price of our ADSs could decline, and you may lose all or part of your investment.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company with a limited operating history and financial track record in the emerging and fast-evolving autonomous driving industry, which involves significant risks and uncertainties.</w:t>
      </w:r>
    </w:p>
    <w:p>
      <w:pPr>
        <w:spacing w:after="0" w:line="4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We commenced operations in 2017 and started building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our readily configurable and proprietary technology platform architecture, shortly after our inception. We launched paid robotaxi services to the public in China in 2019. We achieved commercial production of our robobus in China in 2021 and started its public service in Guangzhou in 2022. We also launched our robovan and robosweeper in September 2021 and April 2022, respectively. In 2022, we started to offer key ADAS technologies and ecosystem support. We are still in a relatively early stage of development and commercialization.</w:t>
      </w:r>
    </w:p>
    <w:p>
      <w:pPr>
        <w:spacing w:after="0" w:line="185"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You should consider our business and prospects in light of the risks and challenges we face as a company with limited operating history into a rapidly-evolving industry, including, among other things, with respect to our ability to:</w:t>
      </w:r>
    </w:p>
    <w:p>
      <w:pPr>
        <w:spacing w:after="0" w:line="67"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and offer safe, reliable and quality autonomous driving products and services on an ongoing basis;</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expand our customer base for our purpose-built L4 autonomous driving vehicles, including robotaxi, robobus and other vehicle types;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launch and commence commercial operation of our robovans, robosweepers and future special purpose vehicles;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expand our operations in the ADAS market leveraging our technological and commercialization experience in the L4 vertical;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expand to new geographical areas and jurisdictions, both in mainland China and overseas;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produce autonomous driving vehicles with our OEM partners in the expected timeline;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the safe operation of our purpose-built L4 autonomous driving vehicles;</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cooperative relationships with ecosystem partners, such as OEMs, Tier 1 suppliers, logistics and urban service providers, and others;</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and enhance our platform and autonomous technology, and maintain a reliable, secure, high-performance and scalable technology infrastructure;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and maintain our operational efficiency;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market our product and service offerings;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retain, and motivate talented employees;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generate sufficient capital to maintain our operations and grow our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and adapt to changing market conditions, including technological developments and changes in competitive landscape;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a well-recognized and respected brand;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navigate an evolving and complex regulatory environment.</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00"/>
          </w:cols>
          <w:pgMar w:left="320" w:top="455" w:right="4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If we fail to address any or all of these risks and challenges, our business, prospects, financial condition and results of operations may be materially and adversely affected. There are also a number of additional challenges to autonomous driving, many of which are not within our control, including market acceptance of autonomous driving, governmental licensing requirements, concerns regarding data security and privacy, actual and threatened litigation (whether or not a judgment is rendered against us), and the general perception that an autonomous driving vehicle is not safe because there is no human driver. There can be no assurance that the market will accept our technology, in which case our future business, results of operations and financial condition could be adversely affected. In addition, the autonomous driving industry, both in mainland China and globally, is in general in its early stages and rapidly evolving. Our autonomous driving technology has not yet commercialized at a large scale. We cannot assure you that we will be able to adapt to changing market or regulatory conditions swiftly or cost-effectively. If we fail to do so, our business, results of operations and financial condition will be adversely affected.</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addition, because we have limited historical financial track record and operate in a rapidly-evolving market, any predictions about our future revenue and expenses may not be as accurate as they would be if we had a longer operating history or operated in a more established market. In future periods, our revenue growth may slow down or even decline for a number of reasons, including slower-than-expected commercialization of our products and services, fiercer competition, unfavorable market conditions and rapidly evolving government regulations. We have encountered in the past, and will continue to encounter in the future, risks and uncertainties frequently experienced by fast-growing companies with limited operating histories in rapidly-changing industries. If our assumptions regarding these risks and uncertainties, which we use to plan and operate our business, are incorrect or outdated, or if we do not address these risks successfully, our actual results of operations could differ materially from our projections, and our business, prospectus, financial condition and results of operations could be adversely affected.</w:t>
      </w:r>
    </w:p>
    <w:p>
      <w:pPr>
        <w:spacing w:after="0" w:line="296"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Autonomous driving technology is an emerging technology, and we face significant challenges to develop and commercialize our technology. Our technology may not perform as well as we expect or take us longer to commercialize than is currently projected.</w:t>
      </w:r>
    </w:p>
    <w:p>
      <w:pPr>
        <w:spacing w:after="0" w:line="5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autonomous driving industry can be characterized by a significant number of technical and commercial challenges, including an expectation for better-than-human driving performance, considerable capital requirements, long vehicle development lead times, specialized skills and expertise requirements of personnel, inconsistent and evolving regulatory frameworks, a need to build public trust and brand image and real-world operation of an entirely new technology. Our future business depends, to a large extent, on our ability to continue to develop and successfully commercialize our products and services. We are in the early stage of commercialization. As we continue to make headways in the commercialization of our autonomous technologies, the composition of our revenue and the relative weight of our revenue items may change. Our ability to develop, deliver and commercialize at scale our autonomous driving platform and systems to support or perform autonomous operation of autonomous driving vehicles is still to be further proven.</w:t>
      </w:r>
    </w:p>
    <w:p>
      <w:pPr>
        <w:spacing w:after="0" w:line="19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Our products and autonomous driving system are technical and complex, and commercial application requires that we meet very high standards for technology performance and system safety. We may be unable to timely release new products and services that meet our intended commercial use cases, and we may therefore experience limited than expected commercialization of our technology. Commercial deployment has taken longer in the autonomous driving industry than anticipated, and it may take us more time to complete our own technology development, commercialization and large-scale operation than is currently projected. The achievement of broadly applicable autonomous driving technology will require further technology improvements including, for example, handling non-compliant or unexpected corner cases and inclement weather conditions. These improvements may take us longer than expected, which would increase our capital requirements for technology development, delay our timeline to commercialization, and reduce the potential financial returns that may be expected from the business.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Our continued enhancement of our autonomous driving technology is and will be subject to risks, including but not limited to the following aspects:</w:t>
      </w:r>
    </w:p>
    <w:p>
      <w:pPr>
        <w:spacing w:after="0" w:line="67"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sufficiently safe autonomous driving system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cutting-edge ADAS solutions that enable autonomous driving functions on vehicles;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from our customers and potential customers, as well as the general public of our autonomous driving products and services as well as the autonomous driving technology in general;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enhance our data analytics and software technology;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complete system testing, validation and obtain safety approvals;</w:t>
      </w:r>
    </w:p>
    <w:p>
      <w:pPr>
        <w:spacing w:after="0" w:line="130"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approvals, licenses or certifications from regulatory agencies, if required, and maintaining current approvals, licenses or certifications;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preserve core intellectual property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design, develop and secure necessary components on acceptable terms and in a timely manner;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additional capital to support our research and development activities;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and strengthen cooperative relationships with our ecosystem partners.</w:t>
      </w:r>
    </w:p>
    <w:p>
      <w:pPr>
        <w:spacing w:after="0" w:line="329"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model has yet to be tested, and any failure to commercialize our strategic plans, technologies, products or services would have an adverse effect on our operating results and business.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As a relatively new enterprise that is beginning to scale our business, we encounter considerable difficulties, many of which are beyond our control. The difficulties include, among others, unknown future challenges and opportunities, substantial risks and expenses in the course of developing new products and services, entering new markets, undertaking marketing activities and delivering our products and services to our customers. The likelihood of our success must be considered in light of these risks, expenses, complications, delays, and the competitive environment in which we operate. Therefore, there is substantial uncertainty as to the success of our business plan. We may not be able to scale up rapidly enough to generate significant revenue, raise additional capital or operate profitably. We will continue to encounter risks and difficulties frequently experienced by companies at an early stage of commercialization, including marketing our products and services, scaling up our operation and headcount, and may incur unforeseen expenses, difficulties, or delays in connection with our growth. Any investment in our company is therefore highly speculative and could result in the loss of your entire investment.</w:t>
      </w:r>
    </w:p>
    <w:p>
      <w:pPr>
        <w:spacing w:after="0" w:line="188"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have limited experience to date in applying our autonomous driving technology at a large scale. As of December 31, 2022, we had offered paid robotaxi services for over 1,100 days. As of the same date, our robobuses had been deployed to run commercial pilots in 18 cities in China and the Middle East, and had offered transportation services since November 2021. We launched the world’s first robovan dedicated to intra-city delivery of goods in urban cities in September 2021, and the world’s first purpose-built robosweeper designed for open road in April 2022. As of the date of this prospectus, we have not yet delivered to third parties our purpose-built L4 autonomous driving vehicles at a large scale. We have reached an understanding with a customer regarding future orders of our robovan. Until the customer enters into a definitive purchase agreement for our robovans, which is within the discretion of the customer, no assurance can be made that the customer will purchase our robovans. In addition, we have only recently started to offer ADAS solutions, with commercial production expected in 2023, and have not had a proven track record of successful operation in ADAS applications. Even if we are successful in developing and commercializing our autonomous driving and ADAS technology, we could face unexpected difficulties, delays and cost overruns, including as a result of factors beyond our control such as unforeseen issues with our technology, problems with suppliers and adverse</w:t>
      </w:r>
    </w:p>
    <w:p>
      <w:pPr>
        <w:spacing w:after="0" w:line="12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40"/>
          </w:cols>
          <w:pgMar w:left="320" w:top="455" w:right="5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regulatory developments. Any failure to develop our technology within our projected costs and timelines or failure to execute our business plan as expected could have material adverse effects on our business, prospects, operating results and financial condition.</w:t>
      </w:r>
    </w:p>
    <w:p>
      <w:pPr>
        <w:spacing w:after="0" w:line="16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addition, we currently partner with OEMs to manufacture our autonomous driving vehicles, instead of manufacturing the vehicles on our own. We believe these partnerships enable us to remain asset-light and maintain focus on developing and upgrading our proprietary autonomous driving products and services. We also intend to adopt an asset-light model across our different business lines, such that instead of owning autonomous driving fleet by ourselves, we may cooperate with third-party fleet asset owners and operate the vehicles on our platform. However, such business model may present unpredictable challenges, which could materially and adversely affect our business, prospectus, financial condition and results of operations. See “—We cooperate with a large number of business partners, including, among others, OEMs, Tier 1 suppliers, logistics and urban service providers, and others. Collaboration with third parties subject us to risks.” In addition, as the scale of our business grows, it is possible that we may be required to take up vehicle manufacturing and operation of a larger autonomous driving vehicle fleet ourselves, which is much more capital-intensive for us relative to partnering with third parties. If that happens, we cannot guarantee that we will possess the necessary human and capital resources to complete such transition, in the expected timeframe or at all. Failure to do so could have material adverse effects on our business, prospects, operating results and financial condition.</w:t>
      </w:r>
    </w:p>
    <w:p>
      <w:pPr>
        <w:spacing w:after="0" w:line="296"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Since the market for autonomous driving products and services is relatively new and disruptive, if our autonomous driving products and services fail to gain acceptance from the general public, our target customers, users or other stakeholders, or fail to do so at the pace we expect, our business, prospects, operating results and financial condition could be materially harmed.</w:t>
      </w:r>
    </w:p>
    <w:p>
      <w:pPr>
        <w:spacing w:after="0" w:line="6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Demand for autonomous driving technology depends to a large extent on general, economic, political, regulatory and social conditions in a given market. The market opportunities we are pursuing are at an early stage of development, and it is difficult to predict customer demand or penetration rates for our products and services. Our technology targeting advanced autonomous driving requires significant investment and longer time-to-market, and may not be commercially successful on a large scale in the short term, or at all.</w:t>
      </w:r>
    </w:p>
    <w:p>
      <w:pPr>
        <w:spacing w:after="0" w:line="180"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In addition, regulatory, safety and reliability issues, or the perception thereof, many of which are beyond our control, could also cause the public or our potential business partners and end users to lose confidence in autonomous driving products and services in general. The safety of such technology depends in part on end users of the autonomous driving vehicles, as well as other drivers, pedestrians, other obstacles on the roadways or other unforeseen events. For example, there have been multiple crashes involving automobiles of other manufacturers resulting in death or personal injury where autopilot features are engaged. Even though these incidents were unrelated to our technology platform and our autonomous driving vehicles, such cases resulted in significant negative publicity to the autonomous driving industry. In the future, accidents involving autonomous driving vehicles could result in suspension or prohibition of autonomous driving vehicles, which could negatively affect our business and the autonomous driving industry as a whole. If safety and reliability issues for autonomous driving technology cannot be addressed properly, our business, prospects, operating results, and financial condition could be materially harmed.</w:t>
      </w:r>
    </w:p>
    <w:p>
      <w:pPr>
        <w:spacing w:after="0" w:line="188"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Although we have managed to accumulate demand and recognition for our products and services to a certain degree, our future growth depends in part on the overall development trend of autonomous driving industry and acceptance of our technology. The market may not accept our technology, products and services, at the pace we expect, or at all, and our business, prospects, financial condition and results of operations will be materially and adversely affected. Key industry participants may develop competing services or may otherwise seek to overthrow our efforts. For example, our robotaxis and robobuses might displace individual drivers for taxis, buses and ride hailing services, which may be interpreted as negatively affecting employment opportunities for these individuals, as has been the case in other industries that have been subject to automation. This could result in negative publicity and even legislation or regulations that make it more difficult to operate our business in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certain jurisdictions that we may expand our operations into. Any such occurrences could materially harm our future business.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are making, and expect to continue to make in the foreseeable future, substantial investments in developing new offerings and technologies.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These new initiatives are inherently risky, and we may not realize the expected benefits from them.</w:t>
      </w:r>
    </w:p>
    <w:p>
      <w:pPr>
        <w:spacing w:after="0" w:line="9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have made substantial investments to develop new offerings and technologies, and we intend to continue investing significant resources in developing new technologies, tools, features and product and service offerings. For example, in 2020, 2021 and the six months ended June 30, 2022, our research and development expenses amounted to RMB333.4 million, RMB443.2 million (US$66.2 million) and RMB318.7 million (US$47.6 million), respectively. If we do not spend our development budget efficiently or effectively on innovative and commercially successful technologies, we may not realize the expected benefits from our investments.</w:t>
      </w:r>
    </w:p>
    <w:p>
      <w:pPr>
        <w:spacing w:after="0" w:line="183"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Our new initiatives also have a high degree of risk, as each involves nascent industries and unproven business strategies and technologies with which we have limited or no prior development or operating experience. For example, we formed a strategic partnership with the largest Tier 1 supplier in 2022 under which we, as a Tier 2 supplier, provide key technologies and ecosystem support, and expect to bring ADAS solutions to the market in 2023. Because such offerings and technologies are new, they will likely involve claims and liabilities (including, but not limited to, personal injury claims), expenses, regulatory challenges and other risks, some of which we do not currently anticipate. There can be no assurance that customer demand for such initiatives will exist or be sustained at the levels that we anticipate, or that any of these initiatives will gain sufficient traction or market acceptance to generate sufficient revenue to offset any new expenses or liabilities associated with these new investments. It is also possible that products and services developed by others will render our product and service offerings noncompetitive or obsolete. Furthermore, our development efforts with respect to new products and service offerings and technologies could distract management from current operations, and will divert capital and other resources from our more established products, services and technologies. Even if we are successful in developing new products, services or technologies, regulatory authorities may subject us to new rules or restrictions in response to our innovations that could increase our expenses or prevent us from successfully commercializing new products, services or technologies. If we do not realize the expected benefits of our investments, our business, financial condition, operating results and prospects may be harmed.</w:t>
      </w:r>
    </w:p>
    <w:p>
      <w:pPr>
        <w:spacing w:after="0" w:line="291" w:lineRule="exact"/>
        <w:rPr>
          <w:sz w:val="20"/>
          <w:szCs w:val="20"/>
          <w:color w:val="auto"/>
        </w:rPr>
      </w:pPr>
    </w:p>
    <w:p>
      <w:pPr>
        <w:ind w:left="120" w:right="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operations are subject to extensive and evolving governmental regulations that could impose substantial costs, legal prohibitions or unfavorable changes upon our operations, and we may incur material liabilities under, or costs in order to comply with, existing or future laws and regulations.</w:t>
      </w:r>
    </w:p>
    <w:p>
      <w:pPr>
        <w:spacing w:after="0" w:line="2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costs of compliance, including remediations of any discovered issues and any changes to our operations mandated by new or amended laws, may be significant, and any failures to comply could result in significant expenses, delays or fines. We are subject to laws and regulations applicable to the manufacture, sale, import, export and service of automobiles in general, both domestically and abroad. In addition, there are a variety of international and domestic regulations that may apply to autonomous driving vehicles, which include many existing vehicle standards that were not originally intended to apply to vehicles that may not have a driver. On July 27, 2021, the Ministry of Industry and Information Technology, or the MIIT, the MPS and the MOT jointly issued the Circular on the Norms on Administration of Road Testing and Demonstrative Application of Autonomous Driving Vehicles (Trial Implementation), or the Road Testing and Demonstrative Application Circular, which replaced the Road Testing Circular. According to the Road Testing and Demonstrative Application Circular, a subject for road testing refers to an entity that applies for and organizes a road testing for autonomous driving vehicles, and bears corresponding liability. Such entity shall meet various regulatory requirements, including related business capacity, ability to pay civil compensation for possible personal and property losses caused by road tests, evaluation rules for test driving, ability to safeguard network security and</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others. In addition, certain local governments in mainland China, such as Shenzhen, Wuhan, Guangzhou, Zhengzhou and Nanjing, have issued or applied local rules and regulations for the road testing of autonomous driving vehicles in accordance with the central-level regulations. See “Regulations —Regulations Relating to Autonomous Driving Vehicles” for details. We have been approved by local governmental authorities to conduct test driving of our autonomous driving vehicles in cities such as Guangzhou, Shenzhen, Beijing, Wuxi, Dalian and others. However, such governmental approvals are for specific time periods, and we cannot guarantee that we will be able to renew the approvals when needed. In addition, we may not be able to obtain approvals from the local governments of other cities where we expect to conduct road tests in the future, in a timely manner or at all. Furthermore, while we have built safety processes to ensure that the performance of our technology meets the regulatory requirements and standards as we interpret the applicable laws and regulations, there can be no assurance that these measures will be deemed by relevant governmental authorities as sufficient, or will meet future regulatory requirements enacted regarding the operation and commercialization of self-driving technology. Moreover, laws and regulations with regard to autonomous driving vehicles and their road tests continue to rapidly change and are complex, which may delay products or restrict autonomous driving features and availability and could adversely affect our business.</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addition, as we grow our business to provide our products and services in additional countries and regions, we will be subject to complex environmental, manufacturing, health and safety laws and regulations at numerous jurisdictions, including but not limited to laws relating to autonomous driving, vehicle transportation, product material inputs and product liability. Furthermore, we may become subject to laws with respect to anti-corruption, anti-bribery, anti-money laundering and other similar laws and regulations in various jurisdictions in which we conduct, or in the future may conduct, activities. Non-compliance with any of the foregoing laws and regulations may subject us to significant fines, penalties, lawsuits and enforcement actions, result in regulatory sanctions and additional compliance requirements, increase regulatory scrutiny of our business, restrict our operations or damage our reputation.</w:t>
      </w:r>
    </w:p>
    <w:p>
      <w:pPr>
        <w:spacing w:after="0" w:line="293" w:lineRule="exact"/>
        <w:rPr>
          <w:sz w:val="20"/>
          <w:szCs w:val="20"/>
          <w:color w:val="auto"/>
        </w:rPr>
      </w:pPr>
    </w:p>
    <w:p>
      <w:pPr>
        <w:ind w:left="120"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generates and processes a large amount of data, and we are required to comply with PRC and other applicable laws relating to privacy and cybersecurity. The improper use or disclosure of data or failure to comply with applicable laws and regulations could have a material and adverse effect on our business and prospects.</w:t>
      </w:r>
    </w:p>
    <w:p>
      <w:pPr>
        <w:spacing w:after="0" w:line="6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In operating our business and providing services to customers and end users, we collect, use, store, transmit and otherwise process various types of</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data.</w:t>
      </w:r>
    </w:p>
    <w:p>
      <w:pPr>
        <w:spacing w:after="0" w:line="207"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While we take measures to comply with all applicable cybersecurity and data privacy laws and regulations, we face risks and challenges inherent in handling and protecting large volume of data, including:</w:t>
      </w:r>
    </w:p>
    <w:p>
      <w:pPr>
        <w:spacing w:after="0" w:line="67" w:lineRule="exact"/>
        <w:rPr>
          <w:sz w:val="20"/>
          <w:szCs w:val="20"/>
          <w:color w:val="auto"/>
        </w:rPr>
      </w:pPr>
    </w:p>
    <w:p>
      <w:pPr>
        <w:ind w:left="108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the data collected, stored and processed on our technology systems, including against attacks on our system by outside parties or fraudulent behavior or improper use by our employees;</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concerns related to privacy and sharing, safety, security and other factors, including properly sanitizing personal data collected; and</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applicable laws, rules and regulations relating to the collection, use, storage, transfer, disclosure and security of personal information.</w:t>
      </w:r>
    </w:p>
    <w:p>
      <w:pPr>
        <w:spacing w:after="0" w:line="16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When our L4 autonomous driving vehicles are in operation, with certain camera angle, camera accuracy and the relative speed and position between our vehicle and pedestrians or other vehicles under limited circumstances, the cameras of our vehicles may collect certain personal information. According to the Several Provisions on Vehicle Data Security Management (Trial Implementation), if it is impossible to obtain consent from individuals to collect and provide personal information outside the vehicle due to the need to ensure driving safety, anonymization should be performed, including deleting images containing natural persons that can be identified, or performing partial blurring of human figures in the videos. For personal information originated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40"/>
        <w:spacing w:after="0" w:line="261" w:lineRule="auto"/>
        <w:rPr>
          <w:sz w:val="20"/>
          <w:szCs w:val="20"/>
          <w:color w:val="auto"/>
        </w:rPr>
      </w:pPr>
      <w:r>
        <w:rPr>
          <w:rFonts w:ascii="Times New Roman" w:cs="Times New Roman" w:eastAsia="Times New Roman" w:hAnsi="Times New Roman"/>
          <w:sz w:val="18"/>
          <w:szCs w:val="18"/>
          <w:color w:val="auto"/>
        </w:rPr>
        <w:t>outside the vehicle, we are unable to obtain the consent of the relevant individuals. As such, we desensitize the videos collected by smearing facial features and license plates when such information is uploaded to our cloud. The original videos are deleted immediately after such desensitization is completed. However, we cannot assure you that the de-identification measures we take fully comply with regulatory requirements in this regard, the failure of which may subject us to administrative measures and severely disrupt our business operations.</w:t>
      </w:r>
    </w:p>
    <w:p>
      <w:pPr>
        <w:spacing w:after="0" w:line="180"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addition to the regulations on vehicle-collected data discussed above, the PRC regulatory and enforcement regime with regard to data security and data protection in general is evolving and may be subject to different interpretations or significant changes. Moreover, different PRC regulatory bodies, including the Standing Committee of the NPC, the MIIT, the CAC, the MPS and the State Administration for Market Regulation, have enforced data privacy and protections laws and regulations with varying standards and applications. See “Regulations—Regulations Relating to Cybersecurity and Data Security” and “Regulations—Regulations Relating to Privacy.”</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December 2021, the CAC, together with other authorities, jointly promulgated the Revised Cybersecurity Review Measures, which became effective on February 15, 2022 and replaces its predecessor regulation. Pursuant to the Revised Cybersecurity Review Measures, critical information infrastructure operators that procure internet products and services and network platform operators that conduct data processing activities must be subject to the cybersecurity review if their activities affect or may affect national security. The Revised Cybersecurity Review Measures further stipulates that a network platform operator that hold personal information of over one million users shall apply with the Cybersecurity Review Office for a cybersecurity review when it seeks to list overseas. As of the date of this prospectus, we are not in possession of more than one million users’ personal information. We have completed the procedures as advised by our PRC legal counsel, Commerce &amp; Finance Law Offices.</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Many of the data-related legislations in the PRC are relatively new, and certain concepts thereunder remain subject to interpretation by the regulators. If any data that we possess belong to data categories that are subject to heightened scrutiny, we may be required to adopt stricter measures for protection and management of such data. We cannot predict the impact of the Revised Cybersecurity Review Measures and the Draft Regulations, if any, at this stage, and we will closely monitor and assess any development in the rule-making process. If the Revised Cybersecurity Review Measures and the enacted version of the Draft Regulations mandate additional obligations or rectifications with respect to our business operations, we face uncertainties as to whether we will be able to satisfy such regulations and regulatory requirements timely, or at all, which may subject us to government enforcement actions and investigations, fines, penalties, suspension of our non-compliant operations, and materially and adversely affect our business and results of operations. As of the date of this prospectus, we have not been designated by the relevant PRC authorities as a critical information infrastructure operator, nor have we been involved in any formal investigations on cybersecurity review made by the CAC or any other PRC authority on such basis or any cybersecurity-related warning or sanction from the PRC government or any notice from relevant authorities specifying us to file for the cybersecurity review.</w:t>
      </w:r>
    </w:p>
    <w:p>
      <w:pPr>
        <w:spacing w:after="0" w:line="192"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However, as the definitions for terms such as internet platform operator and national security are broad, and the regulatory authority will likely retain significant discretion as to the interpretation and enforcement of the Revised Cybersecurity Review Measures and any implementation rules, we cannot preclude the possibility that the Revised Cybersecurity Review Measures will subject us to the cybersecurity review by the CAC in relation to our operations or require us to adjust our business practices, in which case our business, financial condition and prospects and the price of our ADSs may be materially and negatively affected. In the event that we are subject to the cybersecurity review by the CAC in relation to our operations, we may experience disruptions of our business. Such review could also result in negative publicity with respect to our company and diversion of our managerial and financial resources. Furthermore, if we were found to be in violation of applicable laws and regulations of the PRC during such review, we may be subject to administrative penalties, including fines and service suspension, which could have a material and adverse impact on our business, results of operations and financial condition and the value of our ADSs. In general, compliance with the existing PRC laws and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89" w:lineRule="auto"/>
        <w:rPr>
          <w:sz w:val="20"/>
          <w:szCs w:val="20"/>
          <w:color w:val="auto"/>
        </w:rPr>
      </w:pPr>
      <w:r>
        <w:rPr>
          <w:rFonts w:ascii="Times New Roman" w:cs="Times New Roman" w:eastAsia="Times New Roman" w:hAnsi="Times New Roman"/>
          <w:sz w:val="17"/>
          <w:szCs w:val="17"/>
          <w:color w:val="auto"/>
        </w:rPr>
        <w:t>regulations, as well as additional laws and regulations that PRC regulatory bodies may enact in the future, related to data security and personal information protection, may be costly and may result in additional expenses to us, and subject us to negative publicity, which could harm our reputation and business operations. There are also uncertainties with respect to how such laws and regulations will be implemented and interpreted in practice.</w:t>
      </w:r>
    </w:p>
    <w:p>
      <w:pPr>
        <w:spacing w:after="0" w:line="15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addition to mainland China, we have also commenced trial and commercial autonomous driving vehicle operations overseas. As we expand our global footprints, we expect to be subject to laws and regulations in foreign jurisdictions, such as the U.S., regarding data privacy, protection, and security. These regimes may, among other things, impose data security requirements, disclosure requirements, and restrictions on data collection, uses, and sharing that may impact our operations and the development of our business. Furthermore, our products and services may evolve to add new features and functionality to respond to market demand that may change our privacy obligations. Therefore, the full impact of these privacy regimes on our business is rapidly evolving across jurisdictions and remains uncertain at this time. Complying with these obligations could cause us to incur substantial costs and could increase negative publicity surrounding any incident that compromises user data. Failure to fully comply with these laws and regulations in overseas jurisdictions could also result in regulatory enforcement actions against us or otherwise subject us to significant liability, costs and a material loss of revenue resulting from the adverse impact on our reputation and brand. Any of such events could have materially adverse effect on our business, financial condition, results of operations and prospects.</w:t>
      </w:r>
    </w:p>
    <w:p>
      <w:pPr>
        <w:spacing w:after="0" w:line="298" w:lineRule="exact"/>
        <w:rPr>
          <w:sz w:val="20"/>
          <w:szCs w:val="20"/>
          <w:color w:val="auto"/>
        </w:rPr>
      </w:pPr>
    </w:p>
    <w:p>
      <w:pPr>
        <w:ind w:left="120" w:right="2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our autonomous driving technology products and services fail to meet evolving customer needs, respond to the industry evolution appropriately, tailor to developing use cases or to perform as expected, our ability to market or sell our products and services could be adversely affected.</w:t>
      </w:r>
    </w:p>
    <w:p>
      <w:pPr>
        <w:spacing w:after="0" w:line="28"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In order to succeed, we need to tailor our products and services to address rapidly-changing customer demands, the evolving autonomous driving technology and emerging user cases. Our results of operation will depend on our ability to adapt and respond effectively to these changes in a timely manner. We may not be equipped with the insight into new trends in the autonomous driving industry that could emerge and affect our business operations, and we may not be able to forecast and meet the continuously changing demands and preferences towards our products and services. If we fail to develop new features of our technology platform, autonomous driving vehicles or ADAS solutions to meet the emerging marketing demands, we may lose our competitive edge over other industry participants. If we fail to accurately estimate the demand for our products and services, match the timing and quantities of component purchases to actual needs or successfully implement inventory management and other systems to accommodate the increased complexity in our supply chain, we may incur unexpected production disruption and storage, transportation and write-off costs, which could have a material adverse effect on our business, prospects, financial condition and operating results.</w:t>
      </w:r>
    </w:p>
    <w:p>
      <w:pPr>
        <w:spacing w:after="0" w:line="188"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Although we believe that our algorithms and data analysis technology are promising, we cannot assure you that our technology will achieve the required reliability for autonomous driving at a large scale commercially. There can be no assurance that our algorithms and data analytics could predict every single potential issue that may arise during the operation of our autonomous driving vehicles, the failure of which could lead to road accidents and casualties, and could materially and adversely affect our business, prospectus, financial condition and results of operations.</w:t>
      </w:r>
    </w:p>
    <w:p>
      <w:pPr>
        <w:spacing w:after="0" w:line="180"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Furthermore, there can be no assurance that our customers and end users will be able to properly adapt to the different operation processes for our autonomous driving vehicles. Any accidents resulting from such failure to operate our autonomous driving vehicles properly could harm our brand and reputation, result in adverse publicity and product liability claims, and have a material adverse effect on our business, prospects, financial condition and operating results.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continue to attract and retain customers, manage our relationship with them or increase their reliance on our products and services could materially and adversely affect our business and prospects.</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relationship with our customers and business partners is crucial to our success. We generate revenue from (i) the sales of our L4 autonomous driving vehicles, primarily including our robobuses and robotaxis, and related sensor suites to our customers, and (ii) the provision of L4 autonomous driving services, including the provision of L4 operational and technical support services as well as ADAS research and development services to our customers. If we fail to maintain relationships with our customers, or fail to continue to attract new customers, or if our customers or end users reduce or cease the use of our products and services for any reason, our business, financial condition, results of operations and prospects may be materially and adversely affected.</w:t>
      </w:r>
    </w:p>
    <w:p>
      <w:pPr>
        <w:spacing w:after="0" w:line="187" w:lineRule="exact"/>
        <w:rPr>
          <w:sz w:val="20"/>
          <w:szCs w:val="20"/>
          <w:color w:val="auto"/>
        </w:rPr>
      </w:pPr>
    </w:p>
    <w:p>
      <w:pPr>
        <w:jc w:val="both"/>
        <w:ind w:left="120" w:right="120" w:firstLine="440"/>
        <w:spacing w:after="0" w:line="272" w:lineRule="auto"/>
        <w:rPr>
          <w:sz w:val="20"/>
          <w:szCs w:val="20"/>
          <w:color w:val="auto"/>
        </w:rPr>
      </w:pPr>
      <w:r>
        <w:rPr>
          <w:rFonts w:ascii="Times New Roman" w:cs="Times New Roman" w:eastAsia="Times New Roman" w:hAnsi="Times New Roman"/>
          <w:sz w:val="17"/>
          <w:szCs w:val="17"/>
          <w:color w:val="auto"/>
        </w:rPr>
        <w:t>In addition, we depend on a limited number of customers, including certain shareholders of our company, to generate a substantial portion of our revenue. Our six largest customers in terms of revenue in 2020 and 2021 accounted for 86.9% and 89.8% of our total revenue for the respective years. Our six largest customers in terms of revenue in the six months ended June 30, 2022 accounted for 76.8% of our total revenue for the same period.</w:t>
      </w:r>
    </w:p>
    <w:p>
      <w:pPr>
        <w:spacing w:after="0" w:line="2" w:lineRule="exact"/>
        <w:rPr>
          <w:sz w:val="20"/>
          <w:szCs w:val="20"/>
          <w:color w:val="auto"/>
        </w:rPr>
      </w:pPr>
    </w:p>
    <w:p>
      <w:pPr>
        <w:ind w:left="120" w:right="120"/>
        <w:spacing w:after="0" w:line="253" w:lineRule="auto"/>
        <w:rPr>
          <w:sz w:val="20"/>
          <w:szCs w:val="20"/>
          <w:color w:val="auto"/>
        </w:rPr>
      </w:pPr>
      <w:r>
        <w:rPr>
          <w:rFonts w:ascii="Times New Roman" w:cs="Times New Roman" w:eastAsia="Times New Roman" w:hAnsi="Times New Roman"/>
          <w:sz w:val="18"/>
          <w:szCs w:val="18"/>
          <w:color w:val="auto"/>
        </w:rPr>
        <w:t>There is no assurance that we will be able to maintain or expand our relationships with our customers, or that we will be able to continue to serve them at current levels, or at all. If any of our customers significantly reduces or even ceases its use of our products and services, we may not be able to find alternative customers at comparable levels, or at all. In addition, we may not be able to continue to attract new customers. As a result, we may experience a decline in our revenue, which will negatively affect our results of operations and financial performance.</w:t>
      </w:r>
    </w:p>
    <w:p>
      <w:pPr>
        <w:spacing w:after="0" w:line="293" w:lineRule="exact"/>
        <w:rPr>
          <w:sz w:val="20"/>
          <w:szCs w:val="20"/>
          <w:color w:val="auto"/>
        </w:rPr>
      </w:pPr>
    </w:p>
    <w:p>
      <w:pPr>
        <w:jc w:val="both"/>
        <w:ind w:left="120"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autonomous driving technology and related software and hardware could have undetected defects or contain serious errors, which could create safety issues, reduce market adoption, damage our brand image, subject us to product recalls or expose us to product liability and other claims that could materially and adversely affect our business.</w:t>
      </w:r>
    </w:p>
    <w:p>
      <w:pPr>
        <w:spacing w:after="0" w:line="6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Our autonomous driving technology is highly technical and very complex, and has in the past and may in the future experience defects, errors or bugs at various stages of development. We may be unable to timely correct problems to our business partners’ and end users’ satisfaction. Additionally, there may be undetected errors or defects especially as we introduce new systems or as new versions are released. Undetected errors and defects may cause our autonomous driving vehicles that make up our fleet and the vehicles of our customers applying our autonomous driving technology to malfunction, which could result in serious injury to or death of the end users of vehicles, or those in the surrounding area. Errors or defects in our products and services may only be discovered after they have been tested, commercialized and deployed. We generally offer a limited warranty to our customers for our products in order to repair or replace for the aforementioned errors, defects or hardware component failures. However, subject to the product liability related laws and regulations in the jurisdictions where our products and services are offered, we may incur significant additional development costs and product recall, repair or replacement costs, or more importantly, liability for personal injury or property damage caused by such errors or defects, as these problems would also likely result in claims against us. The occurrence of any of the above will cost us significant expense and diversion of management attention and other resources. Our reputation or brand may be damaged as a result of these problems and end customers may be reluctant to use our vehicles and services, which could adversely affect our ability to retain existing customers and attract new customers, and could materially and adversely affect our financial results.</w:t>
      </w:r>
    </w:p>
    <w:p>
      <w:pPr>
        <w:spacing w:after="0" w:line="18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For each autonomous driving vehicle type we have developed, the vehicles that adopt our ADAS solutions and our future autonomous driving vehicle models, once production begins, we may experience product liability disputes and product recalls, which could adversely affect our brand in our target markets and could adversely affect our business, prospects, financial conditions and results of operations. Any product liability dispute or product recall in the future may result in adverse publicity, damage our brand and materially adversely affect our business, prospects, operating results, and financial condition. In the future, we may be subject to product recalls if any of our autonomous driving vehicle components prove to be defective or noncompliant with applicable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00"/>
          </w:cols>
          <w:pgMar w:left="320" w:top="455" w:right="4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motor vehicle safety standards. Such recalls typically involve significant expense and diversion of management attention and other resources, which could adversely affect our brand image, as well as our business, prospects, financial condition and results of operations. In addition, we could face material legal claims for breach of contract, product liability, tort or breach of warranty as a result of defects and errors in our software and hardware. Any such lawsuit may cause irreparable damage to our brand and reputation. In addition, defending a lawsuit, regardless of its merit, could be costly and may divert management’s attention and adversely affect the market’s perception of our brand and our products. In addition, our business liability insurance coverage could prove inadequate with respect to a claim and future coverage may be unavailable on acceptable terms or at all. These product-related issues could result in claims against us and our business could be materially and adversely affected.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execute our growth strategies successfully or manage our growth, and as a result, our business may be adversely affected.</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ability to maintain or enhance our growth rates and achieve profitability partially depends on our ability to increase our revenue and operating income through a series of organic growth initiatives. Our growth strategies include to grow business to reach large-scale commercialization, continue to strengthen our technology, reduce cost and improve operational efficiency, expand global presence and to broaden strategic partnership. However, we may not be able to execute on these strategies as effectively as anticipated. Our ability to execute on these strategies depends on a number of factors, including:</w:t>
      </w:r>
    </w:p>
    <w:p>
      <w:pPr>
        <w:spacing w:after="0" w:line="89" w:lineRule="exact"/>
        <w:rPr>
          <w:sz w:val="20"/>
          <w:szCs w:val="20"/>
          <w:color w:val="auto"/>
        </w:rPr>
      </w:pPr>
    </w:p>
    <w:p>
      <w:pPr>
        <w:ind w:left="1080" w:right="42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build on our technological and business milestones to advance towards full commercialization across robotaxi, robobus, robovan, robosweeper and other autonomous driving use cases;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work with OEMs and other suppliers to scale up our products and services to meet our customers’ needs;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work with business partners to bring state-of-the-art ADAS solutions to the market;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deliver our technology through providing autonomous driving products and services;</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have adequate capital resources to expand and optimize our technology platform, expand our offerings, enhance our data capabilities and increase our spending on talent development;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upgrade our technology platform and to accelerate the evolution of our product and service offerings;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successful execution of our overseas expansion plan;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improve operational efficiency;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strengthen our existing partnerships and enter into new strategic partnerships with industry leaders across the value chain;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train and retain top talent in the autonomous driving industry;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navigate an evolving and complex regulatory environment.</w:t>
      </w:r>
    </w:p>
    <w:p>
      <w:pPr>
        <w:spacing w:after="0" w:line="225"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Our current and future autonomous driving products and services may not generate the expected levels of sales and profitability, and our growth strategies may not lead to commercialization necessary to achieve a comparable level of profitability. To the extent that we are unable to execute on our growth strategies in accordance with our expectations and fail to achieve the expected levels of sales and profitability, our business and results of operations may be adversely impacted. In addition, our growth may continue to fluctuate and may be below our historical rates. Therefore, we cannot assure you that we will achieve and subsequently maintain profitability in the future.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lack of requisite approvals, licenses or permits applicable to our business operation may have a material and adverse impact on our business and results of operations.</w:t>
      </w:r>
    </w:p>
    <w:p>
      <w:pPr>
        <w:spacing w:after="0" w:line="5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business is subject to intense regulation, and we are required to hold a number of licenses and permits in connection with our business operations. We have obtained all necessary licenses and permits that are material to our business operations. However, we cannot assure you that we will be able to renew the licenses and permits that we have obtained, or obtain new licenses and permits for our business operations, when necessary in a timely manner, or at all.</w:t>
      </w:r>
    </w:p>
    <w:p>
      <w:pPr>
        <w:spacing w:after="0" w:line="180"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We have been cooperating with a service provider that possesses a navigation electronic map production and surveying license. Under the cooperation, the service provider provides us with HD maps services to complement the vision of our sensors. In September 2022, in order to comply with certain regulatory development, we expanded our cooperation scope with such licensed service provider to also cover the conduction of activities that requires qualification in order to facilitate the operation of our vehicles. If our cooperation with such service provider is terminated or expire without timely renewal for any reason, and we cannot reach similar cooperation arrangements with other qualified service providers on terms acceptable to us, or at all, we may have to halt the relevant operation of our vehicles until we can obtain such licenses, if ever. Any of the foregoing may disrupt our operations and may materially and adversely affect our business, financial condition and results of operations. Moreover, we currently conduct surveying and mapping in internet mapping service category and hold the relevant certificate through the VIE. We are in the process of unwinding the VIE structure and terminating the contractual arrangements among the WFOE, the VIE and its nominee shareholders, after which the VIE will become a wholly-owned subsidiary of our company. After the unwinding of the VIE structure, we may need to engage licensed surveying and mapping service providers to conduct the surveying and mapping business in internet mapping service category that is currently conducted through the VIE. We cannot assure you that, if necessary, we will be able to commence cooperation with licensed service providers, or to expand our cooperation scope with the licensed service providers that we currently work with to cover the surveying and mapping business in internet mapping service category, on commercially acceptable terms and in a timely manner, or at all. Failure to do so will disrupt our business operations and negatively affect our results of operations, financial performance and prospectus.</w:t>
      </w:r>
    </w:p>
    <w:p>
      <w:pPr>
        <w:spacing w:after="0" w:line="19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addition, new laws and regulations may be enforced from time to time to require additional licenses and permits other than those we currently have. We cannot assure you that we will be able to obtain such licenses and permits in a timely and cost-effective manner. If any applicable local government authorities consider that we were operating without the proper approvals, licenses or permits, they have the power to, among other things, levy fines, confiscate our income, revoke our business licenses, and require us to discontinue our relevant business or impose restrictions on the affected portion of our business. Any of these actions by government authorities may have a material and adverse effect on our results of operations.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have only recently started to generate revenue and have not been profitable, which may continue in the future.</w:t>
      </w:r>
    </w:p>
    <w:p>
      <w:pPr>
        <w:spacing w:after="0" w:line="121" w:lineRule="exact"/>
        <w:rPr>
          <w:sz w:val="20"/>
          <w:szCs w:val="20"/>
          <w:color w:val="auto"/>
        </w:rPr>
      </w:pPr>
    </w:p>
    <w:p>
      <w:pPr>
        <w:ind w:left="120" w:right="340" w:firstLine="440"/>
        <w:spacing w:after="0" w:line="256" w:lineRule="auto"/>
        <w:rPr>
          <w:sz w:val="20"/>
          <w:szCs w:val="20"/>
          <w:color w:val="auto"/>
        </w:rPr>
      </w:pPr>
      <w:r>
        <w:rPr>
          <w:rFonts w:ascii="Times New Roman" w:cs="Times New Roman" w:eastAsia="Times New Roman" w:hAnsi="Times New Roman"/>
          <w:sz w:val="18"/>
          <w:szCs w:val="18"/>
          <w:color w:val="auto"/>
        </w:rPr>
        <w:t>We have only recently started to generate revenue and have not been profitable since our inception. We incurred loss for the year/period of RMB694.9 million and RMB1,007.3 million (US$150.4 million) in 2020 and 2021, respectively, and RMB547.0 million and RMB657.9 million (US$98.2 million) in the six months ended June 30, 2020 and 2021, respectively. We have made significant up-front investments in research and development, administrative and selling expenses to rapidly develop and expand our business and technologies. We expect to continue to invest significantly in research and development, administrative and selling expenses, to establish and expand our business, and these investments may not result in an increase in revenue on a timely basis, or at all.</w:t>
      </w:r>
    </w:p>
    <w:p>
      <w:pPr>
        <w:spacing w:after="0" w:line="187"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We may not generate sufficient revenue or we may incur substantial losses for a number of reasons, including the lack of demand for our products and services, increasing competition, challenging macro-economic</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environment as well as other risks discussed herein, and we may incur unforeseen expenses, or encounter difficulties, complications and delays in generating revenue or achieving profitability. In addition, our continuous operation depends on our capability to improve operating cash flows as well as our capacity to obtain sufficient external equity or debt financing. If we do not succeed in achieving profitability and maintaining and enhancing our cash position, we may have to limit the scale of our operations, which may limit our business growth and adversely affect our financial condition and results of operations.</w:t>
      </w:r>
    </w:p>
    <w:p>
      <w:pPr>
        <w:spacing w:after="0" w:line="287" w:lineRule="exact"/>
        <w:rPr>
          <w:sz w:val="20"/>
          <w:szCs w:val="20"/>
          <w:color w:val="auto"/>
        </w:rPr>
      </w:pPr>
    </w:p>
    <w:p>
      <w:pPr>
        <w:ind w:left="120"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obtain or generate sufficient capital to maintain our operations and finance our growth strategies, or fail to do so on favorable or commercially acceptable terms to us, our operations and prospects could be negatively affected.</w:t>
      </w:r>
    </w:p>
    <w:p>
      <w:pPr>
        <w:spacing w:after="0" w:line="51"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color w:val="auto"/>
        </w:rPr>
        <w:t>We need significant capital to, among other things, conduct research and development for our autonomous driving technology platform, attract and retain top talent, launch new autonomous driving vehicle types, offer more advanced ADAS features, maintain and grow our fleet, expand our customer base and provide quality technical support services. Our capital expenditures, including payments for purchase of intangible assets, property and equipment, were RMB3.4 million, RMB25.6 million (US$3.8 million) and RMB34.8 million (US$5.2 million) in 2020, 2021 and the six months ended June 30, 2022, respectively. We expect our capital expenditures to continue to be significant in the foreseeable future as we expand our business and continue to invest in technological development, and that our level of capital expenditures may be significantly affected by customers’ demand for our products and services. The fact that we have a limited operating history and we operate in a novel and evolving industry means we have limited historical data on the demand for our products and services. As a result, our future capital requirements may be uncertain and actual capital requirements may be different from those we currently anticipate especially in the fast-evolving autonomous driving industry that we operate. In addition, we may need a substantial amount of cash to fulfill certain covenants under our agreements with business partners. For example, pursuant to the shareholders agreement we entered into on July 10, 2019 with two investors, if the joint venture company established by these investors and us does not complete an initial public offering within six years after its incorporation, we may be required by one of the investors to repurchase all or a part of its equity interests in the joint venture, and may need to pay the other investor certain amount of cash to ensure its investment return. See “Management’s Discussion and Analysis of Financial Condition and Results of Operations—Liquidity and Capital Resources—Contractual Obligations.”</w:t>
      </w:r>
    </w:p>
    <w:p>
      <w:pPr>
        <w:spacing w:after="0" w:line="18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ability to obtain the necessary financing to carry out our business plan is subject to a number of factors, including general market conditions, investor acceptance of our business plans and other factors. These factors may make the timing, amount, terms and conditions of such financing unattractive or unavailable to us. If we are unable to raise sufficient funds to support liquidity, we will have to significantly reduce our spending, or delay or cancel our planned activities. We might not be able to obtain any funding, and we might not have sufficient resources to conduct our business as projected, both of which could mean that we would be forced to curtail or discontinue our operations.</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addition, our future capital needs and other business reasons could require us to issue additional equity or debt securities or obtain a credit facility. The sale of additional equity or equity-linked securities could dilute our existing shareholders. The incurrence of indebtedness would result in increased debt service obligations and could result in operating and financing covenants that would restrict our operations or our ability to pay dividends to our shareholders.</w:t>
      </w:r>
    </w:p>
    <w:p>
      <w:pPr>
        <w:spacing w:after="0" w:line="284"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is possible that the unit economics of our autonomous driving vehicles do not materialize as expected, which could adversely affect our business prospects.</w:t>
      </w:r>
    </w:p>
    <w:p>
      <w:pPr>
        <w:spacing w:after="0" w:line="5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Our business model is partially premised on our future expectations and assumptions regarding unit economics of our robotaxi, robobus, robovan and potentially other autonomous driving vehicles powered by our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 platform, as labor costs associated with human drivers are largely removed from the overall cost structure and each vehicle can operate for extended hours. There are uncertainties in these assumptions, and we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56" w:lineRule="auto"/>
        <w:rPr>
          <w:sz w:val="20"/>
          <w:szCs w:val="20"/>
          <w:color w:val="auto"/>
        </w:rPr>
      </w:pPr>
      <w:r>
        <w:rPr>
          <w:rFonts w:ascii="Times New Roman" w:cs="Times New Roman" w:eastAsia="Times New Roman" w:hAnsi="Times New Roman"/>
          <w:sz w:val="18"/>
          <w:szCs w:val="18"/>
          <w:color w:val="auto"/>
        </w:rPr>
        <w:t>may not be able to achieve the unit economics we expect for many reasons, including but not limited to costs of the autonomous driving system hardware, other fixed and variable costs associated with autonomous driving vehicle operation, useful life of autonomous driving vehicles, vehicle utilization and product pricing. To manage hardware costs, we must engineer cost-effective designs for our sensors, computers and vehicles, achieve adequate scale, and continue to enable software improvements. In addition, we must continuously push initiatives to optimize other cost components such as maintenance and insurance costs. This will require significant coordination with our OEM partners and suppliers. Adequate cost management may not materialize as expected, or at all, which would have material adverse effects on our business prospects.</w:t>
      </w:r>
    </w:p>
    <w:p>
      <w:pPr>
        <w:spacing w:after="0" w:line="18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Autonomous driving technology, products and services are new to market, and the appropriate price points are still being assessed by the market. Additionally, increased competition may result in pricing pressure and reduced margins and may impede our ability to increase revenue or cause us to lose market share, any of which could materially and adversely affect our business, financial condition and results of operations. Unfavorable changes in any of these or other unit economics-related factors, many of which are beyond our control, could materially and adversely affect our business, prospects, financial condition and results of operations.</w:t>
      </w:r>
    </w:p>
    <w:p>
      <w:pPr>
        <w:spacing w:after="0" w:line="287"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cooperate with a large number of business partners, including, among others, OEMs, Tier 1 suppliers, logistics and urban service providers, and others. Collaboration with third parties subject us to risks.</w:t>
      </w:r>
    </w:p>
    <w:p>
      <w:pPr>
        <w:spacing w:after="0" w:line="5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Strategic business relationships are and will continue to be an important factor in the growth and success of our business. We have established a robust ecosystem consisting of OEMs, Tier 1 suppliers, logistics and urban service providers, and others. A number of our partners have also become our shareholders and invested in our future, demonstrating their strong conviction in our technology and go-to-market strategy and providing further validation to our product and service offerings. Components manufactured by OEMs or our Tier-1 suppliers could contain defects that would cause our autonomous driving vehicles to fail to operate as intended. We will also need to identify and negotiate additional relationships with other third parties. We may not be able to successfully identify and negotiate definitive agreements with these business partners on terms that are attractive or at all, which would cause us to incur increased costs to develop and provide these capabilities.</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Collaboration with these third parties is subject to risks, some of which are outside our control. We could experience delays to the extent our partners do not meet the agreed upon timelines or experience capacity constraints. We could also experience disagreement in budget or funding for the joint development project. There is also a risk of other potential disputes with partners in the future, including with respect to intellectual property rights. Our ability to successfully commercialize could also be adversely affected by perceptions about the quality of our or our partners’ products and services. If our existing partner agreements were to be terminated, we may be unable to enter into new agreements on terms and conditions acceptable to us. The expense and time required to complete any transition, and to assure that vehicles manufactured at facilities of new third-party partners comply with our quality standards and regulatory requirements, may be greater than anticipated. Any of the foregoing could adversely affect our business, results of operations, and financial condition.</w:t>
      </w:r>
    </w:p>
    <w:p>
      <w:pPr>
        <w:spacing w:after="0" w:line="296"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some of key components in our vehicles come from limited sources of supply, we may be susceptible to supply shortages, price adjustment, long lead time for components and other supply changes, any of which could disrupt our supply chain.</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Most of the components that are used to, or to be used to, manufacture our autonomous driving vehicles are sourced from third-party suppliers and our OEM partners. We have limited experience in managing a large supply chain to manufacture and deliver vehicles at scale. In addition, some of the key components used to manufacture our autonomous driving vehicles come from limited sources of supply. We may therefore be subject to the risk of shortages and long lead times in the supply of these components and the risk that our suppliers discontinue or modify components used in our vehicles. In addition, our agreements with most of our third-party suppliers are non-exclusive. Our suppliers may dedicate more resources to other companies, including our competitors. We have experienced and may continue to experience component shortages and price fluctuations of</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certain key components and materials, and the availability and pricing of these components may be beyond our control. Component shortages or pricing fluctuations could be material in the future. In the event of a component shortage, supply interruption or material pricing change from suppliers of these components, our business partners who manufacture our autonomous driving vehicles may not be able to develop alternate sources in a timely manner in the case of limited sources. Developing alternate sources of supply for these components may be time-consuming, difficult and costly, and our business partners who manufacture our autonomous driving vehicles may not be able to source these components on terms that are acceptable to us, which may undermine our ability to meet our requirements or to fill customer orders in a timely manner. Any interruption or delay in the supply of any of these parts or components, or the inability to obtain these parts or components from alternate sources at acceptable prices and within a reasonable amount of time, would adversely affect our ability to meet our product launch timeline or scheduled product deliveries to users. This could adversely affect our relationships with our customers and could delay the expansion of our operations, including with our business partners who manufacture our autonomous driving vehicles. Even where we are able to pass increased component costs along to our customers, there may be a lapse of time before we are able to do so such that we must absorb the increased cost initially. If we are unable to source these components in quantities sufficient to meet our requirements on a timely basis, we will not be able to meet customer demand, which may result in our customers using competitive services instead of ours.</w:t>
      </w:r>
    </w:p>
    <w:p>
      <w:pPr>
        <w:spacing w:after="0" w:line="291" w:lineRule="exact"/>
        <w:rPr>
          <w:sz w:val="20"/>
          <w:szCs w:val="20"/>
          <w:color w:val="auto"/>
        </w:rPr>
      </w:pPr>
    </w:p>
    <w:p>
      <w:pPr>
        <w:ind w:left="120"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competition from current and future competitors. If we fail to commercialize our technology before our competitors, develop superior technology and products, or compete effectively, we may lose our market share or fail to gain additional market share, and our growth and financial condition may be adversely affected.</w:t>
      </w:r>
    </w:p>
    <w:p>
      <w:pPr>
        <w:spacing w:after="0" w:line="6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face competition from autonomous driving industry participants in each of our product and service offerings which will only intensify if we introduce additional vehicle types or expand the use cases of our autonomous technology. Competition is based primarily on technology, ability to source capital, safety, efficiency and cost-effectiveness. Our future success will depend on our ability to maintain our leading competitive position with respect to our technological advances over our existing and any new competitors. We face competition, both in mainland China and internationally, from autonomous driving companies that offer autonomous driving technologies, products and services. We may also face competition from automotive OEMs global-wise and other global technology giants, particularly those who are building internal autonomous driving development programs. In addition, because the autonomous driving market is relatively nascent, our OEM partners and we have been and are expected to continue exploring different business models and innovating our product and service offerings. Our OEM partners may launch autonomous driving vehicles that potentially compete with our vehicles for customers, end users and market share.</w:t>
      </w:r>
    </w:p>
    <w:p>
      <w:pPr>
        <w:spacing w:after="0" w:line="18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Some of our current and potential competitors have greater financial, technical and other resources than us and may be able to deploy greater resources to the advancement of autonomous driving technologies. In addition, our competitors in certain geographic markets may enjoy substantial competitive advantages such as greater brand recognition, longer operating histories, better localized knowledge and more supportive regulatory regimes. Some of our competitors may be capable of offering innovative service and product offerings and more desirable pricing models. As a result, such competitors may be able to respond more quickly and effectively than us in such markets to new or changing opportunities, technologies, consumer preferences, regulations, or standards, which may render our products or offerings less attractive. We cannot be certain that the pace of our growth or our product offerings will meet the demand of our customers and end users at all times, the failure of which may materially and adversely affect our business, prospects, financial condition and results of operations. Furthermore, increased competition could also intensify our pricing pressure and force us to adjust our pricing strategies to maintain and grow our market share. We may not have the same financial resources as our competitors that allow us to adjust pricing, which may result in a loss of customers and future market share. On the other hand, if we follow the downward price adjustment trend, our ability to generate revenue and achieve profitability may be adversely affected.</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the experience and expertise of our senior management team, technical engineers and certain key employees, and the loss of any executive officer or key employee, or the inability to identify, recruit or retain executive officers, technical engineers and key employees in a timely manner, could harm our business, operating results, and financial condition.</w:t>
      </w:r>
    </w:p>
    <w:p>
      <w:pPr>
        <w:spacing w:after="0" w:line="67" w:lineRule="exact"/>
        <w:rPr>
          <w:sz w:val="20"/>
          <w:szCs w:val="20"/>
          <w:color w:val="auto"/>
        </w:rPr>
      </w:pPr>
    </w:p>
    <w:p>
      <w:pPr>
        <w:ind w:left="120" w:right="180" w:firstLine="440"/>
        <w:spacing w:after="0" w:line="254" w:lineRule="auto"/>
        <w:rPr>
          <w:sz w:val="20"/>
          <w:szCs w:val="20"/>
          <w:color w:val="auto"/>
        </w:rPr>
      </w:pPr>
      <w:r>
        <w:rPr>
          <w:rFonts w:ascii="Times New Roman" w:cs="Times New Roman" w:eastAsia="Times New Roman" w:hAnsi="Times New Roman"/>
          <w:sz w:val="18"/>
          <w:szCs w:val="18"/>
          <w:color w:val="auto"/>
        </w:rPr>
        <w:t>Our success depends largely upon the continued services of our key executive officers and certain key employees. We rely on our executive officers and key employees in the areas of business strategy, research and development, marketing, sales, services and general and administrative functions. There had been, and may from time to time be, changes in our executive management team. There may also be disputes and proceedings surrounding compensation, non-compete obligations and intellectual properties with former employees. Such changes, disputes and proceedings could disrupt our business, result in negative publicity of our company, and cause diversion of management attention and financial resources. We do</w:t>
      </w:r>
    </w:p>
    <w:p>
      <w:pPr>
        <w:spacing w:after="0" w:line="3" w:lineRule="exact"/>
        <w:rPr>
          <w:sz w:val="20"/>
          <w:szCs w:val="20"/>
          <w:color w:val="auto"/>
        </w:rPr>
      </w:pPr>
    </w:p>
    <w:p>
      <w:pPr>
        <w:ind w:left="120" w:right="500"/>
        <w:spacing w:after="0" w:line="260" w:lineRule="auto"/>
        <w:rPr>
          <w:sz w:val="20"/>
          <w:szCs w:val="20"/>
          <w:color w:val="auto"/>
        </w:rPr>
      </w:pPr>
      <w:r>
        <w:rPr>
          <w:rFonts w:ascii="Times New Roman" w:cs="Times New Roman" w:eastAsia="Times New Roman" w:hAnsi="Times New Roman"/>
          <w:sz w:val="18"/>
          <w:szCs w:val="18"/>
          <w:color w:val="auto"/>
        </w:rPr>
        <w:t>not maintain key-man insurance for any member of our senior management team or any other employee. The loss of one or more of our executive officers or key employees could have a material adverse effect on our business.</w:t>
      </w:r>
    </w:p>
    <w:p>
      <w:pPr>
        <w:spacing w:after="0" w:line="18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To execute our growth plan, we must attract and retain highly qualified personnel. Competition for talent is intense in the autonomous driving industry and the technology-related labor market in general, especially for engineers with high levels of experience in designing and developing autonomous driving related algorithms. We may also need to recruit highly qualified personnel internationally. We have, from time to time, experienced, and we expect to continue to experience, difficulty in hiring and retaining employees with appropriate qualifications. Many of the companies with which we compete for experienced personnel have greater resources than we have and can offer more attractive compensation packages for new employees. If we hire employees from competitors or other companies, their former employers may attempt to assert that these employees or our company have breached their legal obligations, resulting in a diversion of our time and resources and potentially in litigation. In addition, job candidates and existing employees often consider the value of the share incentive awards they receive in connection with their employment. If the perceived value of our share awards declines, it may adversely affect our ability to recruit and retain highly skilled employees. If we fail to attract new personnel on a timely basis or fail to retain and motivate our current personnel, we may not be able to commercialize and then expand our technology platform in a timely manner and our business and future growth prospects could be adversely affected.</w:t>
      </w:r>
    </w:p>
    <w:p>
      <w:pPr>
        <w:spacing w:after="0" w:line="296" w:lineRule="exact"/>
        <w:rPr>
          <w:sz w:val="20"/>
          <w:szCs w:val="20"/>
          <w:color w:val="auto"/>
        </w:rPr>
      </w:pPr>
    </w:p>
    <w:p>
      <w:pPr>
        <w:ind w:left="120"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expansion into new geographical areas and jurisdictions involves inherent risks, which may adversely affect our business and results of operations.</w:t>
      </w:r>
    </w:p>
    <w:p>
      <w:pPr>
        <w:spacing w:after="0" w:line="5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Our expansion into new geographical areas and jurisdictions involves new risks and challenges associated with such new markets, such as obtaining permit to conduct test driving and further, commercial operation, of our autonomous driving vehicles in these new geographical areas and jurisdictions. We may also need to adjust our pricing policies to adapt to local economic condition. Furthermore, our expansion into international markets will require us to respond timely and effectively to rapid changes in market conditions in the relevant countries and regions. Our success in international expansion partially depends on our ability to succeed in different legal, regulatory, economic, environmental, social, and political conditions which we have little control over. Our business operations in new geographical areas and jurisdictions may be disrupted by changes in local laws, regulations and policies. We cannot assure that we will be able to execute on our business strategy or that our product and service offerings will be successful in such markets.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operations have been and may continue to be negatively affected by COVID-19 pandemic.</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COVID-19 pandemic created unique global and industry-wide challenges, including challenges to certain aspects of our business. The COVID-19 pandemic resulted in quarantines, travel restrictions, limitations on social or public gatherings, and the temporary closure of business venues and facilities across the world. We took a series of measures in response to the pandemic, including, among others, remote working arrangements for our employees and temporary shutdown of some of our premises and facilities, including our local offices,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60"/>
        <w:spacing w:after="0" w:line="266" w:lineRule="auto"/>
        <w:rPr>
          <w:sz w:val="20"/>
          <w:szCs w:val="20"/>
          <w:color w:val="auto"/>
        </w:rPr>
      </w:pPr>
      <w:r>
        <w:rPr>
          <w:rFonts w:ascii="Times New Roman" w:cs="Times New Roman" w:eastAsia="Times New Roman" w:hAnsi="Times New Roman"/>
          <w:sz w:val="18"/>
          <w:szCs w:val="18"/>
          <w:color w:val="auto"/>
        </w:rPr>
        <w:t>research and development centers, production facilities and commercial testing facilities. While a substantial part of our research and development efforts could be conducted remotely, our testing and commercialization efforts were temporarily delayed between 2020 and 2022 due to social restrictions and quarantine measures enforced where our testing facilities were located.</w:t>
      </w:r>
    </w:p>
    <w:p>
      <w:pPr>
        <w:spacing w:after="0" w:line="176" w:lineRule="exact"/>
        <w:rPr>
          <w:sz w:val="20"/>
          <w:szCs w:val="20"/>
          <w:color w:val="auto"/>
        </w:rPr>
      </w:pPr>
    </w:p>
    <w:p>
      <w:pPr>
        <w:jc w:val="both"/>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China began to modify its zero-COVID policy at the end of 2022, and most of the travel restrictions and quarantine requirements were lifted in December. There were surges of cases in many cities during this time, and there remains uncertainty as to the future impact of the virus, especially in light of this change in policy. Our business partners, particularly our OEM partners, had been and may again in the future be subject to manufacturing capacity constraints, which may in turn affect the delivery of our products and services.</w:t>
      </w:r>
    </w:p>
    <w:p>
      <w:pPr>
        <w:spacing w:after="0" w:line="180"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Furthermore, during the global COVID-19 pandemic, the capital markets are experiencing pronounced volatility, which may adversely affect investor’s confidence and, in turn may affect, our initial public offering.</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longer-term trajectory of COVID-19 and the effects of mutations in the virus, both in terms of scope and intensity of the pandemic, together with their impact on our industry and the broader economy are still difficult to assess or predict and pose significant uncertainties that will be difficult to quantify. If the situation takes a turn for the worse in China, or if there is not a material recovery in other markets where we operate, our business, results of operations and financial condition could be materially and adversely affected.</w:t>
      </w:r>
    </w:p>
    <w:p>
      <w:pPr>
        <w:spacing w:after="0" w:line="284" w:lineRule="exact"/>
        <w:rPr>
          <w:sz w:val="20"/>
          <w:szCs w:val="20"/>
          <w:color w:val="auto"/>
        </w:rPr>
      </w:pPr>
    </w:p>
    <w:p>
      <w:pPr>
        <w:jc w:val="both"/>
        <w:ind w:left="120"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Increasing focus with respect to environmental, social and governance matters may impose additional costs on us or expose us to additional risks. Failure to comply with the laws and regulations on environmental, social and governance matters may subject us to penalties and adversely affect our business, financial condition and results of operation.</w:t>
      </w:r>
    </w:p>
    <w:p>
      <w:pPr>
        <w:spacing w:after="0" w:line="6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Companies across all industries are facing increasing scrutiny relating to their environmental, social and governance, or ESG, policies. Investors, lenders and other market participants are increasingly focused on ESG practices and in recent years have placed increasing importance on the implications and social cost of their investments. The increased focus and activism related to ESG calls for capital, investors and lenders to tilt their investment decisions to favor industries and companies with recognized ESG practices. We believe our autonomous technology delivers a safer transportation experience both for the passengers and the environment around by significant reducing the risk of accidents, particularly for those associated with human errors. We are dedicated to delivering optimization of vehicle controls and maneuvers that in turn brings improvement of energy efficiency. Despite our continuous efforts to adapt to and comply with investor, lender or other industry shareholder expectations and standards related to ESG, we may not be able to always meet the evolving expectations and standards. We may be perceived to not have responded appropriately to the growing concern for ESG issues, regardless of whether there is a legal requirement to do so. We may therefore suffer from reputational damage, which will negatively affect our future business, financial condition and stock price.</w:t>
      </w:r>
    </w:p>
    <w:p>
      <w:pPr>
        <w:spacing w:after="0" w:line="298" w:lineRule="exact"/>
        <w:rPr>
          <w:sz w:val="20"/>
          <w:szCs w:val="20"/>
          <w:color w:val="auto"/>
        </w:rPr>
      </w:pPr>
    </w:p>
    <w:p>
      <w:pPr>
        <w:ind w:left="120"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export control and similar laws, and non-compliance of such laws can subject us to administrative, civil and criminal fines and penalties, collateral consequences, remedial measures and legal expenses, all of which could adversely affect our business, financial condition and results of operations.</w:t>
      </w:r>
    </w:p>
    <w:p>
      <w:pPr>
        <w:spacing w:after="0" w:line="67"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Any Chinese companies or individuals targeted under U.S. economic sanctions or export control restrictions may lose access to the U.S. markets. U.S. entities and individuals may not be permitted to do business with sanctioned companies and individuals, and other international enterprises may as a matter of law and/or policy decide not to engage in transactions with such companies or individuals. A supplier of our company was recently imposed with export restrictions to mainland China with regard to certain integrated circuits. Such integrated circuits are not part of our cooperation with such supplier. However, we cannot assure you that similar restrictions will not be imposed with regard to the components that we source from such supplier, or the components that we source from other suppliers. In addition, policies that are aimed at restricting U.S. or other foreign persons from supplying certain Chinese companies have been issued in the U.S. and other foreign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jurisdictions in recent years. These measures could deter suppliers and investors in the United States and/or other countries that impose export controls and other restrictions from providing technologies and products to, making investments in, or otherwise engaging in transactions with Chinese companies. We may be affected by future changes in U.S. export control laws and regulations. In particular, the tightened U.S. export controls, including export controls related to the export to mainland China of certain advanced semiconductors and equipment to manufacture them, as well as export control on emerging technologies could become an additional barrier in securing sufficient supplies of semiconductors. In addition, in the future, if we, any of our customers, suppliers or other ecosystem partners that have collaborative relationships with our company or our affiliates were to become targeted under sanctions or export control restrictions, or if we were unable to source U.S.-origin software and components from third parties or otherwise access U.S. technology as a result of such regulatory changes, our product and service development, commercialization and other aspects of our business operations may be materially interrupted. The occurrence of any of the above could materially and adversely affect our business, prospects, results of operations and financial condition.</w:t>
      </w:r>
    </w:p>
    <w:p>
      <w:pPr>
        <w:spacing w:after="0" w:line="298"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Strategic acquisition of and investments in businesses and assets, and the subsequent integration of newly acquired businesses into our own, create significant challenges.</w:t>
      </w:r>
    </w:p>
    <w:p>
      <w:pPr>
        <w:spacing w:after="0" w:line="5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To further expand our business and strengthen our market-leading position, we may tap into new market opportunities or enter into new markets by forming strategic alliances, including joint ventures, or making strategic investments and acquisitions. If we are presented with appropriate opportunities in the future, we may acquire or invest in additional businesses or assets that are complementary to our business. However, strategic acquisitions and the subsequent integration of new businesses and assets into our own would require significant attention from our management and could result in a diversion of resources from our existing business, which in turn could have an adverse effect on our business operations. In addition, acquisitions could result in potential dilutive issuances of equity securities, use of substantial amounts of cash, significant increase of our interest expense, leverage and debt service requirements if we incur additional debt to pay for an acquisition or investment and exposure to potential ongoing financial obligations and unforeseen or hidden liabilities of the acquired businesses. The cost and duration of, and difficulties in, integrating newly acquired businesses and managing a larger overall business could also materially exceed our expectations. On the other hand, we may not be able to successfully select investment and acquisition targets that supplement our business and growth strategies. After devoting significant resources to potential acquisitions, the transactions may not be closed successfully due to strengthened anti-monopoly enforcement in mainland China. Moreover, we may not be able to achieve our intended strategic synergies and may record substantial impairment charges to goodwill, if we fail to successfully integrate the newly acquired businesses or manage a larger business. Our equity investees may generate significant losses, a portion of which will be shared by us in accordance with IFRS. In addition, we may incur impairment losses if the financial or operating results of those investees fail to meet the expectations. No assurance can be given that our acquisitions, joint ventures and other strategic investments will be successful and any negative developments in connection with our acquisitions or strategic investment could have a material adverse effect on our business, reputation, results of operations and financial condition.</w:t>
      </w:r>
    </w:p>
    <w:p>
      <w:pPr>
        <w:spacing w:after="0" w:line="19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 addition, we intend to pursue joint venture opportunities which we believe will allow us to expand into more markets and complement our growth strategy. We may be required to contribute significant amount of capital and managerial resources in forming joint ventures with third parties. We may not succeed in the collaboration with third parties to meet our performance and financial expectations, which could adversely impact our ability to meet internal forecasts and expectations. In addition, in forming joint ventures, we may not be able to, at all times, comply with local or foreign regulatory requirements, and the joint ventures may not be able to obtain necessary regulatory clearance, licenses and permits for its intended business purposes. Any of the foregoing could have a material adverse effect on our business, reputation, results of operations and financial condition.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Misconduct or illegal actions of our third-party suppliers, manufacturers or other business partners could materially and adversely affect our reputation, business, financial condition and results of operations.</w:t>
      </w:r>
    </w:p>
    <w:p>
      <w:pPr>
        <w:spacing w:after="0" w:line="51"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We work with third parties in developing and providing our products and services, such as OEMs to develop and manufacture our autonomous driving vehicles. We carefully select our third-party suppliers, manufacturers and other business partners, but we are not able to fully control their actions. If these third parties fail to perform as we expect, experience difficulty in meeting our requirements or standards, fail to conduct their business ethically, fail to provide satisfactory services to end users, receive negative press coverage, violate applicable laws or regulations, breach the agreements with us, or if the agreements we have entered into with the third parties are terminated or not renewed, our business and reputation could be damaged. In addition, if such third-party business partners cease operations, temporarily or permanently, face financial distress or other business disruptions, increase their fees, or if our relationships with them deteriorate, we would suffer from increased costs, be involved in legal or administrative proceedings with or against our third-party service providers and experience delays in providing end users with similar services until we find or develop a suitable alternative. Furthermore, if we are unsuccessful in identifying high-quality partners, or establishing cost-effective relationships with them, or effectively managing these relationships, our business, prospectus, financial conditions and results of operations would be materially and adversely affected.</w:t>
      </w:r>
    </w:p>
    <w:p>
      <w:pPr>
        <w:spacing w:after="0" w:line="281"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disruption to our technology systems and facilities, operational systems, security systems, infrastructure or integrated software could adversely affect our business and results of operations.</w:t>
      </w:r>
    </w:p>
    <w:p>
      <w:pPr>
        <w:spacing w:after="0" w:line="5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collect and maintain information in digital form that is necessary to conduct our business, and we rely on our technology systems and facilities, comprising of our operational systems, data management systems, security systems, servers and others, in connection with many of our business activities. Some of these networks and systems are managed by third-party service providers and are not under our direct control, and as a result, a number of third-party service providers may or could have access to our confidential information. Our operations routinely involve receiving, storing, processing and transmitting confidential or sensitive information pertaining to our business, users, customers, ecosystem partners, employees and other sensitive matters, including intellectual property, proprietary business information and personal information. It is critical that we do so in a secure manner to maintain the confidentiality and integrity of such confidential or sensitive information. We have established physical, electronic, and organizational measures designed to safeguard and secure our systems to prevent a data compromise, and rely on commercially available systems, software, tools, and monitoring to provide security for our technology systems and the processing, transmission, and storage of digital information. Despite the implementation of preventative and detective security controls, such technology systems are vulnerable to damage or interruption from a variety of sources, including telecommunications or network failures or interruptions, system malfunction, natural disasters, malicious human acts, terrorism, and war. Our technology systems and facilities, including our servers, are additionally vulnerable to physical or electronic break-ins, security breaches from inadvertent or intentional actions by our employees, third-party service providers,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w:t>
      </w:r>
    </w:p>
    <w:p>
      <w:pPr>
        <w:spacing w:after="0" w:line="196"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We have experienced attempts to breach our systems and other similar incidents, none of which have been material. Any future cyber incidents could, however, materially disrupt operational systems, result in the loss of trade secrets or other proprietary or competitively sensitive information, compromise personally identifiable information regarding end users or employees and jeopardize the security of our facilities. Any disruption to our technology system may also affect our ability to manage our data and inventory, procure parts or supplies or produce, sell and deliver our products and provide services to customers, adequately protect our intellectual property or achieve and maintain compliance with applicable laws, regulations and contracts. The risk of a security breach or disruption, particularly through cyber-attacks or cyber intrusion, including by computer hackers, foreign governments and cyber terrorists, has generally increased as the number, intensity, and</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00"/>
          </w:cols>
          <w:pgMar w:left="320" w:top="455" w:right="4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sophistication of attempted attacks and intrusions from around the world have increased. We can provide no assurance that our current technology systems, or those of the third parties upon which we rely, are fully protected against cybersecurity threats. It is possible that we or our third-party service providers may experience cybersecurity and other breach incidents that remain undetected for an extended period. Even when a security breach is detected, the full extent of the breach may not be determined immediately. Because techniques used to obtain unauthorized access or to sabotage systems change frequently and generally are not recognized until they are launched against a target, we may be unable to anticipate these techniques or to implement adequate preventative measures. Information technology security threats, including security breaches, computer malware and other cyber-attacks are increasing in both frequency and sophistication and could cause us to incur financial liability, subject us to legal or regulatory sanctions or damage our reputation with users, customers, ecosystem partners and other stakeholders. We continuously seek to maintain information security and controls, however, our efforts to mitigate and address network security problems, bugs, viruses, worms, malicious software programs and security vulnerabilities may not be successful, and the impact of a material cybersecurity event could have a material adverse effect on our competitive position, reputation, results of operations, financial condition and cash flows.</w:t>
      </w:r>
    </w:p>
    <w:p>
      <w:pPr>
        <w:spacing w:after="0" w:line="296"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Unauthorized control or manipulation of systems in autonomous driving vehicles may cause them to operate improperly or not at all, or compromise their safety and data security, which could result in loss of confidence in us and our technology solutions, cancellation of contracts with certain of our customers and materially harm our business.</w:t>
      </w:r>
    </w:p>
    <w:p>
      <w:pPr>
        <w:spacing w:after="0" w:line="67"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Our product and service offerings rely on our complex information technology systems. While we have implemented security measures intended to prevent unauthorized access to our information technology networks, our vehicles and their systems, malicious entities may attempt to gain unauthorized access to modify, alter and use such networks, vehicles and systems to gain control of, or to change, our vehicles’ functionality, user interface and performance characteristics or to gain access to data stored in or generated by our vehicles. We encourage reporting of potential vulnerabilities in the security of our products and services through our security vulnerability reporting policy, and we aim to remedy any reported and verified vulnerability. However, there can be no assurance that any vulnerabilities will not be exploited before they can be identified, or that our remediation efforts are or will be successful.</w:t>
      </w:r>
    </w:p>
    <w:p>
      <w:pPr>
        <w:spacing w:after="0" w:line="189"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Any unauthorized access to or control of our vehicles or their systems or any loss of data could result in legal claims or government investigations. In addition, regardless of their veracity, reports of unauthorized access to our vehicles, their systems or data, as well as other factors that may result in the perception that our products and services, their systems or data are capable of being hacked, may harm our brand, prospects and operating results.</w:t>
      </w:r>
    </w:p>
    <w:p>
      <w:pPr>
        <w:spacing w:after="0" w:line="262"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granted, and may continue to grant, options and other types of awards under our 2018 Share Plan, which may result in increased share-based compensation expenses.</w:t>
      </w:r>
    </w:p>
    <w:p>
      <w:pPr>
        <w:spacing w:after="0" w:line="5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adopted the 2018 Share Plan in June 2018, which was amended and restated from time to time by the shareholders of our company, in order to attract, incentivize and retain employees, outside directors and consultants of our company and to promote the success of our business. The maximum aggregate number of ordinary shares that may be issued pursuant to all awards under the 2018 Share Plan is 394,406,107 ordinary shares. As of the date of this prospectus, 194,085,796 restricted share units and options to purchase a total of 104,108,581 ordinary shares have been granted and remain outstanding.</w:t>
      </w:r>
    </w:p>
    <w:p>
      <w:pPr>
        <w:spacing w:after="0" w:line="183"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believe the granting of share-based compensation is of significant importance to our ability to attract and retain key personnel and employees, and we will continue to grant share-based compensation to employees in the future. As a result, our expenses associated with share-based compensation may increase, which may have an adverse effect on our results of operations. In addition, the issuance of additional equity upon the exercise of options or other types of awards would result in further dilution to our shareholders.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current tensions in international trade and rising political tensions, particularly between the U.S. and China, may adversely impact our business, financial condition, and results of operations.</w:t>
      </w:r>
    </w:p>
    <w:p>
      <w:pPr>
        <w:spacing w:after="0" w:line="5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It is unknown whether and to what extent new tariffs (or other new laws or regulations) will be adopted by the U.S. government, or the effect that any such actions would have on us, the industry we operate in, our business partners and end users. Any unfavorable government policies on international trade, such as capital controls or tariffs, may affect the demand for our products and services, impact the competitive position of our products or prevent us from being able to sell products in certain countries. If any new tariffs, legislation and/or regulations are implemented, or if existing trade agreements are renegotiated or, in particular, if the U.S. government takes retaliatory trade actions due to the recent U.S.-China trade tension, such changes could have an adverse effect on our business, financial condition, results of operations.</w:t>
      </w:r>
    </w:p>
    <w:p>
      <w:pPr>
        <w:spacing w:after="0" w:line="187"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In addition, we have been closely monitoring policies in the United States that are aimed at restricting U.S. persons from investing in or supplying certain Chinese companies. The United States and various foreign governments have imposed controls, license requirements and restrictions on the import or export of technologies and products, or voiced the intention to do so. For instance, the United States is in the process of developing new export controls with respect to “emerging and foundational” technologies, which may include certain AI and semiconductor technologies. In addition, the U.S. government may potentially impose a ban prohibiting U.S. persons from making investments in or engaging in transactions with certain Chinese companies. Measures such as these could deter suppliers and investors in the United States and/or other countries that impose export controls and other restrictions from providing technologies and products to, making investments in, or otherwise engaging in transactions with Chinese companies. As a result, Chinese companies would have to identify and secure alterative supplies or sources of financing, which they may not be able to do in a timely manner and on commercially acceptable terms, or at all. In addition, Chinese companies may have to limit and reduce their research and development and other business activities, or cease conducting transactions with parties, in the United States and other countries that impose export controls or other restrictions. Given that we operate a research and development center in the U.S. and we cooperate with certain U.S.-based suppliers, our business is particularly susceptible to these controls and restrictions, and our financial condition and results of operations could be adversely affected as a result.</w:t>
      </w:r>
    </w:p>
    <w:p>
      <w:pPr>
        <w:spacing w:after="0" w:line="283" w:lineRule="exact"/>
        <w:rPr>
          <w:sz w:val="20"/>
          <w:szCs w:val="20"/>
          <w:color w:val="auto"/>
        </w:rPr>
      </w:pPr>
    </w:p>
    <w:p>
      <w:pPr>
        <w:ind w:left="120"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establish, maintain, protect and enforce our intellectual property and proprietary rights or prevent others from unauthorized use of our technology and intellectual property rights, which could harm our business and competitive position and also make us subject to ligations brought by third parties.</w:t>
      </w:r>
    </w:p>
    <w:p>
      <w:pPr>
        <w:spacing w:after="0" w:line="67" w:lineRule="exact"/>
        <w:rPr>
          <w:sz w:val="20"/>
          <w:szCs w:val="20"/>
          <w:color w:val="auto"/>
        </w:rPr>
      </w:pPr>
    </w:p>
    <w:p>
      <w:pPr>
        <w:ind w:left="120" w:right="160" w:firstLine="440"/>
        <w:spacing w:after="0" w:line="253" w:lineRule="auto"/>
        <w:rPr>
          <w:sz w:val="20"/>
          <w:szCs w:val="20"/>
          <w:color w:val="auto"/>
        </w:rPr>
      </w:pPr>
      <w:r>
        <w:rPr>
          <w:rFonts w:ascii="Times New Roman" w:cs="Times New Roman" w:eastAsia="Times New Roman" w:hAnsi="Times New Roman"/>
          <w:sz w:val="18"/>
          <w:szCs w:val="18"/>
          <w:color w:val="auto"/>
        </w:rPr>
        <w:t>Our intellectual property is an essential asset of our business. Failure to adequately protect our intellectual property rights could result in our competitors offering similar products and services, potentially resulting in the loss of our competitive advantage and a decrease in our revenue, which would adversely affect our business prospects, financial condition and operating results. Our success depends in part on our ability to protect our core technology and intellectual property. We rely on a combination of intellectual property rights, such as patents, trademarks, copyrights and trade secrets (including know-how), in addition to employee and third-party nondisclosure agreements, intellectual property licenses and other contractual rights, to establish, maintain, protect and enforce our rights in our technology, proprietary information and processes. Intellectual property laws and our procedures and restrictions provide only limited protection and any of our intellectual property rights may be challenged, invalidated, circumvented, infringed or misappropriated. If we fail to protect our intellectual property rights adequately, we may lose an important advantage in the markets in which we compete. While we take measures to protect our intellectual property, such efforts may be insufficient or ineffective, and any of our intellectual property rights may be challenged, which could result in them being narrowed in scope or declared invalid or unenforceable. Other parties may also independently develop technologies that are substantially similar or superior to ours. We may also be forced to bring claims against third parties, or defend claims that they may bring against us, to determine the ownership of what we regard as our intellectual property. However, the measures we take to protect our intellectual property from unauthorized use by others may not be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effective and there can be no assurance that our intellectual property rights will be sufficient to protect against others offering products, services or technologies that are substantially similar or superior to ours and that compete with our business.</w:t>
      </w:r>
    </w:p>
    <w:p>
      <w:pPr>
        <w:spacing w:after="0" w:line="16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have in the past initiated, and may in the future be involved in litigation to enforce our intellectual property rights and to protect our trade secrets. Our efforts to enforce our intellectual property rights have been, and may in the future be met with defenses, counterclaims and countersuits attacking the validity and enforceability of our intellectual property. Any litigation initiated by us concerning the violation by third parties of our intellectual property rights is likely to be expensive and time-consuming and could lead to the invalidation of, or render unenforceable, our intellectual property, or could otherwise have negative consequences for us. Furthermore, it could result in a court or governmental agency invalidating or rendering unenforceable our patents or other intellectual property rights upon which the suit is based. We will not be able to protect our intellectual property if we are unable to enforce our rights or if we do not detect unauthorized use of our intellectual property. Our inability to protect our proprietary technology against unauthorized copying or use, as well as any costly litigation or diversion of our management’s attention and resources, could delay the introduction and implementation of new technologies, result in our substituting inferior or more costly technologies into our products or injure our reputation. Moreover, policing unauthorized use of our technologies, trade secrets and intellectual property may be difficult, expensive and time-consuming, particularly in foreign countries where the laws may not be as protective of intellectual property rights as those in the United States and where mechanisms for enforcement of intellectual property rights may be weak. If we fail to meaningfully establish, maintain, protect and enforce our intellectual property and proprietary rights, our business, operating results and financial condition could be adversely affected.</w:t>
      </w:r>
    </w:p>
    <w:p>
      <w:pPr>
        <w:spacing w:after="0" w:line="291"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 and changes in patent law could diminish the value of patents in general, thereby impairing our ability to protect our products.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routinely apply for and register intellectual property in mainland China and overseas. The protection of intellectual property rights in mainland China is different from that of the United States or other developed countries. In addition, filing, prosecuting, maintaining, defending and enforcing patents and other intellectual property rights on our products and services in all countries throughout the world would be prohibitively expensive, and our intellectual property rights in some countries outside China can be less extensive than those in mainland China. In addition, effective intellectual property protection may not be available in every jurisdiction in which we offer our products and services. Although we have generally taken measures to protect our intellectual property rights, there can be no assurance that we will be successful in protecting or enforcing our rights in every jurisdiction. Consequently, we may not be able to prevent third parties from practicing our inventions in all jurisdictions where we operate or expect to operate in the future, or from selling or importing products made using our inventions into other jurisdictions. Competitors may misappropriate our technologies in jurisdictions where we have not obtained patent protection or other intellectual property rights to develop their own products and may export otherwise infringing, misappropriating or violating products. These products may compete with our products, and our patents or other intellectual property rights may not be effective or sufficient to prevent them from competing.</w:t>
      </w:r>
    </w:p>
    <w:p>
      <w:pPr>
        <w:spacing w:after="0" w:line="19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may encounter problems in protecting and defending intellectual property rights in foreign jurisdictions. The legal systems of some countries where we may apply for registration of intellectual property may not favor the enforcement of patents and other intellectual property rights, which could make it difficult for us to stop the infringement, misappropriation, or other violation of our intellectual property rights generally. Proceedings to enforce our intellectual property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00"/>
          </w:cols>
          <w:pgMar w:left="320" w:top="455" w:right="4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In addition, changes in U.S. patent law could diminish the value of patents in general, thereby impairing our ability to protect our innovations in the United States. The patent grant system in the United States has recently transitioned from a “first-to-invent” to a “first-to-file” system for deciding which party should be granted a patent when two or more patent applications are filed by different parties claiming the same invention. Under the current “first-to-file” system, assuming the other requirements for patentability are met, the first inventor to file a patent application generally will be entitled to a patent on the invention regardless of whether another inventor had made the invention earlier. As such, a third party that files a patent application in the United States Patent and Trademark Office before us could be awarded a patent covering an invention of ours even if we made the invention before it was made by the third party. This and other changes in the U.S. patent law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292" w:lineRule="exact"/>
        <w:rPr>
          <w:sz w:val="20"/>
          <w:szCs w:val="20"/>
          <w:color w:val="auto"/>
        </w:rPr>
      </w:pPr>
    </w:p>
    <w:p>
      <w:pPr>
        <w:ind w:left="12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patent applications may not issue as patents, which may have a material adverse effect on our ability to prevent others from commercially exploiting products and services similar to ours.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cannot be certain that we are the first inventor of the subject matter to which we have filed a particular patent application, or if we are the first party to file such a patent application. If another party has filed a patent application to the same subject matter as we have, we may not be entitled to the protection sought by the patent application. Further, the scope of protection of issued patent claims is often difficult to determine. As a result, we cannot be certain that the patent applications that we file will issue, or that our issued patents will be broad enough to protect our proprietary rights or otherwise afford protection against competitors with similar technology. In addition, the issuance of a patent is not conclusive as to its inventorship, scope, validity or enforceability. Our competitors may challenge or seek to invalidate our issued patents, or design around our issued patents, which may adversely affect our business, prospects, financial condition or operating results. Also, the costs associated with enforcing patents, confidentiality and invention agreements, or other intellectual property rights may make aggressive enforcement impracticable.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 addition to patented technology, we rely on our unpatented proprietary technology, trade secrets, processes and know-how.</w:t>
      </w:r>
    </w:p>
    <w:p>
      <w:pPr>
        <w:spacing w:after="0" w:line="121"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We rely on proprietary information (such as trade secrets, know-how and confidential information) to protect intellectual property that may not be patentable, or that we believe is best protected by means that do not require public disclosure. We generally seek to protect this proprietary information by entering into confidentiality agreements, or consulting, services or employment agreements that contain non-disclosure and non-use provisions with our employees, consultants, contractors, scientific advisors and third parties. However, we cannot guarantee that we have entered into such agreements with each party that has or may have had access to our trade secrets or proprietary information and, even if entered into, these agreements may be breached or may otherwise fail to prevent disclosure, third-party infringement or misappropriation of our proprietary information, may be limited as to their term and may not provide an adequate remedy in the event of unauthorized disclosure or use of proprietary information. We have limited control over the protection of trade secrets used by our third-party manufacturers and suppliers and could lose future trade secret protection if any unauthorized disclosure of such information occurs. In addition, our proprietary information may otherwise become known or be independently developed by our competitors or other third parties. To the extent that our employees, consultants, contractors and other third parties use intellectual property owned by others in their work for us, disputes may arise as to the rights in related or resulting know-how and inventions. Costly and time-consuming litigation could be necessary to enforce and determine the scope of our proprietary rights, and failure to obtain or maintain protection for our proprietary information could adversely affect our competitive business position. Furthermore, laws regarding trade secret rights in certain markets where we operate may afford little or no protection to our trade secrets. If any of our trade secrets were to be lawfully obtained or independently developed by a competitor or other third party, we would have no right to prevent them from using that trade secret to compete with us. If any of our trade secrets were to be disclosed (whether lawfully or otherwise) to or</w:t>
      </w:r>
    </w:p>
    <w:p>
      <w:pPr>
        <w:spacing w:after="0" w:line="1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00"/>
          </w:cols>
          <w:pgMar w:left="320" w:top="455" w:right="4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independently developed by a competitor or other third party, our business, operating results, and financial condition will be materially and adversely affected.</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also rely on physical and electronic security measures to protect our proprietary information, but we cannot guarantee that these security measures provide adequate protection for such proprietary information or will never be breached. There is risk that third parties may obtain unauthorized access to and improperly utilize or disclose our proprietary information, which could harm our competitive advantages. We may not be able to detect or prevent the unauthorized access to or use of our information by third parties, and we may not be able to take appropriate and timely steps to mitigate the damages, or the damages may not be capable of being mitigated or remedied.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intellectual property infringement claims, which may be expensive to defend and may disrupt our business and operations.</w:t>
      </w:r>
    </w:p>
    <w:p>
      <w:pPr>
        <w:spacing w:after="0" w:line="121" w:lineRule="exact"/>
        <w:rPr>
          <w:sz w:val="20"/>
          <w:szCs w:val="20"/>
          <w:color w:val="auto"/>
        </w:rPr>
      </w:pPr>
    </w:p>
    <w:p>
      <w:pPr>
        <w:ind w:left="120" w:right="80" w:firstLine="440"/>
        <w:spacing w:after="0" w:line="252" w:lineRule="auto"/>
        <w:rPr>
          <w:sz w:val="20"/>
          <w:szCs w:val="20"/>
          <w:color w:val="auto"/>
        </w:rPr>
      </w:pPr>
      <w:r>
        <w:rPr>
          <w:rFonts w:ascii="Times New Roman" w:cs="Times New Roman" w:eastAsia="Times New Roman" w:hAnsi="Times New Roman"/>
          <w:sz w:val="18"/>
          <w:szCs w:val="18"/>
          <w:color w:val="auto"/>
        </w:rPr>
        <w:t>The industry in which our business operates is characterized by a large number of patents, some of which may be of questionable scope, validity or enforceability, and some of which may appear to overlap with other issued patents. As a result, there is a significant amount of uncertainty in the industry regarding patent protection and infringement. In recent years, there has been significant litigation globally involving patents and other intellectual property rights. Third parties have asserted, and may in the future assert, that we have infringed, misappropriated or otherwise violated their intellectual property rights. We may not be able to obtain a commercially reasonable license or a license that we obtain (if any) may not entirely resolve the potential risks of intellectual property infringement. As we face increasing competition and as a public company, the possibility of intellectual property rights claims against us grows. Such claims and litigation may involve one or more of our competitors focused on using their patents and other intellectual property to obtain competitive advantage, or patent holding companies or other adverse intellectual property rights holders who have no relevant product and service revenue, and therefore our own pending patents and other intellectual property rights may provide little or no deterrence to these rights holders in bringing intellectual property rights claims against us. There may be intellectual property rights held by others, including issued or pending patents and trademarks, that cover significant aspects of our technologies or business methods, and we cannot assure that we are not infringing or violating, and have not infringed or violated, any third-party intellectual property rights or that we will not be held to have done so or be accused of doing so in the future. In addition, because patent applications can take many years until the patents issue, there may be applications now pending of which we are unaware, which may later result in issued patents that our products and services may infringe. We expect that in the future we may receive notices that claim we or our collaborators have misappropriated or misused other parties’ intellectual property rights, particularly as the number of competitors in our market grows.</w:t>
      </w:r>
    </w:p>
    <w:p>
      <w:pPr>
        <w:spacing w:after="0" w:line="195"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To defend ourselves against any intellectual property claims brought by third parties, whether with or without merits, can be time-consuming and could result in substantial costs and a diversion of our resources. These claims and any resulting lawsuits, if resolved adversely to us, could subject us to significant liability for damages, impose temporary or permanent injunctions against our products, technologies or business operations, or invalidate or render unenforceable our intellectual property.</w:t>
      </w:r>
    </w:p>
    <w:p>
      <w:pPr>
        <w:spacing w:after="0" w:line="180" w:lineRule="exact"/>
        <w:rPr>
          <w:sz w:val="20"/>
          <w:szCs w:val="20"/>
          <w:color w:val="auto"/>
        </w:rPr>
      </w:pPr>
    </w:p>
    <w:p>
      <w:pPr>
        <w:ind w:left="120" w:right="240" w:firstLine="440"/>
        <w:spacing w:after="0" w:line="257" w:lineRule="auto"/>
        <w:rPr>
          <w:sz w:val="20"/>
          <w:szCs w:val="20"/>
          <w:color w:val="auto"/>
        </w:rPr>
      </w:pPr>
      <w:r>
        <w:rPr>
          <w:rFonts w:ascii="Times New Roman" w:cs="Times New Roman" w:eastAsia="Times New Roman" w:hAnsi="Times New Roman"/>
          <w:sz w:val="18"/>
          <w:szCs w:val="18"/>
          <w:color w:val="auto"/>
        </w:rPr>
        <w:t>If our technology is determined to infringe a valid and enforceable patent, or if we wish to avoid potential intellectual property litigation on any alleged infringement, misappropriation or other violation of third party intellectual property rights, we may be required to do one or more of the following: (i) cease development, sales, provision or use of our products and services that incorporate or use the asserted intellectual property right;</w:t>
      </w:r>
    </w:p>
    <w:p>
      <w:pPr>
        <w:spacing w:after="0" w:line="1" w:lineRule="exact"/>
        <w:rPr>
          <w:sz w:val="20"/>
          <w:szCs w:val="20"/>
          <w:color w:val="auto"/>
        </w:rPr>
      </w:pPr>
    </w:p>
    <w:p>
      <w:pPr>
        <w:ind w:left="120" w:right="120" w:hanging="4"/>
        <w:spacing w:after="0" w:line="253" w:lineRule="auto"/>
        <w:tabs>
          <w:tab w:leader="none" w:pos="38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from the owner of the asserted intellectual property right, which may be unavailable on commercially reasonable terms, or at all, or which may be non-exclusive, thereby giving our competitors and other third parties access to the same technologies licensed to us; (iii) pay substantial royalties or other damages; or (iv) redesign our technology or one or more aspects or systems of our autonomous driving vehicles to avoid any infringement or allegations thereof. The aforementioned options sometimes may not be commercially feasible. Additionally, in our ordinary course of business, we agree to indemnify our customers, ecosystem</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partners and other commercial counterparties for any infringement arising out of their use of our intellectual property, so we may face liability to our business partners or third parties for indemnification or other remedies in the event that they are sued for infringement.</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may also in the future license third party technology or other intellectual property, and we may face claims that our use of such in-licensed technology or other intellectual property infringes, misappropriates or otherwise violates the intellectual property rights of others. In such cases, we will seek indemnification from our licensors. However, our rights to indemnification may be unavailable or insufficient to cover our costs and losses.</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also may not be successful in any attempt to redesign our technology to avoid any alleged infringement. A successful claim of infringement against us, or our failure or inability to develop and implement non-infringing technology or license the infringed technology on acceptable terms and on a timely basis, could materially adversely affect our business and results of operations. Furthermore, such lawsuits, regardless of their merits or success, would likely be time-consuming and expensive to resolve and would divert management’s time and attention from our business, which could seriously harm our business. Also, such lawsuits, regardless of their merits or success, could seriously harm our reputation with customers and in the industry at large.</w:t>
      </w:r>
    </w:p>
    <w:p>
      <w:pPr>
        <w:spacing w:after="0" w:line="291"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utilize open-source software, which may pose particular risks to our proprietary software, technologies, products, and services in a manner that could harm our business.</w:t>
      </w:r>
    </w:p>
    <w:p>
      <w:pPr>
        <w:spacing w:after="0" w:line="5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We use open-source software in our products and services and anticipate to continue using open-source software in the future. The terms of many open-source licenses to which we are subject have not been interpreted by U.S. or foreign courts, and there is a risk that open-source software licenses could be construed in a manner that imposes unanticipated conditions or restrictions on our ability to provide or distribute our products or services or retain our ownership of our proprietary intellectual property. Additionally, we could face claims from third parties claiming ownership of, or demanding release of, the open-source software or derivative works that we developed using such software, which could include our proprietary source code, or otherwise seeking to enforce the terms of, or alleging breach of, the applicable open-source license. These claims could result in litigation and could require us to purchase a costly license or cease offering the implicated products or services unless and until we can re-engineer them to avoid breach of the applicable open-source software licenses or potential infringement. This re-engineering process could require us to expend significant additional research and development resources, and we cannot guarantee that we will be successful.</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Additionally, the use of certain open-source software can lead to greater risks than use of third-party commercial software, as open-source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licensors generally do not provide warranties or controls on the origin of software. There is typically no support available for open-source software,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cannot ensure that the authors of such open-source software will implement or push updates to address security risks or will not abandon further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development and maintenance. Many of the risks associated with the use of open-source software, such as the lack of warranties or assurances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title, non-infringement or performance, cannot be eliminated, and could, if not properly addressed, negatively affect our business. We have processes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help alleviate these risks, including a review process to disallow any open source code with licenses that will expose our own code and intellectual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property, but we cannot be sure that all open-source software is identified or submitted for approval prior to use in our products and services. Any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these risks could be difficult to eliminate or manage, and, if not addressed properly, could adversely affect our ownership of proprietary intellectual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property, the security of our vehicles, or our business, results of operations and financial condition.</w:t>
      </w:r>
    </w:p>
    <w:p>
      <w:pPr>
        <w:spacing w:after="0" w:line="311"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successful operation of our business depends upon the performance and reliability of internet, mobile and other infrastructures that are beyond our control.</w:t>
      </w:r>
    </w:p>
    <w:p>
      <w:pPr>
        <w:spacing w:after="0" w:line="51" w:lineRule="exact"/>
        <w:rPr>
          <w:sz w:val="20"/>
          <w:szCs w:val="20"/>
          <w:color w:val="auto"/>
        </w:rPr>
      </w:pPr>
    </w:p>
    <w:p>
      <w:pPr>
        <w:ind w:left="120" w:right="800" w:firstLine="440"/>
        <w:spacing w:after="0" w:line="282" w:lineRule="auto"/>
        <w:rPr>
          <w:sz w:val="20"/>
          <w:szCs w:val="20"/>
          <w:color w:val="auto"/>
        </w:rPr>
      </w:pPr>
      <w:r>
        <w:rPr>
          <w:rFonts w:ascii="Times New Roman" w:cs="Times New Roman" w:eastAsia="Times New Roman" w:hAnsi="Times New Roman"/>
          <w:sz w:val="18"/>
          <w:szCs w:val="18"/>
          <w:color w:val="auto"/>
        </w:rPr>
        <w:t>Our business depends on the performance and reliability of internet, mobile and other infrastructures that are not under our control. The functionality, connectivity and safe operation of our autonomous driving vehicles rely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on the mobile communication infrastructure and wireless technology. The occurrence of an unanticipated problem, such as a power outage, telecommunications delay or failure, security breach or computer virus could result in delays or interruptions to our product and service offerings and our technology platform, as well as business interruptions for us and our users, customers and business partners. Any of these events could damage our reputation, significantly disrupt our operations and subject us to liability, which could adversely affect our business, financial condition, and operating results.</w:t>
      </w:r>
    </w:p>
    <w:p>
      <w:pPr>
        <w:spacing w:after="0" w:line="183"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In addition, disruptions in internet infrastructure or GPS signals or the failure of telecommunications network operators to provide us with the bandwidth we need to provide our product and service offerings may interfere with the speed and availability of our technology platform and product and service offerings. For example, if our </w:t>
      </w:r>
      <w:r>
        <w:rPr>
          <w:rFonts w:ascii="Times New Roman" w:cs="Times New Roman" w:eastAsia="Times New Roman" w:hAnsi="Times New Roman"/>
          <w:sz w:val="18"/>
          <w:szCs w:val="18"/>
          <w:i w:val="1"/>
          <w:iCs w:val="1"/>
          <w:color w:val="auto"/>
        </w:rPr>
        <w:t>WeRide Go App</w:t>
      </w:r>
      <w:r>
        <w:rPr>
          <w:rFonts w:ascii="Times New Roman" w:cs="Times New Roman" w:eastAsia="Times New Roman" w:hAnsi="Times New Roman"/>
          <w:sz w:val="18"/>
          <w:szCs w:val="18"/>
          <w:color w:val="auto"/>
        </w:rPr>
        <w:t xml:space="preserve"> is unavailable when users of our robotaxi services attempt to access it due to any disruption to telecommunications network, they may not apply our services as often in the future, or at all, and may use our competitors’ product or service offerings more often. Furthermore, if mobile internet access fees or other charges to internet users increase, consumer traffic to our </w:t>
      </w:r>
      <w:r>
        <w:rPr>
          <w:rFonts w:ascii="Times New Roman" w:cs="Times New Roman" w:eastAsia="Times New Roman" w:hAnsi="Times New Roman"/>
          <w:sz w:val="18"/>
          <w:szCs w:val="18"/>
          <w:i w:val="1"/>
          <w:iCs w:val="1"/>
          <w:color w:val="auto"/>
        </w:rPr>
        <w:t>WeRide Go App</w:t>
      </w:r>
      <w:r>
        <w:rPr>
          <w:rFonts w:ascii="Times New Roman" w:cs="Times New Roman" w:eastAsia="Times New Roman" w:hAnsi="Times New Roman"/>
          <w:sz w:val="18"/>
          <w:szCs w:val="18"/>
          <w:color w:val="auto"/>
        </w:rPr>
        <w:t xml:space="preserve"> may decrease, which may in turn cause our revenue to decrease.</w:t>
      </w:r>
    </w:p>
    <w:p>
      <w:pPr>
        <w:spacing w:after="0" w:line="291"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rights to use our leased properties may be defective and could be challenged by property owners or other third parties, which may disrupt our operations and incur relocation costs.</w:t>
      </w:r>
    </w:p>
    <w:p>
      <w:pPr>
        <w:spacing w:after="0" w:line="5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As of June 30, 2022, we leased a number of premises in mainland China, which are used mainly as headquarters, office space, research and development centers and workshops. Any defects in lessors’ title to the leased properties may disrupt our use of these properties, which may, in turn, affect our business operations. We had not been provided with building ownership certificates or the proofs of having the right to sublease the properties by the respective lessors with regard to five of our leased properties. In addition, our use of one leased property is inconsistent with the legally specified use of the property as provided in its title. Furthermore, under the PRC laws and regulations, all lease agreements are required to be registered with the local land and real estate administration bureau. As June 30, 2022, nine of our leased properties in mainland China had not been registered with the relevant PRC government authorities. Although failure to do so does not in itself invalidate the leases, we may be subject to fines if we fail to rectify such non-compliance within the prescribed time frame after receiving notice from the relevant PRC government authorities. The penalty ranges from RMB1,000 to RMB10,000 for each unregistered lease, at the discretion of the relevant authority. In the event that any fine is imposed on us for our failure to register our lease agreements, we may not be able to recover such losses from the lessors.</w:t>
      </w:r>
    </w:p>
    <w:p>
      <w:pPr>
        <w:spacing w:after="0" w:line="298" w:lineRule="exact"/>
        <w:rPr>
          <w:sz w:val="20"/>
          <w:szCs w:val="20"/>
          <w:color w:val="auto"/>
        </w:rPr>
      </w:pPr>
    </w:p>
    <w:p>
      <w:pPr>
        <w:ind w:left="120"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develop and maintain an effective system of internal control over financial reporting, we may be unable to accurately report our financial results or prevent fraud.</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Prior to this offering, we have been a private company with limited accounting personnel and other resources with which to address our internal control over financial reporting. In connection with the audits of our consolidated financial statements included in this prospectus, we have identified, and our independent registered public accounting firm, in connection with the audits of our consolidated financial statements included in this prospectus, identified, a material weakness in our internal control over financial reporting. As defined in the standards established by the U.S. Public Company Accounting Oversight Board, or PCAOB,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18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material weakness identified is that we lack sufficient financial reporting and accounting personnel with appropriate knowledge of IFRS and the SEC reporting requirements to properly address complex IFRS accounting issues and related disclosures in accordance with IFRS and financial reporting requirements set forth by the SEC. The material weakness, if not remediated timely, may lead to material misstatements in our consolidated financial statements in the future. Neither we nor our independent registered public accounting firm</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undertook a comprehensive assessment of our internal control for purposes of identifying and reporting material weaknesses and other control deficiencies in our internal control over financial reporting. Had we performed a formal assessment of our internal control over financial reporting or had our independent registered public accounting firm performed an audit of our internal control over financial reporting, additional deficiencies may have been identified.</w:t>
      </w:r>
    </w:p>
    <w:p>
      <w:pPr>
        <w:spacing w:after="0" w:line="180"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Following the identification of the material weakness, we have taken measures and plan to continue to take measures to remediate these deficiencies. See “Management’s Discussion and Analysis of Financial Condition and Results of Operations—Internal Control Over Financial Reporting.” However, the implementation of these measures may not fully address these deficiencies in our internal control over financial reporting, and we cannot conclude that they have been fully remediated. Our failure to correct these deficiencies or our failure to discover and address any other deficiencies could result in inaccuracies in our financial statements and impair our ability to comply with applicable financial reporting requirements and related regulatory filings on a timely basis. Moreover, ineffective internal control over financial reporting could significantly hinder our ability to prevent fraud.</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Upon the completion of this offering, we will be subject to the Sarbanes-Oxley Act of 2002. Section 404 of the Sarbanes-Oxley Act, or</w:t>
      </w:r>
    </w:p>
    <w:p>
      <w:pPr>
        <w:spacing w:after="0" w:line="27" w:lineRule="exact"/>
        <w:rPr>
          <w:sz w:val="20"/>
          <w:szCs w:val="20"/>
          <w:color w:val="auto"/>
        </w:rPr>
      </w:pPr>
    </w:p>
    <w:p>
      <w:pPr>
        <w:ind w:left="120" w:right="20"/>
        <w:spacing w:after="0" w:line="251" w:lineRule="auto"/>
        <w:rPr>
          <w:sz w:val="20"/>
          <w:szCs w:val="20"/>
          <w:color w:val="auto"/>
        </w:rPr>
      </w:pPr>
      <w:r>
        <w:rPr>
          <w:rFonts w:ascii="Times New Roman" w:cs="Times New Roman" w:eastAsia="Times New Roman" w:hAnsi="Times New Roman"/>
          <w:sz w:val="18"/>
          <w:szCs w:val="18"/>
          <w:color w:val="auto"/>
        </w:rPr>
        <w:t>Section 404, will require us to include a report from management on the effectiveness of our internal control over financial reporting in our annual report on Form 20-F beginning with our annual report in our second annual report on Form 20-F after becoming a public company. In addition, once we cease to be an “emerging growth company” as such term is defined in the JOBS Act, our independent registered public accounting firm must attest to and report on the effectiveness of our internal control over financial reporting.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 that is qualified if it is not satisfied with our internal control or the level at which our control is documented, designed, operated, or reviewed, or if it interprets the relevant requirements differently from us. In addition, after we become a public company, our reporting obligations may place a significant strain on our management, operational, and financial resources and systems for the foreseeable future. We may be unable to timely complete our evaluation testing and any required remediation.</w:t>
      </w:r>
    </w:p>
    <w:p>
      <w:pPr>
        <w:spacing w:after="0" w:line="193"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During the course of documenting and testing our internal control procedures, in order to satisfy the requirements of Section 404, we may identify other weaknesses and deficiencies in our internal control over financial reporting. In addition, if we fail to maintain adequate and effective internal control over financial reporting, as these standards are modified, supplemented, or amended from time to time, we may not be able to conclude on an ongoing basis that we have effective internal control over financial reporting in accordance with Section 404.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our ADSs. Additionally, ineffective internal control over financial reporting could expose us to increasing risk of fraud or misuse of corporate assets and subject us to potential delisting from the stock exchange on which we list, regulatory investigations, and civil or criminal sanctions. We may also be required to restate our financial statements from prior periods.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insurance coverage, which could expose us to significant costs and business disruption.</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provide social security insurance including pension insurance, unemployment insurance, work-related injury insurance, maternity insurance and medical insurance for our employees. We also provide vehicle insurance for all of our vehicles in operation. However, insurance companies in China currently offer limited business-related insurance products. Consistent with customary industry practice in China, we do not maintain business interruption insurance or key-man insurance. We cannot assure you that our insurance coverage is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40"/>
          </w:cols>
          <w:pgMar w:left="320" w:top="455" w:right="4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sufficient to prevent us from any loss or that we will be able to successfully claim our losses under our current insurance policy on a timely basis, or at all. If we incur any loss that is not covered by our insurance policies, or the compensated amount is significantly less than our actual loss, our business, financial condition and results of operations could be materially and adversely affected.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from time to time, be subject to legal proceedings during the course of our business operations.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may be subject to legal proceedings or administrative penalties from time to time in the ordinary course of our business, which could have a material adverse effect on our business, results of operations and financial condition. For example, we are currently subject to certain labor disputes. Claims arising out of actual or alleged violations of law could be asserted against us by consumers and businesses that utilize our services, by competitors, or by governmental entities in civil or criminal investigations and proceedings or by other entities. These claims could be asserted under a variety of laws, including but not limited to transportation and vehicle regulations, product liability laws, consumer protection laws, intellectual property laws, unfair competition laws, privacy laws, labor and employment laws, securities laws, real estate laws, tort laws, contract laws, property laws and employee benefit laws. We may continue to be involved in various legal or administrative proceedings and there is no guarantee that we will be successful in defending ourselves in legal and administrative actions or in asserting our rights under various laws. Even if we are successful in our attempt to defend ourselves in legal and administrative actions or to assert our rights under various laws, enforcing our rights against the various parties involved may be expensive, time-consuming and ultimately futile. These actions could expose us to negative publicity and to substantial monetary damages and legal defense costs, injunctive relief and criminal and civil fines and penalties, including but not limited to suspension or revocation of licenses to conduct business.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 severe or prolonged downturn in the Chinese or global economy could materially and adversely affect our business and financial condition.</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COVID-19 has had a severe and negative impact on the Chinese and global economy since early 2020. Whether this will lead to a prolonged downturn in the economy is still unknown. Even before the outbreak of COVID-19, the global macroeconomic environment had been facing challenges. The future trend of the Chinese economy is uncertain. There is considerable uncertainty over the long-term effects of the monetary and fiscal policies adopted by the central banks and financial authorities of some of the world’s leading economies, including the United States and China. The conflict in Ukraine and the imposition of broad economic sanctions on Russia could raise energy prices and disrupt global markets. There have been concerns over unrest and terrorist threats in the Middle East, Europe and Africa. There have also been concerns on the relationship between China and other countries, which may potentially lead to foreign investors closing down their businesses or withdrawing their investments in mainland China and, thus, exiting the China market, and other economic effects. In particular, there is significant uncertainty about the future relationship between the United States and China with respect to trade policies, treaties, government regulations and tariffs. Economic conditions in mainland China are sensitive to global economic conditions, as well as changes in domestic economic and political policies and the expected or perceived overall economic growth rate in mainland China. Any severe or prolonged slowdown in the global or Chinese economy may have a negative impact on our business, results of operations and financial condition, and continued turbulence in the international markets may adversely affect our ability to access the capital markets to meet liquidity needs. Our customers may reduce or delay purchasing or using our products and services, while we may have difficulty expanding our offerings and commercialization fast enough, or at all, to offset the impact of decreased demand by our existing customers.</w:t>
      </w:r>
    </w:p>
    <w:p>
      <w:pPr>
        <w:spacing w:after="0" w:line="3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by natural disasters, public health crises, political crises, economic downturns or other unexpected events.</w:t>
      </w:r>
    </w:p>
    <w:p>
      <w:pPr>
        <w:spacing w:after="0" w:line="121"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A significant natural disaster, such as an earthquake, fire, hurricane, tornado, flood or significant power outage, could disrupt our operations, mobile networks, the internet or the operations of our third-party technology providers. In addition, any further outbreaks of COVID-19 or other unforeseen public health crises in addition to</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00"/>
          </w:cols>
          <w:pgMar w:left="320" w:top="455" w:right="4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COVID-19, or political crises, such as terrorist attacks, war and other political instability, or other catastrophic events, whether in mainland China or abroad, could adversely affect our operations or the economies of the markets where we operate. Any such occurrences could cause severe disruption to our daily operations, including our research and development center and conducting test-drives of our autonomous driving vehicles, and may even require a temporary closure of our facilities. In recent years, there have been outbreaks of epidemics in mainland China and globally. Any natural disaster, act of terrorism or other disruption to us or our business partners’ abilities could result in decreased demand for our product and service offerings or a delay in the provision of our offerings, which could adversely affect our business, financial condition and results of operations. All of the aforementioned risks may be further increased if our disaster recovery plans prove to be inadequate. Disruptions or downturns in global or national or local economic conditions may cause demand for autonomous driving services to decline. An economic downturn resulting in a prolonged recessionary period would have a material adverse effect on our business, financial condition, and operating results.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Corporate Structure</w:t>
      </w:r>
    </w:p>
    <w:p>
      <w:pPr>
        <w:spacing w:after="0" w:line="117" w:lineRule="exact"/>
        <w:rPr>
          <w:sz w:val="20"/>
          <w:szCs w:val="20"/>
          <w:color w:val="auto"/>
        </w:rPr>
      </w:pPr>
    </w:p>
    <w:p>
      <w:pPr>
        <w:ind w:left="12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regulations or interpretation of the existing regulations change in the future, we could be subject to penalties or be forced to relinquish our interests in the VIE.</w:t>
      </w:r>
    </w:p>
    <w:p>
      <w:pPr>
        <w:spacing w:after="0" w:line="5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Tony Xu Han, Hua Zhong and Li Zhang hold 40.0%, 30.0% and 30.0% of the equity interests in the VIE, respectively. We have entered into a series of contractual arrangements with the VIE and its shareholders through our WFOE. The contractual arrangements which enable us to:</w:t>
      </w:r>
    </w:p>
    <w:p>
      <w:pPr>
        <w:spacing w:after="0" w:line="67" w:lineRule="exact"/>
        <w:rPr>
          <w:sz w:val="20"/>
          <w:szCs w:val="20"/>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direct the activities of the VIE;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substantially all of the economic benefits of the VIE;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an exclusive option to purchase all or part of the equity interests in the VIE when and to the extent permitted by PRC law.</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As a result of these contractual arrangements, we are considered to have (i) the power to direct the management, financial and operating policies of the VIE, and (ii) exposure or rights to variable returns from its involvement with the VIE and the ability to use our power over the VIE to affect the amount of the returns. As a result, we treat the VIE and its subsidiaries as our consolidated entities under IFRS. We are in the process of unwinding the VIE structure and terminating the contractual arrangements among the WFOE, the VIE and its nominee shareholders, after which the VIE will become a wholly-owned subsidiary of our company. We expect to complete the unwinding of the VIE structure within the next six weeks. For a detailed discussion of these contractual arrangements, see “Corporate History and Structure.” Investors in our Class A ordinary shares or the ADSs will not purchase equity interest in the VIE in mainland China but instead will purchase equity interest in a Cayman Islands holding company with no equity ownership in the VIE.</w:t>
      </w:r>
    </w:p>
    <w:p>
      <w:pPr>
        <w:spacing w:after="0" w:line="192" w:lineRule="exact"/>
        <w:rPr>
          <w:sz w:val="20"/>
          <w:szCs w:val="20"/>
          <w:color w:val="auto"/>
        </w:rPr>
      </w:pPr>
    </w:p>
    <w:p>
      <w:pPr>
        <w:ind w:left="120" w:firstLine="440"/>
        <w:spacing w:after="0" w:line="276" w:lineRule="auto"/>
        <w:rPr>
          <w:sz w:val="20"/>
          <w:szCs w:val="20"/>
          <w:color w:val="auto"/>
        </w:rPr>
      </w:pPr>
      <w:r>
        <w:rPr>
          <w:rFonts w:ascii="Times New Roman" w:cs="Times New Roman" w:eastAsia="Times New Roman" w:hAnsi="Times New Roman"/>
          <w:sz w:val="17"/>
          <w:szCs w:val="17"/>
          <w:color w:val="auto"/>
        </w:rPr>
        <w:t>In the opinion of Commerce &amp; Finance Law Offices, our PRC legal counsel, (i) the ownership structures of the VIE and our WFOE, currently and immediately after giving effect to this offering, do not and will not result in violation of applicable PRC laws and regulations currently in effect; and</w:t>
      </w:r>
    </w:p>
    <w:p>
      <w:pPr>
        <w:spacing w:after="0" w:line="1" w:lineRule="exact"/>
        <w:rPr>
          <w:sz w:val="20"/>
          <w:szCs w:val="20"/>
          <w:color w:val="auto"/>
        </w:rPr>
      </w:pPr>
    </w:p>
    <w:p>
      <w:pPr>
        <w:ind w:left="120" w:hanging="4"/>
        <w:spacing w:after="0" w:line="251" w:lineRule="auto"/>
        <w:tabs>
          <w:tab w:leader="none" w:pos="38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arrangements among our WFOE, the VIE and its shareholders governed by PRC laws are currently valid and binding in accordance with applicable PRC laws and regulations currently in effect, and do not result in any violation of applicable PRC laws and regulations currently in effect. However, our PRC legal counsel has also advised us that there are substantial uncertainties regarding the interpretation and application of current and future PRC laws, regulations and rules. Accordingly, the PRC regulatory authorities may take a view that is contrary to the opinion of our PRC legal counsel. It is also uncertain whether any new PRC laws or regulations relating to variable interest entity structures will be adopted or if adopted, what they would provide. If we or the VIE are found to be in violation of any existing or future PRC laws or regulations, or fail to obtain or maintain any of the required permits or approvals, the relevant PRC regulatory authorities would have broad discretion to take action in dealing with such violations or failures.</w:t>
      </w:r>
    </w:p>
    <w:p>
      <w:pPr>
        <w:spacing w:after="0" w:line="1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00"/>
          </w:cols>
          <w:pgMar w:left="320" w:top="455" w:right="4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Our holding company in the Cayman Islands, the VIE and investors of our company face uncertainty about potential future actions by the PRC government that could affect the enforceability of the contractual arrangements with the VIE and, consequently, significantly affect the financial performance of the VIE and our company as a whole. If we or the VIE are found to be in violation of any existing or future PRC laws or regulations, or fail to obtain or maintain any of the required permits or approvals, the relevant PRC regulatory authorities would have broad discretion to take action in dealing with such violations or failures, including:</w:t>
      </w:r>
    </w:p>
    <w:p>
      <w:pPr>
        <w:spacing w:after="0" w:line="89" w:lineRule="exact"/>
        <w:rPr>
          <w:sz w:val="20"/>
          <w:szCs w:val="20"/>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revoking the business licenses and/or operating licenses of such entities;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discontinuing or placing restrictions or onerous conditions on our operations;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imposing fines, confiscating the income from our WFOE or the VIE, or imposing other requirements with which we or the VIE may not be able to comply;</w:t>
      </w:r>
    </w:p>
    <w:p>
      <w:pPr>
        <w:spacing w:after="0" w:line="67"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restructure our ownership structure or operations, including terminating the contractual arrangements with the VIE and deregistering the equity pledges of the VIE, which in turn would affect our ability to consolidate, derive economic interests from, or direct the activities of the VIE; 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or prohibiting our use of the proceeds of this offering to finance our business and operations in mainland China.</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imposition of any of these penalties would result in a material and adverse effect on our ability to conduct our business. In addition, it is unclear what impact the PRC government actions would have on us and on our ability to consolidate the financial results of our VIE in our consolidated financial statements, if the PRC government authorities were to find our legal structure and contractual arrangements to be in violation of PRC laws and regulations. If the imposition of any of these government actions causes us to lose our power to direct the management, financial and operating policies of the VIE or our exposure or rights to variable returns from our involvement with the VIE as well as the ability to use our power over the VIE to affect the amount of the returns, and we are not able to restructure our ownership structure and operations in a satisfactory manner, we would no longer be able to consolidate the financial results of our VIE in our consolidated financial statements in accordance with IFRS. Our ADSs may decline in value or become worthless if we are unable to assert our contractual rights over the assets of our VIE. Any of these results, or any other significant penalties that might be imposed on us in this event, would have a material adverse effect on our financial condition and results of operations.</w:t>
      </w:r>
    </w:p>
    <w:p>
      <w:pPr>
        <w:spacing w:after="0" w:line="292" w:lineRule="exact"/>
        <w:rPr>
          <w:sz w:val="20"/>
          <w:szCs w:val="20"/>
          <w:color w:val="auto"/>
        </w:rPr>
      </w:pPr>
    </w:p>
    <w:p>
      <w:pPr>
        <w:ind w:left="120"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Uncertainties may exist with respect to the interpretation and implementation of the PRC Foreign Investment Law and how it may impact the viability of our current corporate structure, corporate governance and business operations.</w:t>
      </w:r>
    </w:p>
    <w:p>
      <w:pPr>
        <w:spacing w:after="0" w:line="5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On March 15, 2019, the National People’s Congress promulgated the Foreign Investment Law, which took effect on January 1, 2020. Since it is relatively new, uncertainties exist in relation to its interpretation and implementation. The Foreign Investment Law does not explicitly classify whether variable interest entities that are consolidated through contractual arrangements would be deemed as foreign invested enterprises if they are consolidated by, and their business activities are directed by, foreign investors. However, it has a catch-all provision under definition of “foreign investment” that includes investments made by foreign investors in mainland China through other means as provided by laws, administrative regulations or the State Council. Therefore, it still leaves leeway for future laws, administrative regulations or provisions of the State Council to provide for contractual arrangements as a form of foreign investment, and it remains uncertain whether our contractual arrangements will be deemed to be in violation of the market access requirements for foreign investment in the PRC and if yes, how our contractual arrangements should be dealt with.</w:t>
      </w:r>
    </w:p>
    <w:p>
      <w:pPr>
        <w:spacing w:after="0" w:line="192"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The Foreign Investment Law grants national treatment to foreign-invested entities, except for those foreign-invested entities that operate in industries specified as either “restricted” or “prohibited” from foreign investment in the Special Administrative Measures (Negative List) for Foreign Investment Access jointly promulgated by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20"/>
          </w:cols>
          <w:pgMar w:left="320" w:top="45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Ministry of Commerce, or MOFCOM, and the National Development and Reform Commission as amended from time to time. The Foreign Investment Law provides that foreign-invested entities operating in “restricted” or “prohibited” industries will require market entry clearance and other approvals from relevant PRC government authorities. On December 26, 2019, the Supreme People’s Court issued the Interpretations on Certain Issues Regarding the Application of Foreign Investment Law, or the FIL Interpretations, which came into effect on January 1, 2020. In accordance with the FIL Interpretations, any claim to invalidate an investment agreement will be supported by courts if such agreement is found to be entered into for purposes of making investments in the “prohibited industries” under the negative list or for purposes of investing in “restricted industries” while failing to satisfy the conditions set out in the Negative List. If our consolidation of the VIE through contractual arrangements is deemed as foreign investment in the future, and any business of the VIE is “restricted” or “prohibited” from foreign investment under the “negative list” effective at the time, we may be deemed to be in violation of the Foreign Investment Law, the contractual arrangements that allow us to consolidate the VIE and direct its activities may be deemed as invalid and illegal, and we may be required to unwind such contractual arrangements and/or restructure our business operations, any of which may have a material adverse effect on our business operation.</w:t>
      </w:r>
    </w:p>
    <w:p>
      <w:pPr>
        <w:spacing w:after="0" w:line="19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Furthermore, if future laws, administrative regulations or provisions mandate further actions to be taken by companies with respect to existing contractual arrangements, we may face substantial uncertainties as to whether we can complete such actions in a timely manner, or at all. Failure to take timely and appropriate measures to cope with any of these or similar regulatory compliance challenges could materially and adversely affect our current corporate structure and business operations.</w:t>
      </w:r>
    </w:p>
    <w:p>
      <w:pPr>
        <w:spacing w:after="0" w:line="284"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contractual arrangements with the VIE and its nominee shareholders to direct the business operations of the VIE, which may not be as effective as equity ownership in directing its business operations.</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VIE and its subsidiaries contributed 25%, 10% and 25% of our consolidated total revenue in 2020, 2021 and the six months ended June 30, 2022, respectively. We rely on contractual arrangements with the VIE and its nominee shareholders to direct the business operations of the VIE. For a description of these contractual arrangements, see “Corporate History and Structure.” These contractual arrangements may not be as effective as equity ownership in providing us with the power to direct the activities of the VIE. The nominee shareholders of the VIE may not act in the best interests of our company or may not perform their obligations under these contracts. For example, the VIE and its nominee shareholders could breach their contractual arrangements with us by, among other things, failing to conduct their operations in an acceptable manner or taking other actions that are detrimental to our interests.</w:t>
      </w:r>
    </w:p>
    <w:p>
      <w:pPr>
        <w:spacing w:after="0" w:line="18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If we had equity ownership of the VIE, we would be able to exercise our rights as a shareholder to effect changes in the board of directors of the VIE, which in turn could effect changes, subject to any applicable fiduciary obligations, at the management level. However, under the current contractual arrangements, we rely on the performance by the VIE and its shareholders of their obligations under the contracts to direct the activities of and consolidate the financial results of the VIE, and we would rely on legal remedies under PRC laws for breach of contract in the event that the VIE and its shareholders did not perform their obligations under the contracts. These legal remedies may not be effective as equity ownership in providing us with the power to direct the activities of the VIE. The shareholders of the VIE may not act in the best interests of our company or may not perform their obligations under these contracts. Such risks exist throughout the period in which we intend to direct the business operations of the VIE through the contractual arrangements with the VIE and its shareholders.</w:t>
      </w:r>
    </w:p>
    <w:p>
      <w:pPr>
        <w:spacing w:after="0" w:line="296" w:lineRule="exact"/>
        <w:rPr>
          <w:sz w:val="20"/>
          <w:szCs w:val="20"/>
          <w:color w:val="auto"/>
        </w:rPr>
      </w:pPr>
    </w:p>
    <w:p>
      <w:pPr>
        <w:ind w:left="120"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by the VIE or its nominee shareholders to perform their obligations under our contractual arrangements with them would have a material and adverse effect on our business.</w:t>
      </w:r>
    </w:p>
    <w:p>
      <w:pPr>
        <w:spacing w:after="0" w:line="51"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Although the nominee shareholders of the VIE hold equity interests on record in the VIE, each such shareholder has irrevocably authorized WFOE or its designated person to exercise his rights as a shareholder of the VIE pursuant to the terms of the relevant nominee shareholders’ voting rights proxy agreement. However, if</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20"/>
          </w:cols>
          <w:pgMar w:left="320" w:top="455"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VIE or its nominee shareholders fail to perform their respective obligations under the contractual arrangements, we may have to incur substantial costs and expend additional resources to enforce such arrangements. We may also have to rely on possible remedies under PRC law, including seeking specific performance or injunctive relief, and claiming damages, which we cannot assure you will be sufficient or effective under PRC law. For example, if the shareholders of the VIE were to refuse to transfer their equity interest in the VIE to us or our designee when we exercise the purchase option pursuant to these contractual arrangements, or if they were otherwise to act in bad faith toward us, we may have to take legal actions to compel them to perform their contractual obligations.</w:t>
      </w:r>
    </w:p>
    <w:p>
      <w:pPr>
        <w:spacing w:after="0" w:line="187"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If the VIE or its nominee shareholders fail to perform their obligations under the contractual arrangements, we may have to incur substantial costs and expend additional resources to enforce such arrangements. All the agreements under our contractual arrangements are governed by PRC law and provide for the resolution of disputes through arbitration in mainland China. Accordingly, these contracts would be interpreted in accordance with PRC law and any disputes would be resolved in accordance with PRC legal procedures. The legal system in the PRC is not as developed as in some other jurisdictions, such as the United States. As a result, uncertainties in the PRC legal system could limit our ability to enforce these contractual arrangements. See “—Risks Relating to Doing Business in Mainland China—Uncertainties with respect to the PRC legal system and changes in laws and regulations in mainland China could adversely affect us.” Meanwhile, based on officially published and publicly available judgements, the legality and validity of VIE contractual arrangements have not been tested in a court of law in the PRC. There are very few precedents as to whether contractual arrangements would be judged to form effective control over the VIE through the contractual arrangements, or how contractual arrangements in the context of a variable interest entity should be interpreted or enforced by the PRC courts. Should legal actions become necessary, we cannot guarantee that the court will rule in favor of the enforceability of the variable interest entity contractual arrangements. In the event we are unable to enforce these contractual arrangements, or if we suffer significant delay or other obstacles in the process of enforcing these contractual arrangements, we may not be able to effectively direct the activities of the VIE, and our ability to receive economic benefits from the VIE, and in turn, our financial condition and results of operations, may be materially adversely affected.</w:t>
      </w:r>
    </w:p>
    <w:p>
      <w:pPr>
        <w:spacing w:after="0" w:line="301"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nominee shareholders of the VIE may have potential conflicts of interest with us, which may materially and adversely affect our business and financial condition.</w:t>
      </w:r>
    </w:p>
    <w:p>
      <w:pPr>
        <w:spacing w:after="0" w:line="51"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Tony Xu Han, Hua Zhong and Li Zhang hold 40.0%, 30.0% and 30.0% of the equity interests in the VIE, respectively. The nominee shareholders of the VIE have entered into a series of contractual arrangements with our WFOE and the VIE, pursuant to which we have the power to direct the activities of the VIE and are the primary beneficiary of the VIE. The enforceability of the contractual agreements between our company and the VIE depends on whether the VIE and the nominee shareholders of the VIE will honor the contractual agreement. The nominee shareholders of the VIE may have potential conflicts of interest with us. They may breach, or cause the VIE to breach, or refuse to renew, the existing contractual arrangements we have with them and the VIE, which would have a material and adverse effect on our ability to effectively direct the activities of and consolidate the financial results of the VIE and receive substantially all the economic benefits from them. For example, the nominee shareholders may be able to cause our agreements with the VIE to be performed in a manner adverse to us by, among other things, failing to remit payments due under the contractual arrangements to us on a timely basis. We cannot assure you that when conflicts of interest arise, any or all of these nominee shareholders will act in the best interests of our company or such conflicts will be resolved in our favor.</w:t>
      </w:r>
    </w:p>
    <w:p>
      <w:pPr>
        <w:spacing w:after="0" w:line="194"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Currently, we do not have any arrangements to address potential conflicts of interest between these nominee shareholders and our company, except that we could exercise our purchase option under the exclusive option agreements with these nominee shareholders to request them to transfer all of their equity interests in the VIE to a PRC entity or individual designated by us, to the extent permitted by PRC law. For individuals who are also our directors, we rely on them to abide by the laws of the Cayman Islands, which provide that directors owe a fiduciary duty to the company that requires them to act in good faith and in what they believe to be the best interests of the company and not to use their position for personal gains. The nominee shareholders of the VIE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20"/>
          </w:cols>
          <w:pgMar w:left="320" w:top="455"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have executed powers of attorney to appoint our WFOE or a person designated by our WFOE to vote on their behalf and exercise voting rights as shareholders of the VIE. If we cannot resolve any conflict of interest or dispute between us and the nominee shareholders of the VIE, we would have to rely on legal proceedings, which could result in disruption of our business and subject us to substantial uncertainty as to the outcome of any such legal proceedings.</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nominee shareholders of the VIE may be involved in personal disputes with third parties or other incidents that may have an adverse effect on their respective equity interests in the VIE and the validity or enforceability of our contractual arrangements with the VIE and its nominee shareholders. For example, in the event that any of the nominee shareholders of the VIE divorces his spouse, the spouse may claim that the equity interest of the VIE held by such nominee shareholder is part of their community property and should be divided between such nominee shareholder and his or her spouse. If such claim is supported by the court, the relevant equity interest may be obtained by the nominee shareholder’s spouse or another third party who is not subject to obligations under our contractual arrangements, which could result in a loss of the ability to direct the activities of the VIE by us. Similarly, if any of the equity interests of the VIE is inherited by a third party with whom the current contractual arrangements are not binding, we could lose our ability to direct the activities of and consolidate the financial results of the VIE or have to maintain such relationship with the VIE by incurring unpredictable costs, which could cause significant disruption to our business and operations and harm our financial condition and results of operations.</w:t>
      </w:r>
    </w:p>
    <w:p>
      <w:pPr>
        <w:spacing w:after="0" w:line="188"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Although under our current contractual arrangements, (i) each of the spouses of Tony Xu Han, Hua Zhong and Li Zhang has respectively executed a spousal consent letter, under which each spouse agrees that she will not assert any rights to the equity interests held by the nominee shareholders of the VIE, and will take every action to ensure the performance of the contractual arrangements, and (ii) the VIE and its nominee shareholders shall not assign any of their respective rights or obligations to any third party without the prior written consent of our WFOE, we cannot assure you that these undertakings and arrangements will be complied with or effectively enforced. In the case any of them is breached or becomes unenforceable and leads to legal proceedings, it could disrupt our business, distract our management’s attention and subject us to substantial uncertainties as to the outcome of any such legal proceedings.</w:t>
      </w:r>
    </w:p>
    <w:p>
      <w:pPr>
        <w:spacing w:after="0" w:line="293"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Contractual arrangements in relation to the VIE may be subject to scrutiny by the PRC tax authorities and they may determine that we or the VIE owes additional taxes, which could negatively affect our financial condition and the value of your investment.</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Under applicable PRC laws and regulations, arrangements and transactions among related parties may be subject to audit or challenge by the PRC tax authorities. We could face material and adverse tax consequences if the PRC tax authorities determine that the contractual arrangements in relation to VIE were not entered into on an arm’s-length basis in such a way as to result in an impermissible reduction in taxes under applicable PRC laws, rules and regulations, and adjust the income of the VIE in the form of a transfer pricing adjustment. A transfer pricing adjustment could, among other things, result in a reduction of expense deductions recorded by the VIE for PRC tax purposes, which could in turn increase their tax liabilities. In addition, the PRC tax authorities may impose punitive interest and other penalties on the VIE for the adjusted but unpaid taxes according to the applicable regulations. Our financial position could be materially and adversely affected if the VIE’ tax liabilities increase or if they are required to pay punitive interest and other penalties.</w:t>
      </w:r>
    </w:p>
    <w:p>
      <w:pPr>
        <w:spacing w:after="0" w:line="296"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lose the ability to use and enjoy assets held by the VIE that are material to the operation of certain portion of our business if the VIE go bankrupt or become subject to a dissolution or liquidation proceeding.</w:t>
      </w:r>
    </w:p>
    <w:p>
      <w:pPr>
        <w:spacing w:after="0" w:line="51"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VIE and its subsidiaries hold certain assets that are material to the operation of certain portion of our business, mainly intellectual property. If the VIE go bankrupt and all or part of their assets become subject to liens or rights of third-party creditors, we may be unable to continue some or all of our business activities, which could materially and adversely affect our business, financial condition and results of operations. Under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20"/>
          </w:cols>
          <w:pgMar w:left="320" w:top="455"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contractual arrangements, the VIE may not, in any manner, sell, transfer, mortgage or dispose of their assets or legal or beneficial interests in the business without our prior consent. If the VIE undergo a voluntary or involuntary liquidation proceeding, independent third-party creditors may claim rights to some or all of these assets, thereby hindering our ability to operate our business, which could materially and adversely affect our business, financial condition and results of operations.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Doing Business in Mainland China</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PCAOB had historically been unable to inspect our auditor in relation to their audit work.</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Our auditor, the independent registered public accounting firm that issues the audit report included elsewhere in this prospectus, as an auditor of companies that are traded publicly in the United States and a firm registered with the PCAOB, is subject to laws in the United States pursuant to which the PCAOB conducts regular inspections to assess its compliance with the applicable professional standards. Our auditor is located in mainland China, a jurisdiction where the PCAOB was historically unable to conduct inspections and investigations completely before 2022. The inability of the PCAOB to conduct inspections of auditors in China in the past has made it more difficult to evaluate the effectiveness of our independent registered public accounting firm’s audit procedures or quality control procedures as compared to auditors outside of mainland China that are subject to the PCAOB inspections. On December 15, 2022, the PCAOB issued a report that vacated its December 16, 2021 determination and removed mainland China and Hong Kong from the list of jurisdictions where it is unable to inspect or investigate completely registered public accounting firms. However,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 we and investors in our ADSs would be deprived of the benefits of such PCAOB inspections, which could cause investors and potential investors in the ADSs to lose confidence in our audit procedures and reported financial information and the quality of our financial statements.</w:t>
      </w:r>
    </w:p>
    <w:p>
      <w:pPr>
        <w:spacing w:after="0" w:line="294"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ADSs may be prohibited from trading in the United States under the HFCAA in the future if the PCAOB is unable to inspect or investigate completely auditors located in China. The delisting of the ADSs, or the threat of their being delisted, may materially and adversely affect the value of your investment.</w:t>
      </w:r>
    </w:p>
    <w:p>
      <w:pPr>
        <w:spacing w:after="0" w:line="67"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Pursuant to the Holding Foreign Companies Accountable Act, or the HFCAA, if the SEC determines that we have filed audit reports issued by a registered public accounting firm that has not been subject to inspections by the PCAOB for two consecutive years, the SEC will prohibit our shares or ADSs from being traded on a national securities exchange or in the over-the-counter trading market in the United States.</w:t>
      </w:r>
    </w:p>
    <w:p>
      <w:pPr>
        <w:spacing w:after="0" w:line="176"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On December 16, 2021, the PCAOB issued a report to notify the SEC of its determination that the PCAOB was unable to inspect or investigate completely registered public accounting firms headquartered in mainland China and Hong Kong and our auditor was subject to that determination. On December 15, 2022, the PCAOB removed mainland China and Hong Kong from the list of jurisdictions where it is unable to inspect or investigate completely registered public accounting firms.</w:t>
      </w:r>
    </w:p>
    <w:p>
      <w:pPr>
        <w:spacing w:after="0" w:line="180"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 we would be identified as a Commission-Identified Issuer following the filing of the annual report on Form 20-F for the relevant fiscal year. In accordance with the HFCAA, our securities would be prohibited from being traded on a national securities exchange or in the over-the-counter trading market in the United States if we are identified as a Commission-Identified Issuer for two consecutive years in the future. If our shares and ADSs are prohibited from trading in the United States, there is no certainty that we will be able to</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20"/>
          </w:cols>
          <w:pgMar w:left="320" w:top="455"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list on a non-U.S. exchange or that a market for our shares will develop outside of the United States. A prohibition of being able to trade in the United States would substantially impair your ability to sell or purchase our ADSs when you wish to do so, and the risk and uncertainty associated with delisting would have a negative impact on the price of our ADSs. Also, such a prohibition would significantly affect our ability to raise capital on terms acceptable to us, or at all, which would have a material adverse impact on our business, financial condition, and prospects.</w:t>
      </w:r>
    </w:p>
    <w:p>
      <w:pPr>
        <w:spacing w:after="0" w:line="284" w:lineRule="exact"/>
        <w:rPr>
          <w:sz w:val="20"/>
          <w:szCs w:val="20"/>
          <w:color w:val="auto"/>
        </w:rPr>
      </w:pPr>
    </w:p>
    <w:p>
      <w:pPr>
        <w:ind w:left="120"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China’s economic, political or social conditions or government policies could have a material adverse effect on our business and operations.</w:t>
      </w:r>
    </w:p>
    <w:p>
      <w:pPr>
        <w:spacing w:after="0" w:line="51"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A substantial majority of our assets and operations are located in mainland China. Accordingly, our business, financial condition, results of operations and prospects may be influenced to a significant degree by political, economic and social conditions in mainland China generally and by continued economic growth in mainland China as a whole.</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Chinese economy differs from the economies of most developed countries in many respects, including the degree of government involvement, level of development, growth rate, control of foreign exchange and allocation of resources.</w:t>
      </w:r>
    </w:p>
    <w:p>
      <w:pPr>
        <w:spacing w:after="0" w:line="162" w:lineRule="exact"/>
        <w:rPr>
          <w:sz w:val="20"/>
          <w:szCs w:val="20"/>
          <w:color w:val="auto"/>
        </w:rPr>
      </w:pPr>
    </w:p>
    <w:p>
      <w:pPr>
        <w:ind w:left="120" w:right="200" w:firstLine="440"/>
        <w:spacing w:after="0" w:line="255" w:lineRule="auto"/>
        <w:rPr>
          <w:sz w:val="20"/>
          <w:szCs w:val="20"/>
          <w:color w:val="auto"/>
        </w:rPr>
      </w:pPr>
      <w:r>
        <w:rPr>
          <w:rFonts w:ascii="Times New Roman" w:cs="Times New Roman" w:eastAsia="Times New Roman" w:hAnsi="Times New Roman"/>
          <w:sz w:val="18"/>
          <w:szCs w:val="18"/>
          <w:color w:val="auto"/>
        </w:rPr>
        <w:t>Any adverse changes in economic conditions in China, in the policies of the PRC government or in the laws and regulations in mainland China could have a material adverse effect on the overall economic growth of mainland China. Such developments could adversely affect our business and operating results, lead to reduction in demand for our services and adversely affect our competitive position. The PRC government has implemented various measures to encourage economic growth and guide the allocation of resources. The effect of these measures on us may be uncertain. For example, our financial condition and results of operations may be adversely affected by government control over capital investments or changes in tax regulations. We currently enjoy preferential local governmental policies, which contain eligibility requirements. We cannot guarantee that we will be able to successfully renew our preferential treatment in the future.</w:t>
      </w:r>
    </w:p>
    <w:p>
      <w:pPr>
        <w:spacing w:after="0" w:line="293" w:lineRule="exact"/>
        <w:rPr>
          <w:sz w:val="20"/>
          <w:szCs w:val="20"/>
          <w:color w:val="auto"/>
        </w:rPr>
      </w:pPr>
    </w:p>
    <w:p>
      <w:pPr>
        <w:ind w:left="120"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Litigation and negative publicity surrounding China-based companies listed in the U.S. may result in increased regulatory scrutiny of us and negatively impact the trading price of the ADSs and could have a material adverse effect upon our business, including our results of operations, financial condition, cash flows and prospects.</w:t>
      </w:r>
    </w:p>
    <w:p>
      <w:pPr>
        <w:spacing w:after="0" w:line="67"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believe that litigation and negative publicity surrounding companies with operations in China that are listed in the U.S. have negatively impacted stock prices for such companies. Various equity-based research organizations have published reports on China-based companies after examining, among other things, their corporate governance practices, related party transactions, sales practices and financial statements that have led to special investigations and stock suspensions on national exchanges. Any similar scrutiny of us, regardless of its lack of merit, could result in a diversion of management resources and energy, potential costs to defend ourselves against rumors, decreases and volatility in the ADS trading price, and increased directors and officers insurance premiums and could have a material adverse effect upon our business, including our results of operations, financial condition, cash flows and prospects.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It may be difficult for overseas regulators to conduct investigation or collect evidence within mainland China.</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Shareholder claims or regulatory investigation that are common in the United States generally are difficult to pursue as a matter of law or practicality in China. For example, in China, there are significant legal and other obstacles to providing information needed for regulatory investigations or litigation initiated outside China. Although the authorities in China may establish a regulatory cooperation mechanism with the securities regulatory authorities of another country or region to implement cross-border supervision and administration, such cooperation with the securities regulatory authorities in the Unities States may not be efficient in the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40"/>
          </w:cols>
          <w:pgMar w:left="320" w:top="455" w:right="4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absence of mutual and practical cooperation mechanism. Furthermore, according to Article 177 of the PRC Securities Law, or Article 177, which became effective in March 2020, no overseas securities regulator is allowed to directly conduct investigation or evidence collection activities within the territory of the PRC. While detailed interpretation of or implementation rules under Article 177 have yet to be promulgated, the inability for an overseas securities regulator to directly conduct investigation or evidence collection activities within China may further increase difficulties faced by you in protecting your interests. See also “—Risks Related to the ADSs and This Offering—You may face difficulties in protecting your interests, and your ability to protect your rights through U.S. courts may be limited, because we are incorporated under Cayman Islands law” for risks associated with investing in us as a Cayman Islands company.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Uncertainties with respect to the PRC legal system and changes in laws and regulations in mainland China could adversely affect us.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conduct our business primarily through our mainland China subsidiaries and the VIE. Our operations in mainland China are governed by PRC laws and regulations. Our mainland China subsidiaries are subject to laws and regulations applicable to foreign investment in mainland China. The PRC legal system is a civil law system based on written statutes. Unlike the common law system, prior court decisions under the civil law system may be cited for reference but have limited precedential value. In addition, any new or changes in PRC laws and regulations related to foreign investment in mainland China could affect the business environment and our ability to operate our business in mainland China.</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From time to time, we may have to resort to administrative and court proceedings to enforce our legal rights. Any administrative and court proceedings in mainland China may take a long time, resulting in substantial costs and diversion of resources and management attention. Since PRC administrative and court authorities have significant discretion in interpreting and implementing statutory provisions and contractual terms, it may be more difficult to evaluate the outcome of administrative and court proceedings and the level of legal protection we enjoy than in more developed legal systems. These uncertainties may impede our ability to enforce the contracts we have entered into and could materially and adversely affect our business and results of operations.</w:t>
      </w:r>
    </w:p>
    <w:p>
      <w:pPr>
        <w:spacing w:after="0" w:line="291"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PRC government’s significant oversight and discretion over our business operation could result in a material adverse change in our operations and the value of our ADSs.</w:t>
      </w:r>
    </w:p>
    <w:p>
      <w:pPr>
        <w:spacing w:after="0" w:line="5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We conduct our business primarily in China. Our operations in mainland China are governed by PRC laws and regulations. The PRC government has significant oversight and discretion over the conduct of our business, and may intervene or influence our operations. The PRC government has recently published new policies that significantly affected certain industries and we cannot rule out the possibility that it will in the future release regulations or policies that directly or indirectly affect our industry or require us to seek additional permission to continue our operations, which could result in a material adverse change in our operation and/or the value of our ADSs. Any such action could significantly limit or completely hinder our ability to offer or continue to offer securities to investors and cause the value of such securities to significantly decline or become worthless. Therefore, investors of our company and our business face potential uncertainty from actions taken by the PRC government affecting our business.</w:t>
      </w:r>
    </w:p>
    <w:p>
      <w:pPr>
        <w:spacing w:after="0" w:line="293"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to complete filing procedures with the China Securities Regulatory Commission in connection with our future offerings. We cannot predict whether we will be able to complete such filing on a timely manner, or at all.</w:t>
      </w:r>
    </w:p>
    <w:p>
      <w:pPr>
        <w:spacing w:after="0" w:line="5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On July 6, 2021, the relevant PRC government authorities issued Opinions on Strictly Cracking Down Illegal Securities Activities in Accordance with the Law. These opinions emphasized the need to strengthen the administration over illegal securities activities and the supervision on overseas listings by China-based companies and proposed to take effective measures, such as promoting the construction of relevant regulatory systems to deal with the risks and incidents faced by China-based overseas-listed companies. We do not believe that any provision in these opinions had a material adverse impact on our business or offshore listing plan.</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00"/>
          </w:cols>
          <w:pgMar w:left="320" w:top="455" w:right="4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On February 17, 2023, the CSRC, as approved by the State Council, released the Trial Administrative Measures of Overseas Securities Offering and Listing by Domestic Companies and five supporting guidelines, or the Filing Rules. The Filing Rules will take effect on March 31, 2023, when the CSRC will start to accept filing applications. Pursuant to the Filing Rules, PRC domestic enterprises that directly or indirectly offer or list their securities in an overseas market are required to file with the CSRC within three business days after submitting their listing application documents to the relevant regulator in the place of intended listing. Failure to complete such filing may subject a PRC domestic enterprise to an order of rectification, a warning or a fine between RMB1 million and RMB10 million. Pursuant to these regulations, a domestic enterprise applying for listing abroad shall, among others, complete record filing procedures and report relevant information to the securities regulatory authority as required. As advised by Commerce &amp; Finance Law Offices, our PRC legal counsel, this offering will be subject to the filing requirement with the CSRC after the Filing Rules take effect. We will take any and all actions necessary to complete the required procedures with the CSRC before the completion of this offering and listing.</w:t>
      </w:r>
    </w:p>
    <w:p>
      <w:pPr>
        <w:spacing w:after="0" w:line="173"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addition, our future capital raising activities such as follow-on equity or debt offerings, listing on other stock exchanges and going private transactions, may also be subject to the filing requirement with the CSRC. Failure to complete such filing procedures as required under the Filing Rules, or a rescission of any such filings completed by us, would subject us to sanctions by the CSRC or other PRC regulatory authorities, which could include fines and penalties on our operations in mainland China, and other forms of sanctions that may materially and adversely affect our business, financial condition and results of operations.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exchange rates could have a material and adverse effect on our results of operations and the value of your investment.</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value of the Renminbi against the U.S. dollar and other currencies may fluctuate and is affected by, among other things, changes in political and economic conditions in China and by China’s foreign exchange policies. With the development of the foreign exchange market and progress towards interest rate liberalization and Renminbi internationalization, the PRC government may in the future announce further changes to the exchange rate system, and we cannot assure you that the Renminbi will not appreciate or depreciate significantly in value against the U.S. dollar in the future. It is difficult to predict how market forces or PRC or U.S. government policy may impact the exchange rate between the Renminbi and the U.S. dollar in the future.</w:t>
      </w:r>
    </w:p>
    <w:p>
      <w:pPr>
        <w:spacing w:after="0" w:line="187"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Significant revaluation of the Renminbi may have a material and adverse effect on your investment. For example, to the extent that we need to convert U.S. dollars we receive from this offering into Renminbi for our operations, appreciation of the Renminbi against the U.S. dollar would have an adverse effect on the Renminbi amount we would receive from the conversion. Conversely, if we decide to convert our Renminbi into U.S. dollars for the purpose of making payments for dividends on our Class A ordinary shares or ADSs or for other business purposes, appreciation of the U.S. dollar against the Renminbi would have a negative effect on the U.S. dollar amount available to us.</w:t>
      </w:r>
    </w:p>
    <w:p>
      <w:pPr>
        <w:spacing w:after="0" w:line="183" w:lineRule="exact"/>
        <w:rPr>
          <w:sz w:val="20"/>
          <w:szCs w:val="20"/>
          <w:color w:val="auto"/>
        </w:rPr>
      </w:pPr>
    </w:p>
    <w:p>
      <w:pPr>
        <w:ind w:left="120" w:right="100" w:firstLine="440"/>
        <w:spacing w:after="0" w:line="281" w:lineRule="auto"/>
        <w:rPr>
          <w:sz w:val="20"/>
          <w:szCs w:val="20"/>
          <w:color w:val="auto"/>
        </w:rPr>
      </w:pPr>
      <w:r>
        <w:rPr>
          <w:rFonts w:ascii="Times New Roman" w:cs="Times New Roman" w:eastAsia="Times New Roman" w:hAnsi="Times New Roman"/>
          <w:sz w:val="17"/>
          <w:szCs w:val="17"/>
          <w:color w:val="auto"/>
        </w:rPr>
        <w:t>Very limited hedging options are available in China to reduce our exposure to exchange rate fluctuations. To date, we have entered into a hedging transaction in an effort to reduce our exposure to foreign currency exchange risk. While we may decide to enter into hedging transactions in the future, the availability and effectiveness of these hedges may be limited and we may not be able to adequately hedge our exposure or at all. In addition, our currency exchange losses may be magnified by PRC exchange control regulations that restrict our ability to convert Renminbi into foreign currency.</w:t>
      </w:r>
    </w:p>
    <w:p>
      <w:pPr>
        <w:spacing w:after="0" w:line="268" w:lineRule="exact"/>
        <w:rPr>
          <w:sz w:val="20"/>
          <w:szCs w:val="20"/>
          <w:color w:val="auto"/>
        </w:rPr>
      </w:pPr>
    </w:p>
    <w:p>
      <w:pPr>
        <w:ind w:left="120"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China’s M&amp;A Rules and certain other PRC regulations establish complex procedures for certain acquisitions of PRC companies by foreign investors, which could make it more difficult for us to pursue growth through acquisitions in China.</w:t>
      </w:r>
    </w:p>
    <w:p>
      <w:pPr>
        <w:spacing w:after="0" w:line="5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A number of PRC laws and regulations have established procedures and requirements that could make merger and acquisition activities in China by foreign investors more time consuming and complex, such as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40"/>
          </w:cols>
          <w:pgMar w:left="320" w:top="455" w:right="4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Anti-monopoly Law, the M&amp;A Rules, the Rules of the Ministry of Commerce on Implementation of Security Review System of Mergers and Acquisitions of Domestic Enterprises by Foreign Investors, or the M&amp;A Security Review Rules, and the Measures for the Security Review of Foreign Investment, or the Foreign Investment Security Review Measures. These laws and regulations impose requirements in some instances that MOFCOM and the NDRC be notified in advance of any change-of-control transaction in which a foreign investor takes control of a PRC domestic enterprise. In addition, the Anti-Monopoly Law requires that MOFCOM be notified in advance of any concentration of undertaking if certain thresholds are triggered. The M&amp;A Security Review Rules provide that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MOFCOM, and prohibit any attempt to bypass a security review, including by structuring the transaction through a proxy or contractual control arrangement. Moreover, the Foreign Investment Security Review Measures provide that foreign investors or the relevant parties in China shall proactively report to the Office of the Working Mechanism any foreign investment in, among other sectors, important information technology and key technology that involve national security concerns and result in the foreign investor’s acquisition of actual control of the enterprise invested in before making such investment. In the future, we may grow our business by acquiring complementary businesses. Complying with the requirements of the relevant regulations to complete such transactions could be time consuming, and any required approval processes, including approval from MOFCOM, may delay or inhibit our ability to complete such transactions, which could affect our ability to expand our business or maintain our market share.</w:t>
      </w:r>
    </w:p>
    <w:p>
      <w:pPr>
        <w:spacing w:after="0" w:line="300" w:lineRule="exact"/>
        <w:rPr>
          <w:sz w:val="20"/>
          <w:szCs w:val="20"/>
          <w:color w:val="auto"/>
        </w:rPr>
      </w:pPr>
    </w:p>
    <w:p>
      <w:pPr>
        <w:ind w:left="120" w:right="2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PRC regulations relating to offshore investment activities by PRC residents may limit our mainland China subsidiaries’ ability to change their registered capital or distribute profits to us or otherwise expose us or our PRC resident beneficial owners to liability and penalties under PRC law.</w:t>
      </w:r>
    </w:p>
    <w:p>
      <w:pPr>
        <w:spacing w:after="0" w:line="28"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 July 2014, the State Administration of Foreign Exchange, or SAFE, promulgated the Circular on Relevant Issues Concerning Foreign Exchange Control on Domestic Residents’ Offshore Investment and Financing and Roundtrip Investment Through Special Purpose Vehicles, or SAFE Circular 37. SAFE Circular 37 requires PRC residents (including PRC individuals and PRC corporate entities as well as foreign individuals that are deemed as PRC residents for foreign exchange administration purpose) to register with SAFE or its local branches in connection with their direct or indirect offshore investment activities and also requires the foreign-invested enterprise that is established through round-trip investment to truthfully disclose its controller(s). SAFE Circular 37 further requires amendment to the SAFE registrations in the event of any changes with respect to the basic information of the offshore special purpose vehicle, such as change of a PRC individual shareholder, name and operation term, or any significant changes with respect to the offshore special purpose vehicle, such as increase or decrease of capital contribution, share transfer or exchange, or mergers or divisions. SAFE Circular 37 is applicable to our shareholders or beneficial owners who are PRC residents and may be applicable to any offshore acquisitions that we make in the future. In February 2015, SAFE promulgated a Notice on Further Simplifying and Improving Foreign Exchange Administration Policy on Direct Investment, or SAFE Notice 13, effective since June 2015. Under SAFE Notice 13, applications for foreign exchange registration of inbound foreign direct investments and outbound overseas direct investments, including those required under SAFE Circular 37, should be filed with qualified banks instead of SAFE. The qualified banks examine the applications and accept registrations under the supervision of SAFE. Any failure or inability of the relevant shareholders or beneficial owners who are PRC residents to comply with the registration procedures set forth in these regulations, or any failure to disclose or misrepresentation of the controller(s) of the foreign-invested enterprise that is established through round-trip investment, may subject us to fines and legal sanctions, such as restrictions on our cross-border investment activities, on the ability of our PRC subsidiaries to distribute dividends and the proceeds from any reduction in capital, share transfer or liquidation to us.</w:t>
      </w:r>
    </w:p>
    <w:p>
      <w:pPr>
        <w:spacing w:after="0" w:line="193" w:lineRule="exact"/>
        <w:rPr>
          <w:sz w:val="20"/>
          <w:szCs w:val="20"/>
          <w:color w:val="auto"/>
        </w:rPr>
      </w:pPr>
    </w:p>
    <w:p>
      <w:pPr>
        <w:jc w:val="both"/>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We may not at all times be fully informed of the identities of all the PRC residents holding direct or indirect interest in our company, and we cannot provide any assurance that these PRC residents will comply with our request to make or obtain any applicable registrations or continuously comply with all requirements under SAFE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20"/>
          </w:cols>
          <w:pgMar w:left="320" w:top="455" w:right="4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74" w:lineRule="auto"/>
        <w:rPr>
          <w:sz w:val="20"/>
          <w:szCs w:val="20"/>
          <w:color w:val="auto"/>
        </w:rPr>
      </w:pPr>
      <w:r>
        <w:rPr>
          <w:rFonts w:ascii="Times New Roman" w:cs="Times New Roman" w:eastAsia="Times New Roman" w:hAnsi="Times New Roman"/>
          <w:sz w:val="17"/>
          <w:szCs w:val="17"/>
          <w:color w:val="auto"/>
        </w:rPr>
        <w:t>Circular 37 or other related rules. As a result, we cannot assure you that all of our shareholders or beneficial owners who are PRC residents or entities have complied with, and will in the future make or obtain any applicable registrations or approvals required by, SAFE regulations. Registration for the change in our round-trip invested entity might not be completed in a timely manner. Failure by our shareholders or beneficial owners to comply with SAFE regulations, or failure by us to amend the foreign exchange registrations of our PRC subsidiaries, could subject us to fines or legal sanctions, restrict our overseas or cross-border investment activities, limit our PRC subsidiaries’ ability to make distributions or pay dividends or affect our ownership structure. As a result, our business operations and our ability to distribute profits to you could be materially and adversely affected.</w:t>
      </w:r>
    </w:p>
    <w:p>
      <w:pPr>
        <w:spacing w:after="0" w:line="173"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Some of the investors who subscribed for warrants to purchase certain amounts of Series D preferred shares and Series D+ preferred shares are in the process of completing the registration procedures with relevant governmental authorities as of the date of this prospectus. Failure to comply with the various foreign exchange regulations could result in liability under PRC law for circumventing applicable foreign exchange restrictions.</w:t>
      </w:r>
    </w:p>
    <w:p>
      <w:pPr>
        <w:spacing w:after="0" w:line="280"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comply with PRC regulations regarding the registration requirements for employee stock incentive plans may subject the PRC plan participants or us to fines and other legal or administrative sanctions.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February 2012, SAFE promulgated the Notice of Issues Related to the Foreign Exchange Administration for Domestic Individuals Participating in Stock Incentive Plan of Overseas Listed Company, replacing earlier rules promulgated in 2007. Pursuant to these rules, PRC citizens and non-PRC citizens who reside in China for a continuous period of not less than one year who participate in any stock incentive plan of an overseas publicly listed company, subject to a few exceptions, are required to register with SAFE through a domestic qualified agent, which could be the mainland China subsidiaries of such overseas-listed company, and complete certain other procedures. In addition, an overseas-entrusted institution must be retained to handle matters in connection with the exercise or sale of stock options and the purchase or sale of shares and interests. We and our executive officers and other employees who are PRC citizens or who reside in China for a continuous period of not less than one year and who have been granted options will be subject to these regulations when our company becomes an overseas-listed company upon the completion of this offering. Failure to complete SAFE registrations may subject them to fines of up to RMB300,000 for entities and up to RMB50,000 for individuals, and legal sanctions and may also limit our ability to contribute additional capital into our PRC subsidiary and limit our PRC subsidiary’s ability to distribute dividends to us. We also face regulatory uncertainties that could restrict our ability to adopt additional incentive plans for our directors, executive officers and employees under PRC law. See “Regulations—Regulations Relating to Share Incentive Plans.”</w:t>
      </w:r>
    </w:p>
    <w:p>
      <w:pPr>
        <w:spacing w:after="0" w:line="190"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In addition, the State Administration of Taxation, or SAT, has issued certain circulars concerning employee share options and restricted shares. Under these circulars, our employees working in China who exercise share options or are granted restricted share unites will be subject to PRC individual income tax. Our mainland China subsidiaries have obligations to file documents related to employee share options or restricted share units with relevant tax authorities and to withhold individual income taxes of those employees who exercise their share options. If our employees fail to pay or we fail to withhold their income taxes according to relevant laws and regulations, we may face sanctions imposed by the tax authorities or other PRC government authorities. See “Regulations—Regulations Relating to Share Incentive Plans.”</w:t>
      </w:r>
    </w:p>
    <w:p>
      <w:pPr>
        <w:spacing w:after="0" w:line="291" w:lineRule="exact"/>
        <w:rPr>
          <w:sz w:val="20"/>
          <w:szCs w:val="20"/>
          <w:color w:val="auto"/>
        </w:rPr>
      </w:pPr>
    </w:p>
    <w:p>
      <w:pPr>
        <w:ind w:left="120"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Increases in labor costs and enforcement of stricter labor laws and regulations in China may adversely affect our business and our financial condition.</w:t>
      </w:r>
    </w:p>
    <w:p>
      <w:pPr>
        <w:spacing w:after="0" w:line="5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China’s overall economy and the average wage in China have increased in recent years and are expected to continue to grow. The average wage level for our employees has also increased in recent years. We expect that our labor costs, including wages and employee benefits, will continue to increase. Unless we are able to pass on these increased labor costs to those who pay for our products and services, our results of operations may be materially and adversely affected.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20"/>
          </w:cols>
          <w:pgMar w:left="320" w:top="455" w:right="4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In addition, we have been subject to stricter regulatory requirements in terms of entering into labor contracts with our employees and paying various statutory employee benefits, including pensions, housing fund, medical insurance, work-related injury insurance, unemployment insurance and maternity insurance to designated government agencies for the benefit of our employees. In order to efficiently administer the contribution of employment benefit plans of our employees in some cities, we engage third-party agents to make the contribution for our employees. If the relevant competent government authority is of the view that we have underpaid social insurance and housing provident fund for our employees or the third-party agency arrangement does not satisfy the requirements under the relevant PRC laws and regulations, we may be required to pay the shortage of our contributions or subject to fines or other legal sanctions. If we are subject to full distribution, late fees or fines in relation to the underpaid employee benefits, our financial condition and results of operations may be adversely affected. Pursuant to the PRC Labor Contract Law and its implementation rules, employers are subject to stricter requirements in terms of signing labor contracts, minimum wages, paying remuneration, determining the term of employee’s probation and unilaterally terminating labor contracts. In the event that we decide to terminate some of our employees or otherwise change our employment or labor practices, the PRC Labor Contract Law and its implementation rules may limit our ability to effect those changes in a cost-effective manner, which could adversely affect our business and results of operations. Furthermore, under relevant PRC laws and regulations, we are required to enter into labor contracts with test drivers. We currently outsource test driving services to a third-party service provider, with whom the test drivers maintain employment relationships. As of the date of this prospectus, we are in the process of entering into labor contracts with our test drivers.</w:t>
      </w:r>
    </w:p>
    <w:p>
      <w:pPr>
        <w:spacing w:after="0" w:line="19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October 2010, the Standing Committee of the National People’s Congress promulgated the PRC Social Insurance Law, effective on July 1, 2011 and amended on December 29, 2018. On April 3, 1999, the State Council promulgated the Regulations on the Administration of Housing Funds, which was amended on March 24, 2002 and March 24, 2019. Companies registered and operating in China are required under the Social Insurance Law and the Regulations on the Administration of Housing Funds to apply for social insurance registration and housing fund deposit registration within 30 days of their establishment and to pay for their employees different social insurance including pension insurance, medical insurance, work-related injury insurance, unemployment insurance and maternity insurance to the extent required by law.</w:t>
      </w:r>
    </w:p>
    <w:p>
      <w:pPr>
        <w:spacing w:after="0" w:line="18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As the interpretation and implementation of labor-related laws and regulations are still evolving, we cannot assure you that our employment practices do not and will not violate labor-related laws and regulations in China, which may subject us to labor disputes or government investigations. We cannot assure you that we have complied or will be able to comply with all labor-related law and regulations including those relating to obligations to make social insurance payments and contribute to the housing provident funds. If we are deemed to have violated relevant labor laws and regulations, we could be required to provide additional compensation to our employees and our business, financial condition and results of operations will be adversely affected.</w:t>
      </w:r>
    </w:p>
    <w:p>
      <w:pPr>
        <w:spacing w:after="0" w:line="291" w:lineRule="exact"/>
        <w:rPr>
          <w:sz w:val="20"/>
          <w:szCs w:val="20"/>
          <w:color w:val="auto"/>
        </w:rPr>
      </w:pPr>
    </w:p>
    <w:p>
      <w:pPr>
        <w:jc w:val="both"/>
        <w:ind w:left="12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rely on dividends and other distributions on equity paid by our mainland China subsidiaries to fund any cash and financing requirements we may have, and any limitation on the ability of our mainland China subsidiaries to make payments to us could have a material and adverse effect on our ability to conduct our business.</w:t>
      </w:r>
    </w:p>
    <w:p>
      <w:pPr>
        <w:spacing w:after="0" w:line="67"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are a Cayman Islands holding company and we may rely on dividends and other distributions on equity paid by our mainland China subsidiaries for our cash and financing requirements, including the funds necessary to pay dividends and other cash distributions to our shareholders and service any debt we may incur. If any of our mainland China subsidiaries incur debt on their own behalf in the future, the instruments governing the debt may restrict their ability to pay dividends or make other distributions to us. Under PRC laws and regulations, our mainland China subsidiaries, each of which is a wholly foreign-owned enterprise may pay dividends only out of its respective accumulated profits as determined in accordance with PRC accounting standards and regulations. In addition, a wholly foreign-owned enterprise is required to set aside at least 10% of its accumulated after-tax profits each year, if any, to fund a certain statutory reserve fund, until the aggregate amount of such fund reaches 50% of its registered capital.</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20"/>
          </w:cols>
          <w:pgMar w:left="320" w:top="455" w:right="4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Our mainland China subsidiaries generate primarily all of their revenue in Renminbi, which is not freely convertible into other currencies. As a result, any restriction on currency exchange may limit the ability of our mainland China subsidiaries to use their Renminbi revenue to pay dividends to us.</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PRC government may continue to strengthen its capital controls, and more restrictions and substantial vetting process may be put forward by SAFE for cross-border transactions falling under both the current account and the capital account. In addition, there is no assurance that the PRC government will not intervene or impose restrictions on our ability to transfer cash in the future. Any limitation on the ability of our mainland China subsidiaries to pay dividends or make other kinds of payments to us could materially and adversely limit our ability to grow, make investments or acquisitions that could be beneficial to our business, pay dividends, or otherwise fund and conduct our business.</w:t>
      </w:r>
    </w:p>
    <w:p>
      <w:pPr>
        <w:spacing w:after="0" w:line="183"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In addition, the EIT Law and its implementation rules provide that a withholding tax rate of up to 10% will be applicable to dividends payable by PRC companies to non-PRC-resident enterprises unless otherwise exempted or reduced according to treaties or arrangements between the PRC central government and governments of other countries or regions where the non-PRC-resident enterprises are incorporated.</w:t>
      </w:r>
    </w:p>
    <w:p>
      <w:pPr>
        <w:spacing w:after="0" w:line="280"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chops of our mainland China subsidiaries and the VIE are not kept safely, are stolen or are used by unauthorized persons or for unauthorized purposes, the corporate governance of these entities could be severely and adversely compromised.</w:t>
      </w:r>
    </w:p>
    <w:p>
      <w:pPr>
        <w:spacing w:after="0" w:line="5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In China, a company chop or seal serves as the legal representation of the company towards third parties even when unaccompanied by a signature. Each legally registered company in China is required to maintain a company chop, which must be registered with the local Public Security Bureau. In addition to this mandatory company chop, companies may have several other chops which can be used for specific purposes. The chops of our mainland China subsidiaries and VIE are generally held securely by personnel designated or approved by us in accordance with our internal control procedures. To the extent those chops are not kept safely, are stolen or are used by unauthorized persons or for unauthorized purposes, the corporate governance of these entities could be severely and adversely compromised and those corporate entities may be bound to abide by the terms of any documents so chopped, even if they were chopped by an individual who lacked the requisite power and authority to do so. In addition, if the chops are misused by unauthorized persons, we could experience disruption to our normal business operations. We may have to take corporate or legal action, which could involve significant time and resources to resolve while distracting management from our operations.</w:t>
      </w:r>
    </w:p>
    <w:p>
      <w:pPr>
        <w:spacing w:after="0" w:line="292" w:lineRule="exact"/>
        <w:rPr>
          <w:sz w:val="20"/>
          <w:szCs w:val="20"/>
          <w:color w:val="auto"/>
        </w:rPr>
      </w:pPr>
    </w:p>
    <w:p>
      <w:pPr>
        <w:ind w:left="120"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PRC regulation of loans to and direct investment in PRC entities by offshore holding companies and governmental control of currency conversion may delay or prevent us from using the proceeds of this offering to make loans or additional capital contributions to our mainland China subsidiaries, which could materially and adversely affect our liquidity and our ability to fund and expand our business.</w:t>
      </w:r>
    </w:p>
    <w:p>
      <w:pPr>
        <w:spacing w:after="0" w:line="6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are an offshore holding company conducting our operations in mainland China through our mainland China subsidiaries and the VIE. We may make loans to our mainland China subsidiaries and VIE subject to the approval from governmental authorities and limitation of amount, or we may make additional capital contributions to our mainland China subsidiaries.</w:t>
      </w:r>
    </w:p>
    <w:p>
      <w:pPr>
        <w:spacing w:after="0" w:line="176"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Any loans to our mainland China subsidiaries, which are treated as foreign-invested enterprises under PRC law, are subject to PRC regulations and foreign exchange loan registrations. For example, loans by us to our mainland China subsidiaries to finance their activities cannot exceed statutory limits and must be registered with the local counterpart of SAFE, and medium or long-term loans by us to our mainland China subsidiaries must be recorded and registered with the National Development and Reform Committee, or the NDRC. In addition, a foreign invested enterprise shall use its capital pursuant to the principle of authenticity and self-use within its business scope. The capital of a foreign invested enterprise shall not be used for the following purposes: (i) directly or indirectly used for payment beyond the business scope of the enterprises or the payment prohibited</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80"/>
          </w:cols>
          <w:pgMar w:left="320" w:top="455" w:right="4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by relevant laws and regulations; (ii) directly or indirectly used for investment in securities or investments other than banks’ principal-secured products unless otherwise provided by relevant laws and regulations; (iii) the granting of loans to non-affiliated enterprises, except where it is expressly permitted in the business license; and (iv) paying the expenses related to the purchase of real estate that is not for self-use (except for the foreign-invested real estate enterprises).</w:t>
      </w:r>
    </w:p>
    <w:p>
      <w:pPr>
        <w:spacing w:after="0" w:line="18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SAFE promulgated the Notice of the State Administration of Foreign Exchange on Reforming the Administration of Foreign Exchange Settlement of Capital of Foreign-invested Enterprises, or SAFE Circular 19, effective June 2015, in replacement of the Circular on the Relevant Operating Issues Concerning the Improvement of the Administration of the Payment and Settlement of Foreign Currency Capital of Foreign-Invested Enterprises, the Notice from the State Administration of Foreign Exchange on Relevant Issues Concerning Strengthening the Administration of Foreign Exchange Businesses, and the Circular on Further Clarification and Regulation of the Issues Concerning the Administration of Certain Capital Account Foreign Exchange Businesses. According to SAFE Circular 19, the flow and use of the RMB capital converted from foreign currency-denominated registered capital of a foreign-invested company is regulated such that RMB capital may not be used for the issuance of RMB entrusted loans, the repayment of inter-enterprise loans or the repayment of banks loans that have been transferred to a third party. Although SAFE Circular 19 allows RMB capital converted from foreign currency-denominated registered capital of a foreign-invested enterprise to be used for equity investments within China, it also reiterates the principle that RMB converted from the foreign currency-denominated capital of a foreign-invested company may not be directly or indirectly used for purposes beyond its business scope. Thus, it is unclear whether SAFE will permit such capital to be used for equity investments in China in actual practice. SAFE promulgated the Notice of the State Administration of Foreign Exchange on Reforming and Standardizing the Foreign Exchange Settlement Management Policy of Capital Account, or SAFE Circular 16, effective on June 9, 2016, which reiterates some of the rules set forth in SAFE Circular 19, but changes the prohibition against using RMB capital converted from foreign currency-denominated registered capital of a foreign-invested company to issue RMB entrusted loans to a prohibition against using such capital to issue loans to non-associated enterprises. Violations of SAFE Circular 19 and SAFE Circular 16 could result in administrative penalties. SAFE Circular 19 and SAFE Circular 16 may significantly limit our ability to transfer any foreign currency we hold, including the net proceeds from this offering, to our mainland China subsidiaries, which may adversely affect our liquidity and our ability to fund and expand our business in China.</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light of the various requirements imposed by PRC regulations on loans to and direct investment in PRC entities by offshore holding companies, we cannot assure you that we will be able to complete the necessary government registrations or obtain the necessary government approvals on a timely basis, if at all, with respect to future loans to our mainland China subsidiaries or VIE or future capital contributions by us to our mainland China subsidiaries. As a result, uncertainties exist as to our ability to provide prompt financial support to our mainland China subsidiaries or VIE when needed. If we fail to complete such registrations or obtain such approvals, our ability to use the proceeds we expect to receive from this offering and to capitalize or otherwise fund our PRC operations may be negatively affected, which could materially and adversely affect our liquidity and our ability to fund and expand our business.</w:t>
      </w:r>
    </w:p>
    <w:p>
      <w:pPr>
        <w:spacing w:after="0" w:line="293"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classified as a PRC resident enterprise for PRC income tax purposes, such classification could result in unfavorable tax consequences to us and our non-PRC shareholders or ADS holders.</w:t>
      </w:r>
    </w:p>
    <w:p>
      <w:pPr>
        <w:spacing w:after="0" w:line="5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Under the EIT Law and its implementation rules, an enterprise established outside of the PRC with “de facto management body” within China is considered a “resident enterprise” and will be subject to the enterprise income tax on its global income at the rate of 25%. The implementation rules define the term “de facto management body” as the body that exercises full and substantial control and overall management over the business, productions, personnel, accounts and properties of an enterprise. In 2009, the SAT, issued the Circular of the State Administration of Taxation on Issues Relating to Identification of PRC-Controlled Overseas Registered Enterprises as Resident Enterprises in Accordance with the De Facto Standards of Organizational</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20"/>
          </w:cols>
          <w:pgMar w:left="320" w:top="455" w:right="4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Management, or SAT Circular 82, which provides certain specific criteria for determining whether the “de facto management body” of</w:t>
      </w:r>
    </w:p>
    <w:p>
      <w:pPr>
        <w:spacing w:after="0" w:line="27" w:lineRule="exact"/>
        <w:rPr>
          <w:sz w:val="20"/>
          <w:szCs w:val="20"/>
          <w:color w:val="auto"/>
        </w:rPr>
      </w:pPr>
    </w:p>
    <w:p>
      <w:pPr>
        <w:ind w:left="120" w:right="80"/>
        <w:spacing w:after="0" w:line="251" w:lineRule="auto"/>
        <w:rPr>
          <w:sz w:val="20"/>
          <w:szCs w:val="20"/>
          <w:color w:val="auto"/>
        </w:rPr>
      </w:pPr>
      <w:r>
        <w:rPr>
          <w:rFonts w:ascii="Times New Roman" w:cs="Times New Roman" w:eastAsia="Times New Roman" w:hAnsi="Times New Roman"/>
          <w:sz w:val="18"/>
          <w:szCs w:val="18"/>
          <w:color w:val="auto"/>
        </w:rPr>
        <w:t>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SAT’s general position on how the “de facto management body” text should be applied in determining the tax resident status of all offshore enterprises. According to SAT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primary location of the day-to-day operational management is in China; (ii) decisions relating to the enterprise’s financial and human resource matters are made or are subject to approval by organizations or personnel in China; (iii) the enterprise’s primary assets, accounting books and records, company seals, and board and shareholder resolutions, are located or maintained in China; and (iv) at least 50% of voting board members or senior executives habitually reside in China.</w:t>
      </w:r>
    </w:p>
    <w:p>
      <w:pPr>
        <w:spacing w:after="0" w:line="19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believe that we are not a PRC resident enterprise for PRC tax purposes. However, the tax resident status of an enterprise is subject to determination by the PRC tax authorities and uncertainties remain with respect to the interpretation of the term “de facto management body.” If the PRC tax authorities determine that we are a PRC resident enterprise for enterprise income tax purposes, we could be subject to PRC tax at a rate of 25% on our worldwide income, which could materially reduce our net income, and we may be required to withhold a 10% withholding tax from dividends we pay to our shareholders that are non-resident enterprises, including the holders of our ADSs, if such dividends are treated as sourced from within the PRC. In addition, non-resident enterprise shareholders (including our ADS holders) may be subject to PRC tax on gains realized on the sale or other disposition of ADSs or Class A ordinary shares, if such income is treated as sourced from within China. Furthermore, if we are deemed a PRC resident enterprise, dividends payable to our non-PRC individual shareholders (including our ADS holders) and any gain realized on the transfer of ADSs or Class A ordinary shares by such shareholders may be subject to PRC tax at a rate of 10% in the case of non-PRC enterprises or a rate of 20% in the case of non-PRC individuals unless a tax reduction or exemption is available under an applicable tax treaty. It is unclear whether non-PRC shareholders of our company would be able to claim the benefits of any tax treaties between their country of tax residence and the PRC in the event that we are treated as a PRC resident enterprise. Any such tax may reduce the returns on your investment in the ADSs or Class A ordinary shares.</w:t>
      </w:r>
    </w:p>
    <w:p>
      <w:pPr>
        <w:spacing w:after="0" w:line="294" w:lineRule="exact"/>
        <w:rPr>
          <w:sz w:val="20"/>
          <w:szCs w:val="20"/>
          <w:color w:val="auto"/>
        </w:rPr>
      </w:pPr>
    </w:p>
    <w:p>
      <w:pPr>
        <w:jc w:val="right"/>
        <w:ind w:left="120" w:right="720"/>
        <w:spacing w:after="0" w:line="326"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face uncertainty with respect to indirect transfers of equity interests in PRC resident enterprises by their non-PRC holding companies. </w:t>
      </w:r>
      <w:r>
        <w:rPr>
          <w:rFonts w:ascii="Times New Roman" w:cs="Times New Roman" w:eastAsia="Times New Roman" w:hAnsi="Times New Roman"/>
          <w:sz w:val="18"/>
          <w:szCs w:val="18"/>
          <w:color w:val="auto"/>
        </w:rPr>
        <w:t>In February 2015, the SAT issued the Public Notice Regarding Certain Enterprise Income Tax Matters on Indirect Transfer of Properties</w:t>
      </w:r>
    </w:p>
    <w:p>
      <w:pPr>
        <w:ind w:left="120"/>
        <w:spacing w:after="0" w:line="251" w:lineRule="auto"/>
        <w:rPr>
          <w:sz w:val="20"/>
          <w:szCs w:val="20"/>
          <w:color w:val="auto"/>
        </w:rPr>
      </w:pPr>
      <w:r>
        <w:rPr>
          <w:rFonts w:ascii="Times New Roman" w:cs="Times New Roman" w:eastAsia="Times New Roman" w:hAnsi="Times New Roman"/>
          <w:sz w:val="18"/>
          <w:szCs w:val="18"/>
          <w:color w:val="auto"/>
        </w:rPr>
        <w:t>by Non-Resident Enterprises, or SAT Public Notice 7. SAT Public Notice 7 extends its tax jurisdiction to not only indirect transfers but also transactions involving transfer of other taxable assets, through the offshore transfer of a foreign intermediate holding company. In addition, SAT Public Notice 7 provides certain criteria on how to assess reasonable commercial purposes and has introduced safe harbors for internal group restructurings and the purchase and sale of equity through a public securities market. SAT Public Notice 7 also brings challenges to both the foreign transferor and transferee (or other person who is obligated to pay for the transfer) of the taxable assets. Where a non-resident enterprise conducts an “indirect transfer” by transferring the taxable assets indirectly by disposing of the equity interests of an overseas holding company, the non-resident enterprise being the transferor, or the transferee, or the PRC entity which directly owns the taxable assets may report to the relevant tax authority such indirect transfer.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currently at a tax rate of 10% for the transfer of equity interests in a PRC resident enterprise. Both the transferor and the transferee may be subject to penalties under PRC tax laws if the transferee fails to withhold the taxes and</w:t>
      </w:r>
    </w:p>
    <w:p>
      <w:pPr>
        <w:spacing w:after="0" w:line="1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80"/>
          </w:cols>
          <w:pgMar w:left="320" w:top="455" w:right="4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the transferor fails to pay the taxes. However, according to the aforesaid safe harbor rule, the PRC tax would not be applicable to the transfer by any non-resident enterprise of ADSs of the Company acquired and sold on public securities markets.</w:t>
      </w:r>
    </w:p>
    <w:p>
      <w:pPr>
        <w:spacing w:after="0" w:line="162"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On October 17, 2017, the SAT issued the Public Notice on Issues Relating to Withholding at Source of Income Tax of Non-resident Enterprises, or the SAT Public Notice 37, which came into effect on December 1, 2017. According to SAT Public Notice 37, where the non-resident enterprise fails to declare its tax payable pursuant to Article 39 of the EIT Law, the tax authority may order it to pay its tax due within required time limits, and the non-resident enterprise shall declare and pay its tax payable within such time limits specified by the tax authority. If the non-resident enterprise voluntarily declares and pays its tax payable before the tax authority orders it to do so, it shall be deemed that such enterprise has paid its tax payable in time.</w:t>
      </w:r>
    </w:p>
    <w:p>
      <w:pPr>
        <w:spacing w:after="0" w:line="200" w:lineRule="exact"/>
        <w:rPr>
          <w:sz w:val="20"/>
          <w:szCs w:val="20"/>
          <w:color w:val="auto"/>
        </w:rPr>
      </w:pPr>
    </w:p>
    <w:p>
      <w:pPr>
        <w:spacing w:after="0" w:line="204"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We face uncertainties on the reporting and consequences of future private equity financing transactions, share exchanges or other transactions involving the transfer of shares in our company by investors that are non-PRC resident enterprises. The PRC tax authorities may pursue such non-resident enterprises with respect to a filing or the transferees with respect to withholding obligation and request our mainland China subsidiaries to assist in the filing. As a result, we and non-resident enterprises in such transactions may become at risk of being subject to filing obligations or being taxed under SAT Public Notice 7 and SAT Public Notice 37, and may be required to expend valuable resources to comply with them or to establish that we and our non-resident enterprises should not be taxed under these regulations, which may have a material adverse effect on our financial condition and results of operations.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ADSs and This Offering</w:t>
      </w:r>
    </w:p>
    <w:p>
      <w:pPr>
        <w:spacing w:after="0" w:line="117"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has been no public market for our Class A ordinary shares or ADSs prior to this offering, and you may not be able to resell our ADSs at or above the price you paid, or at all.</w:t>
      </w:r>
    </w:p>
    <w:p>
      <w:pPr>
        <w:spacing w:after="0" w:line="5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Prior to this initial public offering, there has been no public market for our Class A ordinary shares or ADSs. We will apply to list our ADSs on the [New York Stock Exchange/Nasdaq Stock Market]. Our Class A ordinary shares will not be listed on any exchange or quoted for trading on any over-the-counter trading system. If an active trading market for our ADSs does not develop after this offering, the market price and liquidity of our ADSs will be materially and adversely affected.</w:t>
      </w:r>
    </w:p>
    <w:p>
      <w:pPr>
        <w:spacing w:after="0" w:line="18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Negotiations with the underwriters will determine the initial public offering price for our ADSs which may bear no relationship to their market price after the initial public offering. We cannot assure you that an active trading market for our ADSs will develop or that the market price of our ADSs will not decline below the initial public offering price.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ADSs may be volatile, which could result in substantial losses to you.</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trading price of our ADSs can be volatile and fluctuate widely in response to a variety of factors, many of which are beyond our control. In addition, the performance and fluctuation of the market prices of other companies with business operations located mainly in the PRC that have listed their securities in the United States may affect the volatility in the price of and trading volumes for our ADSs. Some of these companies have experienced significant volatility. The trading performances of these PRC companies’ securities may affect the overall investor sentiment towards other PRC companies listed in the United States and consequently may impact the trading performance of our ADSs, regardless of our actual operating performance.</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addition to the above factors, the price and trading volume of our ADSs may be highly volatile due to multiple factors, including the following:</w:t>
      </w:r>
    </w:p>
    <w:p>
      <w:pPr>
        <w:spacing w:after="0" w:line="131" w:lineRule="exact"/>
        <w:rPr>
          <w:sz w:val="20"/>
          <w:szCs w:val="20"/>
          <w:color w:val="auto"/>
        </w:rPr>
      </w:pPr>
    </w:p>
    <w:p>
      <w:pPr>
        <w:jc w:val="center"/>
        <w:ind w:left="5540" w:right="1280" w:hanging="4884"/>
        <w:spacing w:after="0" w:line="454" w:lineRule="auto"/>
        <w:tabs>
          <w:tab w:leader="none" w:pos="109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us or our industry, strategic business partners and third parties that collaborate with us; 75</w:t>
      </w:r>
    </w:p>
    <w:p>
      <w:pPr>
        <w:sectPr>
          <w:pgSz w:w="11900" w:h="16838" w:orient="portrait"/>
          <w:cols w:equalWidth="0" w:num="1">
            <w:col w:w="11120"/>
          </w:cols>
          <w:pgMar w:left="320" w:top="455" w:right="4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studies and reports relating to the quality of our products and services or those of our competitors;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performance or market valuations of our competitors;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results of operations and changes or revisions of our expected results;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research analysts;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the autonomous driving industry;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acquisitions, strategic relationships, joint ventures, capital raisings or capital commitments;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departures of our senior management;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of exchange rates between the RMB and the U.S. dollar;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or expiry of lock-up or other transfer restrictions on our issued and outstanding shares or ADSs;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perceived potential sales of additional Class A ordinary shares or ADSs.</w:t>
      </w:r>
    </w:p>
    <w:p>
      <w:pPr>
        <w:spacing w:after="0" w:line="329"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dual-class share structure with different voting rights will limit your ability to influence corporate matters and could discourage others from pursuing any change of control transactions that holders of our Class A ordinary shares and ADSs may view as beneficial.</w:t>
      </w:r>
    </w:p>
    <w:p>
      <w:pPr>
        <w:spacing w:after="0" w:line="51" w:lineRule="exact"/>
        <w:rPr>
          <w:sz w:val="20"/>
          <w:szCs w:val="20"/>
          <w:color w:val="auto"/>
        </w:rPr>
      </w:pPr>
    </w:p>
    <w:p>
      <w:pPr>
        <w:ind w:left="120" w:firstLine="440"/>
        <w:spacing w:after="0" w:line="276" w:lineRule="auto"/>
        <w:rPr>
          <w:sz w:val="20"/>
          <w:szCs w:val="20"/>
          <w:color w:val="auto"/>
        </w:rPr>
      </w:pPr>
      <w:r>
        <w:rPr>
          <w:rFonts w:ascii="Times New Roman" w:cs="Times New Roman" w:eastAsia="Times New Roman" w:hAnsi="Times New Roman"/>
          <w:sz w:val="17"/>
          <w:szCs w:val="17"/>
          <w:color w:val="auto"/>
        </w:rPr>
        <w:t>Immediately prior to the completion of this offering, we expect to create a dual-class share structure such that our ordinary shares will consist of Class B ordinary shares and Class A ordinary shares. In respect of matters requiring the votes of shareholders, holders of Class A ordinary shares will be</w:t>
      </w:r>
    </w:p>
    <w:p>
      <w:pPr>
        <w:spacing w:after="0" w:line="1" w:lineRule="exact"/>
        <w:rPr>
          <w:sz w:val="20"/>
          <w:szCs w:val="20"/>
          <w:color w:val="auto"/>
        </w:rPr>
      </w:pPr>
    </w:p>
    <w:p>
      <w:pPr>
        <w:ind w:left="120" w:right="340"/>
        <w:spacing w:after="0" w:line="253" w:lineRule="auto"/>
        <w:rPr>
          <w:sz w:val="20"/>
          <w:szCs w:val="20"/>
          <w:color w:val="auto"/>
        </w:rPr>
      </w:pPr>
      <w:r>
        <w:rPr>
          <w:rFonts w:ascii="Times New Roman" w:cs="Times New Roman" w:eastAsia="Times New Roman" w:hAnsi="Times New Roman"/>
          <w:sz w:val="18"/>
          <w:szCs w:val="18"/>
          <w:color w:val="auto"/>
        </w:rPr>
        <w:t>entitled to one vote per share, while holders of Class B ordinary shares will be entitled to votes per share based on our proposed dual-class share structure. We will sell Class A ordinary shares represented by our ADSs in this offering. Each Class B ordinary share is convertible into one Class A ordinary share at any time by the holder thereof, while Class A ordinary shares are not convertible into Class B ordinary shares under any circumstances.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Immediately prior to the completion of this offering, our co-founders and directors, Tony Xu Han and Yan Li, will beneficially own all of our</w:t>
      </w:r>
    </w:p>
    <w:p>
      <w:pPr>
        <w:spacing w:after="0" w:line="27" w:lineRule="exact"/>
        <w:rPr>
          <w:sz w:val="20"/>
          <w:szCs w:val="20"/>
          <w:color w:val="auto"/>
        </w:rPr>
      </w:pPr>
    </w:p>
    <w:p>
      <w:pPr>
        <w:ind w:left="120"/>
        <w:spacing w:after="0" w:line="250" w:lineRule="auto"/>
        <w:rPr>
          <w:sz w:val="20"/>
          <w:szCs w:val="20"/>
          <w:color w:val="auto"/>
        </w:rPr>
      </w:pPr>
      <w:r>
        <w:rPr>
          <w:rFonts w:ascii="Times New Roman" w:cs="Times New Roman" w:eastAsia="Times New Roman" w:hAnsi="Times New Roman"/>
          <w:sz w:val="18"/>
          <w:szCs w:val="18"/>
          <w:color w:val="auto"/>
        </w:rPr>
        <w:t>issued Class B ordinary shares. These Class B ordinary shares will constitute approximately % of our total issued and outstanding share capital immediately after the completion of this offering and % of the aggregate voting power of our total issued and outstanding share capital</w:t>
      </w:r>
    </w:p>
    <w:p>
      <w:pPr>
        <w:spacing w:after="0" w:line="1"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immediately after the completion of this offering due to the disparate voting powers associated with our dual-class share structure, assuming the underwriters do not exercise their over-allotment option. See “Principal and Selling Shareholders.” As a result of the dual-class share structure and the concentration of ownership, holders of Class B ordinary shares will have considerable influence over matters such as decisions regarding mergers, consolidations and the sale of all or substantially all of our assets, election of directors and other significant corporate actions. Such holders may take actions that are not in the best interest of us or our other shareholders. This concentration of ownership may discourage, delay or prevent a change in control of our company, which could have the effect of depriving our other shareholders of the opportunity to receive a premium for their shares as part of a sale of our company and may reduce the price of our ADSs. This concentrated control will limit your ability to influence corporate matters and could discourage others from pursuing any potential merger, takeover or other change of control transactions that holders of Class A ordinary shares and ADSs may view as beneficial.</w:t>
      </w:r>
    </w:p>
    <w:p>
      <w:pPr>
        <w:spacing w:after="0" w:line="297"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or if they adversely change their recommendations regarding our ADSs, the market price for our ADSs and trading volume could decline.</w:t>
      </w:r>
    </w:p>
    <w:p>
      <w:pPr>
        <w:spacing w:after="0" w:line="51"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The trading market for our ADSs will depend in part on the research and reports that securities or industry analysts publish about us or our business. If research analysts do not establish and maintain adequate research</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80"/>
          </w:cols>
          <w:pgMar w:left="320" w:top="455" w:right="4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coverage or if one or more of the analysts who covers us downgrades our ADSs or publishes inaccurate or unfavorable research about our business, the market price for our ADSs would likely decline. If one or more of these analysts cease coverage of our company or fail to publish reports on us regularly, we could lose visibility in the financial markets, which, in turn, could cause the market price or trading volume for our ADSs to decline.</w:t>
      </w:r>
    </w:p>
    <w:p>
      <w:pPr>
        <w:spacing w:after="0" w:line="280" w:lineRule="exact"/>
        <w:rPr>
          <w:sz w:val="20"/>
          <w:szCs w:val="20"/>
          <w:color w:val="auto"/>
        </w:rPr>
      </w:pPr>
    </w:p>
    <w:p>
      <w:pPr>
        <w:ind w:left="12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our initial public offering price is substantially higher than our net tangible book value per share, you will experience immediate and substantial dilution.</w:t>
      </w:r>
    </w:p>
    <w:p>
      <w:pPr>
        <w:spacing w:after="0" w:line="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you purchase ADSs in this offering, you will pay more for your ADSs than the amount paid by our existing shareholders for their ordinary</w:t>
      </w:r>
    </w:p>
    <w:p>
      <w:pPr>
        <w:spacing w:after="0" w:line="27" w:lineRule="exact"/>
        <w:rPr>
          <w:sz w:val="20"/>
          <w:szCs w:val="20"/>
          <w:color w:val="auto"/>
        </w:rPr>
      </w:pPr>
    </w:p>
    <w:p>
      <w:pPr>
        <w:ind w:left="120" w:right="220"/>
        <w:spacing w:after="0" w:line="250" w:lineRule="auto"/>
        <w:rPr>
          <w:sz w:val="20"/>
          <w:szCs w:val="20"/>
          <w:color w:val="auto"/>
        </w:rPr>
      </w:pPr>
      <w:r>
        <w:rPr>
          <w:rFonts w:ascii="Times New Roman" w:cs="Times New Roman" w:eastAsia="Times New Roman" w:hAnsi="Times New Roman"/>
          <w:sz w:val="18"/>
          <w:szCs w:val="18"/>
          <w:color w:val="auto"/>
        </w:rPr>
        <w:t>shares on a per ADS basis. As a result, you will experience immediate and substantial dilution of US$ per ADS, representing the difference between the initial public offering price of US$ per ADS and our adjusted net tangible book value per ADS as of June 30, 2022, after giving</w:t>
      </w:r>
    </w:p>
    <w:p>
      <w:pPr>
        <w:spacing w:after="0" w:line="1" w:lineRule="exact"/>
        <w:rPr>
          <w:sz w:val="20"/>
          <w:szCs w:val="20"/>
          <w:color w:val="auto"/>
        </w:rPr>
      </w:pPr>
    </w:p>
    <w:p>
      <w:pPr>
        <w:ind w:left="120" w:right="180"/>
        <w:spacing w:after="0" w:line="255" w:lineRule="auto"/>
        <w:rPr>
          <w:sz w:val="20"/>
          <w:szCs w:val="20"/>
          <w:color w:val="auto"/>
        </w:rPr>
      </w:pPr>
      <w:r>
        <w:rPr>
          <w:rFonts w:ascii="Times New Roman" w:cs="Times New Roman" w:eastAsia="Times New Roman" w:hAnsi="Times New Roman"/>
          <w:sz w:val="18"/>
          <w:szCs w:val="18"/>
          <w:color w:val="auto"/>
        </w:rPr>
        <w:t>effect to our sale of the ADSs offered in this offering. In addition, you may experience further dilution to the extent that our ordinary shares are issued upon the exercise of share-based awards. See “Dilution” for a more complete description of how the value of your investment in the ADSs will be diluted upon completion of this offering.</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Techniques employed by short sellers may drive down the market price of the ADSs.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Short selling is the practice of selling securities that the seller does not own but rather has borrowed from a third 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interest for the price of the security to decline, many short sellers publish, or arrange for the publication of, negative opinions regarding the relevant issuer and its business prospects in order to create negative market momentum and generate profits for themselves after selling a security short. These short attacks have, in the past, led to selling of shares in the market.</w:t>
      </w:r>
    </w:p>
    <w:p>
      <w:pPr>
        <w:spacing w:after="0" w:line="18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Public companies that have a substantial majority of their operations in China have been the subject of short selling. Much of the scrutiny and negative publicity has centered on allegations of a lack of effective internal control over financial reporting resulting in financial and accounting irregularities and mistakes, inadequate corporate governance policies or a lack of adherence thereto and, in many cases, allegations of fraud. As a result, many of these companies are now conducting internal and external investigations into the allegations and, in the interim, are subject to shareholder lawsuits and/or SEC enforcement actions.</w:t>
      </w:r>
    </w:p>
    <w:p>
      <w:pPr>
        <w:spacing w:after="0" w:line="18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It is not clear what effect such negative publicity could have on us. If we were to become the subject of any unfavorable allegations, whether such allegations are proven to be true or untrue, we could have to expend a significant amount of resources to investigate such allegations and/or defend ourselves. While we would strongly defend against any such short seller attacks, we may be constrained in the manner in which we can proceed against the relevant short seller by principles of freedom of speech, applicable state law or issues of commercial confidentiality. Such a situation could be costly and time-consuming, and could distract our management from growing our business. Even if such allegations are ultimately proven to be groundless, allegations against us could severely impact our business operations, and any investment in the ADSs could be greatly reduced or even rendered worthless.</w:t>
      </w:r>
    </w:p>
    <w:p>
      <w:pPr>
        <w:spacing w:after="0" w:line="293"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expect to pay dividends in the foreseeable future after this offering, you must rely on price appreciation of our ADSs for return on your investment.</w:t>
      </w:r>
    </w:p>
    <w:p>
      <w:pPr>
        <w:spacing w:after="0" w:line="5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currently intend to retain most, if not all, of our available funds and any future earnings after this offering to fund the development and growth of our business. As a result, we do not expect to pay any cash dividends in the foreseeable future. Therefore, you should not rely on an investment in our ADSs as a source for any future dividend income.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00"/>
          </w:cols>
          <w:pgMar w:left="320" w:top="455" w:right="47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Our board of directors has complete discretion as to whether to distribute dividends, subject to certain requirements of Cayman Islands law. In addition, our shareholders may by ordinary resolution declare a dividend, but no dividend may exceed the amount recommended by our directors. Under Cayman Islands law, a Cayman Islands company may pay a dividend out of either profit or share premium account of the company, provided that in no circumstances may a dividend be paid out of share premium if this would result in the company being unable to pay its debts as they fall due in the ordinary course of business. Even if our board of directors decides to declare and pay dividends, the timing, amount and form of future dividends, if any, will depend on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our ADSs will likely depend entirely upon any future price appreciation of our ADSs. There is no guarantee that our ADSs will appreciate in value after this offering or even maintain the price at which you purchased the ADSs. You may not realize a return on your investment in our ADSs and you may even lose your entire investment in our ADSs.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Substantial future sales or perceived potential sales of our ADSs in the public market could cause the price of our ADSs to decline.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Sales of our ADSs in the public market after this offering, or the perception that these sales could occur, could cause the market price of our ADSs</w:t>
      </w:r>
    </w:p>
    <w:p>
      <w:pPr>
        <w:spacing w:after="0" w:line="27"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to decline. Upon completion of this offering, we will have ordinary shares issued and outstanding, including Class A ordinary shares represented by ADSs, assuming the underwriters do not exercise their over-allotment option. All ADSs sold in this offering will be freely transferable without restriction or additional registration under the United States Securities Act of 1933, as amended, or the Securities Act. The remaining ordinary shares issued and outstanding after this offering will be available for sale, upon the expiration of the 180-day lock-up period beginning from the date of this prospectus, subject to volume and other restrictions as applicable under Rules 144 and 701 under the Securities Act. Any or all of these shares may be released prior to the expiration of the lock-up period at the discretion of the representatives of the underwriters of this offering. To the extent shares are released before the expiration of the lock-up period and sold into the market, the market price of our ADSs could decline.</w:t>
      </w:r>
    </w:p>
    <w:p>
      <w:pPr>
        <w:spacing w:after="0" w:line="18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After completion of this offering, certain holders of our Class A ordinary shares may cause us to register under the Securities Act the sale of their shares, subject to the 180-day lock-up period in connection with this offering. Registration of these shares under the Securities Act would result in ADSs representing these shares becoming freely tradable without restriction under the Securities Act immediately upon the effectiveness of the registration. Sales of these registered shares in the form of ADSs in the public market could cause the price of our ADSs to decline.</w:t>
      </w:r>
    </w:p>
    <w:p>
      <w:pPr>
        <w:spacing w:after="0" w:line="284"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voting rights of holders of ADSs are limited by the terms of the deposit agreement, and you may not be able to exercise the same rights as our shareholders.</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Holders of ADSs do not have the same rights as our shareholders. As a holder of our ADSs, you will not have any direct right to attend general meetings of our shareholders or to cast any votes at such meetings. As an ADS holder, you will only be able to exercise the voting rights carried by the underlying Class A ordinary shares which are represented by your ADSs indirectly by giving voting instructions to the depositary in accordance with the provisions of the deposit agreement. Under the deposit agreement, you may vote only by giving voting instructions to the depositary. Upon receipt of your voting instructions, the depositary will try, as far as is practicable, to vote the Class A ordinary shares underlying your ADSs in accordance with your instructions. If we ask for your instructions, then upon receipt of your voting instructions, the depositary will try to vote the underlying Class A ordinary shares in accordance with these instructions. If we do not instruct the depositary to ask for your instructions, the depositary may still vote in accordance with instructions you give, but it is not required to do so. You will not be able to directly exercise your right to vote with respect to the underlying Class A ordinary shares unless you withdraw the shares, and become the registered holder of such shares prior to the record date for the general meeting. When a general meeting is convened, you may not receive sufficient</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20"/>
          </w:cols>
          <w:pgMar w:left="320" w:top="455" w:right="4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advance notice of the meeting to withdraw the Class A ordinary shares underlying your ADSs and become the registered holder of such shares to allow you to attend the general meeting and to vote directly with respect to any specific matter or resolution to be considered and voted upon at the general meeting. In addition, under our post-offering memorandum and articles of association that will become effective immediately prior to completion of this offering, for the purposes of determining those shareholders who are entitled to attend and vote at any general meeting, our directors may close our register of members and/or fix in advance a record date for such meeting, and such closure of our register of members or the setting of such a record date may prevent you from withdrawing the Class A ordinary shares underlying your ADSs and becoming the registered holder of such shares prior to the record date, so that you would not be able to attend the general meeting or to vote directly. If we ask for your instructions, the depositary will notify you of the upcoming vote and will arrange to deliver our voting materials to you. We have agreed to give the depositary notice of shareholder meetings sufficiently in advance of such meetings. Nevertheless, we cannot assure you that you will receive the voting materials in time to ensure that you can instruct the depositary to vote the underlying Class A ordinary shares represented by your ADSs. In addition, the depositary and its agents are not responsible for failing to carry out voting instructions or for their manner of carrying out your voting instructions. This means that you may not be able to exercise your right to direct how the Class A ordinary shares underlying your ADSs are voted and you may have no legal remedy if the Class A ordinary shares underlying your ADSs are not voted as you requested. In addition, in your capacity as an ADS holder, you will not be able to call a shareholders’ meeting. Except in limited circumstances, the depositary for our ADSs will give us a discretionary proxy to vote the Class A ordinary shares underlying your ADSs if you do not vote at shareholders’ meetings, which could adversely affect your interests.</w:t>
      </w:r>
    </w:p>
    <w:p>
      <w:pPr>
        <w:spacing w:after="0" w:line="196"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Under the deposit agreement for the ADSs, if you do not vote, the depositary will give us a discretionary proxy to vote the Class A ordinary shares underlying your ADSs at shareholders’ meetings unless:</w:t>
      </w:r>
    </w:p>
    <w:p>
      <w:pPr>
        <w:spacing w:after="0" w:line="67"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instructed the depositary that we do not wish a discretionary proxy to be given;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informed the depositary that there is substantial opposition as to a matter to be voted on at the meeting;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matter to be voted on at the meeting would have a material adverse impact on shareholders;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at the meeting is to be made on a show of hands.</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effect of this discretionary proxy is that you cannot prevent the Class A ordinary shares underlying your ADSs from being voted, except under the circumstances described above. This may make it more difficult for ADS holders to influence the management of our company. Holders of our Class A ordinary shares are not subject to this discretionary proxy.]</w:t>
      </w:r>
    </w:p>
    <w:p>
      <w:pPr>
        <w:spacing w:after="0" w:line="280"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[Forum selection provisions in our post-offering memorandum and articles of association and our deposit agreement with the depositary bank could limit the ability of holders of our Class A ordinary shares, ADSs or other securities to obtain a favorable judicial forum for disputes with us, our directors and officers, the depositary bank, and potentially others.</w:t>
      </w:r>
    </w:p>
    <w:p>
      <w:pPr>
        <w:spacing w:after="0" w:line="6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post-offering memorandum and articles of association provide that the United States District Court for the Southern District of New York (or, if the United States District Court for the Southern District of New York lacks subject matter jurisdiction over a particular dispute, the state courts in New York County, New York) shall be the exclusive forum within the United States for the resolution of any complaint asserting a cause of action arising out of or relating in any way to the federal securities laws of the United States, including those arising from the Securities Act and the Exchange Act, regardless of whether such legal suit, action, or proceeding also involves parties other than our company. Our deposit agreement with the depositary bank also provides that the United States District Court for the Southern District of New York (or, if the United States District Court for the Southern District of New York lacks subject matter jurisdiction over a particular dispute, the state courts in New York County, New York) will have jurisdiction to hear and determine any suit, action, or proceeding and to settle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20"/>
          </w:cols>
          <w:pgMar w:left="320" w:top="455" w:right="4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any dispute between the depositary bank and us that may arise out of or relate in any way to the deposit agreement, including claims under the Securities Act or the Exchange Act. Holders and beneficial owners of our ADSs, by holding an ADS or an interest therein, understand and irrevocably agree that any legal suit, action, or proceeding against or involving us or the depositary bank arising out of or related in any way to the deposit agreement, ADSs, or the transactions contemplated thereby or by virtue of ownership thereof, including without limitation claims under the Securities Act or the Exchange Act, may only be instituted in the United States District Court for the Southern District of New York (or, if the United States District Court for the Southern District of New York lacks jurisdiction or such designation of the exclusive forum is, or becomes, invalid, illegal, or unenforceable, in the state courts of New York County, New York). However, the enforceability of similar federal court choice of forum provisions has been challenged in legal proceedings in the United States, and a court could find this type of provision to be inapplicable, unenforceable, or inconsistent with other documents relevant to the filing of such lawsuits. If a court were to find the federal court choice of forum provision contained in our post-offering memorandum and articles of association or our deposit agreement with the depositary bank to be inapplicable or unenforceable in an action, we may incur additional costs associated with resolving such action in other jurisdictions. If upheld, the forum selection clause in our post-offering memorandum and articles of association, as well as the forum selection provisions in the deposit agreement, may limit a security-holder’s ability to bring a claim against us, our directors and officers, the depositary bank, and potentially others in his or her preferred judicial forum, and this limitation may discourage such lawsuits. In addition, the Securities Act provides that both federal and state courts have jurisdiction over suits brought to enforce any duty or liability under the Securities Act or the rules and regulations thereunder. Accepting or consent to this forum selection provision does not constitute a waiver by you of compliance with federal securities laws and the rules and regulations thereunder. You may not waive compliance with federal securities laws and the rules and regulations thereunder. The exclusive forum provision in our post-offering memorandum and articles of association will not operate so as to deprive the courts of the Cayman Islands from having jurisdiction over matters relating to our internal affairs.</w:t>
      </w:r>
    </w:p>
    <w:p>
      <w:pPr>
        <w:spacing w:after="0" w:line="296"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entitled to amend the deposit agreement and to change the rights of ADS holders under the terms of such agreement, or to terminate the deposit agreement, without the prior consent of the ADS holders.</w:t>
      </w:r>
    </w:p>
    <w:p>
      <w:pPr>
        <w:spacing w:after="0" w:line="51"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We are entitled to amend the deposit agreement and to change the rights of the ADS holders under the terms of such agreement, without the prior consent of the ADS holders. We and the depositary may agree to amend the deposit agreement in any way we decide is necessary or advantageous to us. Amendments may reflect, among other things, operational changes in the ADS program, legal developments affecting ADSs or changes in the terms of our business relationship with the depositary. In the event that the terms of an amendment impose or increase fees or charges (other than taxes and other governmental charges, registration fees, cable (including SWIFT) or facsimile transmission costs, delivery costs or other such expenses) or that would otherwise prejudice any substantial existing right of the ADS holders, such amendment will not become effective as to outstanding ADSs until the expiration of 30 days after notice of that amendment has been disseminated to the ADS holders, but no prior consent of the ADS holders is required under the deposit agreement. Furthermore, we may decide to terminate the ADS facility at any time for any reason. For example, terminations may occur when the ADSs are delisted from the stock exchange in the United States on which the ADSs are listed and we do not list the ADSs on another stock exchange in the United States, nor is there a symbol available for over-the-counter trading of the ADSs in the United States. If the ADS facility will terminate, ADS holders will receive at least 90 days’ prior notice, but no prior consent is required from them. Under the circumstances that we decide to make an amendment to the deposit agreement that is disadvantageous to ADS holders or terminate the deposit agreement, the ADS holders may choose to sell their ADSs or surrender their ADSs and become direct holders of the underlying Class A ordinary shares, but will have no right to any compensation whatsoever.]</w:t>
      </w:r>
    </w:p>
    <w:p>
      <w:pPr>
        <w:spacing w:after="0" w:line="3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[Your rights to pursue claims against the depositary as a holder of ADSs are limited by the terms of the deposit agreement.</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Under the deposit agreement, any legal suit, action or proceeding against or involving us or the depositary, arising out of or relating in any way to the deposit agreement or the transactions contemplated thereby or by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20"/>
          </w:cols>
          <w:pgMar w:left="320" w:top="455" w:right="4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virtue of owning the ADSs may only be instituted in [the United States District Court of the Southern District of New York (or, if the United States District Court of the Southern District of New York lacks subject matter jurisdiction over a particular dispute, the state courts of New York County, New York)]. Holders and beneficial owners of our ADSs, by holding an ADS or an interest therein, understand and irrevocably agree that any legal suit, action, or proceeding against or involving us or the depositary, arising out of or related in any way to the deposit agreement, ADSs, or the transactions contemplated thereby or by virtue of ownership thereof, including without limitation claims under the Securities Act or the Exchange Act, may only be instituted in [the United States District Court for the Southern District of New York (or, if the Southern District of New York lacks jurisdiction or such designation of the exclusive forum is, or becomes, invalid, illegal, or unenforceable, in the state courts of New York County, New York)], and a holder of our ADSs will have irrevocably waived any objection which such holder may have to the laying of venue of any such proceeding, and irrevocably submitted to the exclusive jurisdiction of such courts in any such action or proceeding. It is possible that a court could find this type of forum selection provision to be inapplicable, unenforceable, or inconsistent with other documents that are relevant to the filing of such lawsuits. For risks related to the enforceability of such exclusive forum selection provision, please see “—Forum selection provisions in our post-offering memorandum and articles of association and our deposit agreement with the depositary bank could limit the ability of holders of our Class A ordinary shares, ADSs or other securities to obtain a favorable judicial forum for disputes with us, our directors and officers, the depositary bank, and potentially others.” Accepting or consent to this forum selection provision does not constitute a waiver by you of compliance with federal securities laws and the rules and regulations thereunder. You may not waive compliance with federal securities laws and the rules and regulations thereunder.</w:t>
      </w:r>
    </w:p>
    <w:p>
      <w:pPr>
        <w:spacing w:after="0" w:line="19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deposit agreement provides that the depositary or an ADS holder may require any claim asserted by it against us arising out of or relating to our Class A ordinary shares, the ADSs or the deposit agreement be referred to and finally settled by an arbitration conducted under the terms described in the deposit agreement, although the arbitration provisions do not preclude you from pursuing any claim, including claims under the Securities Act or the Exchange Act in [the United States District Court for the Southern District of New York (or such state courts if the United States District Court for the Southern District of New York lacks subject matter jurisdiction)]. The exclusive forum selection provisions in the deposit agreement also do not affect the right of any party to the deposit agreement to elect to submit a claim against us to arbitration, or our duty to submit that claim to arbitration, as provided in the deposit agreement, or the right of any party to an arbitration under the deposit agreement, to commence an action to compel that arbitration, or to enter judgment upon or to enforce an award by the arbitrators, in any court having jurisdiction over an action of that kind. See “Description of American Depositary Shares” for more information.]</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[You may not receive cash dividends if the depositary decides it is impractical to make them available to you.</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depositary will pay cash dividends on the ADSs only to the extent that we decide to distribute dividends on our Class A ordinary shares or other deposited securities, and we do not have any present plan to pay any cash dividends on our Class A ordinary shares in the foreseeable future. To the extent that there is a distribution, the depositary of our ADSs has agreed to pay to you the cash dividends or other distributions it or the custodian receives on our Class A ordinary shares or other deposited securities after deducting its fees and expenses. You will receive these distributions in proportion to the number of Class A ordinary shares your ADSs represent. However, the depositary may, at its discretion, decide that it is inequitable or impractical to make a distribution available to any holders of ADSs. For example, the depositary may determine that it is not practicable to distribute certain property through the mail, or that the value of certain distributions may be less than the cost of mailing them. In these cases, the depositary may decide not to distribute such property to you.]</w:t>
      </w:r>
    </w:p>
    <w:p>
      <w:pPr>
        <w:spacing w:after="0" w:line="296"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[ADSs holders may not be entitled to a jury trial with respect to claims arising under the deposit agreement, which could result in less favorable outcomes to the plaintiff(s) in any such action.</w:t>
      </w:r>
    </w:p>
    <w:p>
      <w:pPr>
        <w:spacing w:after="0" w:line="5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deposit agreement governing the ADSs representing our ordinary shares provides that, to the fullest extent permitted by law, ADS holders waive the right to a jury trial of any claim they may have against us or the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080"/>
          </w:cols>
          <w:pgMar w:left="320" w:top="455" w:right="4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depositary arising out of or relating to our shares, the ADSs or the deposit agreement, including any claim under the U.S. federal securities laws.</w:t>
      </w:r>
    </w:p>
    <w:p>
      <w:pPr>
        <w:spacing w:after="0" w:line="225"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In determining whether to enforce a contractual pre-dispute jury trial waiver provision, courts will generally consider whether a party knowingly, intelligently and voluntarily waive the right to a jury trial. We believe that this is the case with respect to the deposit agreement and the ADSs. It is advisable that you consult legal counsel regarding the jury waiver provision before entering into the deposit agreement.</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or the depositary, lead to increased costs to bring a claim, limited access to information and other imbalances of resources between such holder and us, or limit such holder’s ability to bring a claim in a judicial forum that such holder finds favorable. If a lawsuit is brought against us 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w:t>
      </w:r>
    </w:p>
    <w:p>
      <w:pPr>
        <w:spacing w:after="0" w:line="189"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Nevertheless, if this jury trial waiver provision is not enforced, to the extent a court action proceeds, it would proceed under the terms of the deposit agreement with a jury trial. No condition, stipulation or provision of the deposit agreement or ADSs serves as a waiver by any holder or beneficial owner of ADSs or by us or the depositary of compliance with any substantive provision of the U.S. federal securities laws and the rules and regulations promulgated thereunder.]</w:t>
      </w:r>
    </w:p>
    <w:p>
      <w:pPr>
        <w:spacing w:after="0" w:line="284" w:lineRule="exact"/>
        <w:rPr>
          <w:sz w:val="20"/>
          <w:szCs w:val="20"/>
          <w:color w:val="auto"/>
        </w:rPr>
      </w:pPr>
    </w:p>
    <w:p>
      <w:pPr>
        <w:ind w:left="12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are an exempted company incorporated under the laws of the Cayman Islands with limited liability. Our corporate affairs are governed by our memorandum and articles of association, the Companies Act (Revised) of the Cayman Islands, which we refer to as the Companies Act, and the common law of the Cayman Islands. The rights of shareholders to take action against our directors, actions by our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94"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Shareholders of Cayman Islands exempted companies like us have no general rights under Cayman Islands law to inspect corporate records (other than copies of the memorandum and articles of association, the register of mortgages and charges and any special resolutions passed by the shareholders) or to obtain copies of lists of</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20"/>
          </w:cols>
          <w:pgMar w:left="320" w:top="455" w:right="4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shareholders of these companies. Our directors have discretion under our post-offering articles of association that will become effective immediately prior to completion of this offering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80"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As a result of all of the above, our public shareholders may have more difficulty in protecting their interests in the face of actions taken by management, members of the board of directors or controlling shareholders than they would as public shareholders of a company incorporated in the United States. For a discussion of significant differences between the provisions of the Companies Act and the laws applicable to companies incorporated in the United States and their shareholders, see “Description of Share Capital—Differences in Corporate Law.”</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You may be subject to limitations on transfer of your ADSs.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Your ADSs are transferable on the books of the depositary. However, the depositary may close its transfer books at any time or from time to time when it deems expedient in connection with the performance of its duties. The depositary may close its books from time to time for a number of reasons, including in connection with corporate events such as a rights offering, during which time the depositary needs to maintain an exact number of ADS holders on its books for a specified period. The depositary may also close its books in emergencies, and on weekends and public holidays.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Your right to participate in any future rights offerings may be limited, which may cause dilution to your holdings.</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We may from time to time distribute rights to our shareholders, including rights to acquire our securities. However, we cannot make rights available to you in the United States unless we register both the rights and the securities to which the rights relate under the Securities Act or an exemption from the registration requirements is available. Under the deposit agreement, the depositary will not make rights available to you unless both the rights and the underlying securities to be distributed to ADS holders are either registered under the Securities Act or exempt from registration under the Securities Act. We are under no obligation to file a registration statement with respect to any such rights or securities or to endeavor to cause such a registration statement to be declared effective and we may not be able to establish a necessary exemption from registration under the Securities Act. Accordingly, you may be unable to participate in our rights offerings and may experience dilution in your holdings.</w:t>
      </w:r>
    </w:p>
    <w:p>
      <w:pPr>
        <w:spacing w:after="0" w:line="293"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experience difficulties in effecting service of legal process, enforcing foreign judgments or bringing actions in China against us or our management named in the prospectus based on foreign laws.</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are a company incorporated under the laws of the Cayman Islands. We conduct a substantial majority of our operations in mainland China and a substantial majority of our assets are located in China. In addition, most of our directors and senior executive officers reside within China for a significant portion of the time and most are PRC nationals. As a result, it may be difficult for you to effect service of process upon us or those persons inside China. It may also be difficult for you to enforce in U.S. courts judgments obtained in U.S. courts based on the civil liability provisions of the U.S. federal securities laws against us and our officers and directors who reside and whose assets are located outside the United States. In addition, there is uncertainty as to whether the courts of the Cayman Islands or the PRC would recognize or enforce judgments of U.S. courts against us or such persons predicated upon the civil liability provisions of the securities laws of the United States or any state.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20"/>
          </w:cols>
          <w:pgMar w:left="320" w:top="455" w:right="4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United States and the Cayman Islands do not have a treaty providing for reciprocal recognition and enforcement of judgments of U.S. courts in civil and commercial matters and that there is uncertainty as to whether the courts of the Cayman Islands would (i) recognize or enforce judgments of U.S. courts obtained against us or our directors or officers, predicated upon the civil liability provisions of the securities laws of the United States or any state in the United States, or (ii) entertain original actions brought in the Cayman Islands against us or our directors or officers, predicated upon the securities laws of the United States or any state in the United States. A judgment obtained in any federal or state court in the United States will be recognized and enforced in the courts of the Cayman Islands at common law, without any re-examination of the merits of the underlying dispute, by an action commenced on the foreign judgment debt in the Grand Court of the Cayman Islands, provided such judgment (i) is given by a foreign court of competent jurisdiction, (ii) imposes on the judgment debtor a liability to pay a liquidated sum for which the judgment has been given, (iii) is final, (iv) is not in respect of taxes, a fine or a penalty, and (v) was not obtained in a manner and is not of a kind the enforcement of which is contrary to natural justice or the public policy of the Cayman Islands. However, the Cayman Islands courts are unlikely to enforce a judgment obtained from the United States courts under the civil liability provisions of the securities laws if such judgment is determined by the courts of the Cayman Islands to give rise to obligations to make payments that are penal or punitive in nature. Because the courts of the Cayman Islands have yet to rule on whether such judgments are penal or punitive in nature, it is uncertain whether such civil liability judgments from U.S. courts would be enforceable in the Cayman Islands.</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recognition and enforcement of foreign judgments are provided for under the PRC Civil Procedures Law. PRC courts may recognize and enforce foreign judgments in accordance with the requirements of the PRC Civil Procedures Law and other applicable laws and regulations based either on treaties between China and the country where the judgment is made or on principles of reciprocity between jurisdictions. China does not have any treaties or other forms of reciprocity with the United States that provide for the reciprocal recognition and enforcement of foreign judgments. In addition, according to the PRC Civil Procedures Law, the PRC courts will not enforce a foreign judgment against us or our directors and officers if they decide that the judgment violates the basic principles of PRC laws or national sovereignty, security or public interest. As a result, it is uncertain whether and on what basis a PRC court would enforce a judgment rendered by a court in the United States. Under the PRC Civil Procedures Law, foreign shareholders may originate actions based on PRC law against a company in China for disputes if they can establish sufficient nexus to the PRC for a PRC court to have jurisdiction, and meet other procedural requirements. It will be, however, difficult for U.S. shareholders to originate actions against us in the PRC in accordance with PRC laws because we are incorporated under the laws of the Cayman Islands and it will be difficult for U.S. shareholders, by virtue only of holding the ADSs or ordinary shares, to establish a connection to the PRC for a PRC court to have jurisdiction as required under the PRC Civil Procedures Law.</w:t>
      </w:r>
    </w:p>
    <w:p>
      <w:pPr>
        <w:spacing w:after="0" w:line="294"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determined a specific use for a portion of the net proceeds from this offering and we may use these proceeds in ways with which you may not agree.</w:t>
      </w:r>
    </w:p>
    <w:p>
      <w:pPr>
        <w:spacing w:after="0" w:line="5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have not determined a specific use for a portion of the net proceeds of this offering, and our management will have considerable discretion in deciding how to apply these proceeds. You will not have the opportunity to assess whether the proceeds are being used appropriately before you make your investment decision. You must rely on the judgment of our management regarding the application of the net proceeds of this offering. We cannot assure you that the net proceeds will be used in a manner that would improve our results of operations or increase our ADS price, nor that these net proceeds will be placed only in investments that generate income or appreciate in value.</w:t>
      </w:r>
    </w:p>
    <w:p>
      <w:pPr>
        <w:spacing w:after="0" w:line="287" w:lineRule="exact"/>
        <w:rPr>
          <w:sz w:val="20"/>
          <w:szCs w:val="20"/>
          <w:color w:val="auto"/>
        </w:rPr>
      </w:pPr>
    </w:p>
    <w:p>
      <w:pPr>
        <w:ind w:left="120" w:right="4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post-offering memorandum and articles of association that will become effective immediately prior to the completion of this offering will contain anti-takeover provisions that could discourage a third party from acquiring us and adversely affect the rights of holders of our Class A ordinary shares and the ADSs.</w:t>
      </w:r>
    </w:p>
    <w:p>
      <w:pPr>
        <w:spacing w:after="0" w:line="67"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We will adopt the eighth amended and restated memorandum and articles of association that will become effective immediately prior to the completion of this offering, which we refer to as our post-offering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20"/>
          </w:cols>
          <w:pgMar w:left="320" w:top="455" w:right="4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memorandum and articles of association. Our post-offering memorandum and articles of association will contain provisions to limit the ability of others to acquire control of our company or cause us to engage in change of control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Class A ordinary shares, in the form of ADS or otherwise. Preferred shares could be issued quickly with terms calculated to delay or prevent a change in control of our company or make removal of management more difficult. If our board of directors decides to issue preferred shares, the price of our ADSs may fall and the voting and other rights of the holders of our Class A ordinary shares and ADSs may be materially and adversely affected.</w:t>
      </w:r>
    </w:p>
    <w:p>
      <w:pPr>
        <w:spacing w:after="0" w:line="298" w:lineRule="exact"/>
        <w:rPr>
          <w:sz w:val="20"/>
          <w:szCs w:val="20"/>
          <w:color w:val="auto"/>
        </w:rPr>
      </w:pPr>
    </w:p>
    <w:p>
      <w:pPr>
        <w:ind w:left="120"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within the meaning of the rules under the Exchange Act, and as such we are exempt from certain provisions applicable to U.S. domestic public companies.</w:t>
      </w:r>
    </w:p>
    <w:p>
      <w:pPr>
        <w:spacing w:after="0" w:line="51"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Because we qualify as a foreign private issuer under the Exchange Act, we are exempt from certain provisions of the securities rules and regulations in the United States that are applicable to U.S. domestic issuers, including:</w:t>
      </w:r>
    </w:p>
    <w:p>
      <w:pPr>
        <w:spacing w:after="0" w:line="67" w:lineRule="exact"/>
        <w:rPr>
          <w:sz w:val="20"/>
          <w:szCs w:val="20"/>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or current reports on Form 8-K;</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selective disclosure rules by issuers of material nonpublic information under Regulation FD promulgated by SEC;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audit committee independence requirements in Rule 10A-3 of the Exchange Act.</w:t>
      </w:r>
    </w:p>
    <w:p>
      <w:pPr>
        <w:spacing w:after="0" w:line="225"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We will be required to file an annual report on Form 20-F within four months of the end of each fiscal year. In addition, we intend to publish our results on a quarterly basis as press releases, distributed pursuant to the rules and regulations of the [New York Stock Exchange/Nasdaq Stock Market].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spacing w:after="0" w:line="287" w:lineRule="exact"/>
        <w:rPr>
          <w:sz w:val="20"/>
          <w:szCs w:val="20"/>
          <w:color w:val="auto"/>
        </w:rPr>
      </w:pPr>
    </w:p>
    <w:p>
      <w:pPr>
        <w:ind w:left="120"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As an exempted company incorporated in the Cayman Islands, we are permitted to adopt certain home country practices in relation to corporate governance matters that differ significantly from the [New York Stock Exchange’s/Nasdaq Stock Market’s] corporate governance requirements; these practices may afford less protection to shareholders than they would enjoy if we complied fully with the [New York Stock Exchange’s/Nasdaq Stock Market’s] corporate governance requirements.</w:t>
      </w:r>
    </w:p>
    <w:p>
      <w:pPr>
        <w:spacing w:after="0" w:line="72"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As a Cayman Islands company listed on the [New York Stock Exchange/ Nasdaq Stock Market], we are subject to the corporate governance listing standards of the [New York Stock Exchange/Nasdaq Stock Market]. However, rules of the [New York Stock Exchange/Nasdaq Stock Market] permit a foreign private issuer like us to follow the corporate governance practices of its home country. Certain corporate governance practices in the Cayman Islands, which is our home country, may differ significantly from the corporate governance listing</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00"/>
          </w:cols>
          <w:pgMar w:left="320" w:top="455" w:right="47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standards of the [New York Stock Exchange/Nasdaq Stock Market]. If we choose to follow home country practices in the future, our shareholders may be afforded less protection than they would otherwise enjoy under the corporate governance listing standards of the [New York Stock Exchange/Nasdaq Stock Market] that are applicable to U.S. domestic issuers.</w:t>
      </w:r>
    </w:p>
    <w:p>
      <w:pPr>
        <w:spacing w:after="0" w:line="280" w:lineRule="exact"/>
        <w:rPr>
          <w:sz w:val="20"/>
          <w:szCs w:val="20"/>
          <w:color w:val="auto"/>
        </w:rPr>
      </w:pPr>
    </w:p>
    <w:p>
      <w:pPr>
        <w:jc w:val="both"/>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not be classified as a passive foreign investment company for U.S. federal income tax purposes, which could result in adverse U.S. federal income tax consequences to U.S. Holders of our ADSs or Class A ordinary shares.</w:t>
      </w:r>
    </w:p>
    <w:p>
      <w:pPr>
        <w:spacing w:after="0" w:line="51"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A non-U.S. corporation, such as our company, will generally be classified as a “passive foreign investment company,” or “PFIC,” for U.S. federal income tax purposes, for any taxable year, if either (i) 75% or more of its gross income for such year consists of certain types of “passive” income or (ii) 50% or more of its assets (generally determined on the basis of a quarterly average) during such year produce or are held for the production of passive income. Although the law in this regard is not entirely clear, we treat the VIE and its subsidiaries as being owned by us for U.S. federal income tax purposes because we control their management decisions and are entitled to substantially all of the economic benefits associated with them. As a result, we consolidate their results of operations in our consolidated IFRS financial statements. If it were determined, however, that we are not the owner of the VIE and its subsidiaries for U.S. federal income tax purposes, we may be treated as a PFIC for the current taxable year and any future taxable year. Assuming that we are the owner of the VIE and its subsidiaries for U.S. federal income tax purposes, and based on the current and anticipated value of our assets and composition of our income and assets, including goodwill (taking into account the expected cash proceeds from, and our anticipated market capitalization following, this offering), we do not presently expect to be or become a PFIC for the current taxable year or the foreseeable future.</w:t>
      </w:r>
    </w:p>
    <w:p>
      <w:pPr>
        <w:spacing w:after="0" w:line="17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While we do not expect to be or become a PFIC, no assurance can be given in this regard because the determination of whether we are or will become a PFIC for any taxable year is a fact-intensive inquiry made on an annual basis that depends, in part, upon the composition and classification of our income and assets. Fluctuations in the market price of our ADSs may cause us to be or become a PFIC for the current or subsequent taxable years because the value of our assets for the purpose of the asset test, including the value of our goodwill and other unbooked intangibles, may be determined by reference to the market price of our ADSs from time to time (which may be volatile). The composition of our income and assets may also be affected by how, and how quickly, we use our liquid assets including cash raised in this offering.</w:t>
      </w:r>
    </w:p>
    <w:p>
      <w:pPr>
        <w:spacing w:after="0" w:line="187"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If we are classified as a PFIC for any taxable year during which a U.S. Holder (as defined in “Taxation—United States Federal Income Tax Considerations”) holds our ADSs or Class A ordinary shares, the PFIC tax rules discussed under “Taxation—United States Federal Income Tax Considerations—Passive Foreign Investment Company Rules” will generally apply to such U.S. Holder for such taxable year and, unless the U.S. Holder makes a “mark-to-market” election, will apply in future years even if we cease to be a PFIC. See the discussion under “Taxation—United States Federal Income Tax Considerations—Passive Foreign Investment Company Rules” concerning the U.S. federal income tax considerations of an investment in our ADSs or Class A ordinary shares if we are or become classified as a PFIC and the possibility of making such election.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within the meaning of the Securities Act and may take advantage of certain reduced reporting requirements.</w:t>
      </w:r>
    </w:p>
    <w:p>
      <w:pPr>
        <w:spacing w:after="0" w:line="121" w:lineRule="exact"/>
        <w:rPr>
          <w:sz w:val="20"/>
          <w:szCs w:val="20"/>
          <w:color w:val="auto"/>
        </w:rPr>
      </w:pPr>
    </w:p>
    <w:p>
      <w:pPr>
        <w:ind w:left="120" w:right="260" w:firstLine="440"/>
        <w:spacing w:after="0" w:line="256" w:lineRule="auto"/>
        <w:rPr>
          <w:sz w:val="20"/>
          <w:szCs w:val="20"/>
          <w:color w:val="auto"/>
        </w:rPr>
      </w:pPr>
      <w:r>
        <w:rPr>
          <w:rFonts w:ascii="Times New Roman" w:cs="Times New Roman" w:eastAsia="Times New Roman" w:hAnsi="Times New Roman"/>
          <w:sz w:val="18"/>
          <w:szCs w:val="18"/>
          <w:color w:val="auto"/>
        </w:rPr>
        <w:t>As a company with less than US$1.235 billion in revenue for our last fiscal year, we qualify as an “emerging growth company” pursuant to the JOBS Act. Therefore, we may take advantage of specified reduced reporting and other requirements that are otherwise applicable generally to public companies. These provisions include exemption from the auditor attestation requirement under Section 404 of the Sarbanes-Oxley Act of 2002, or Section 404, in the assessment of the emerging growth company’s internal control over financial reporting and permission to delay adopting new or revised accounting standards until such time as those standards apply to private companies. As a result, if we elect not to comply with such reporting and other</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00"/>
          </w:cols>
          <w:pgMar w:left="320" w:top="455" w:right="47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requirements, in particular the auditor attestation requirements, our investors may not have access to certain information they may deem important.</w:t>
      </w:r>
    </w:p>
    <w:p>
      <w:pPr>
        <w:spacing w:after="0" w:line="329"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increased costs and become subject to additional rules and regulations as a result of being a public company, particularly after we cease to qualify as an “emerging growth company.”</w:t>
      </w:r>
    </w:p>
    <w:p>
      <w:pPr>
        <w:spacing w:after="0" w:line="5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Upon completion of this offering, we will become a public company and expect to incur significant legal, accounting and other expenses that we did not incur as a private company. The Sarbanes-Oxley Act of 2002, as well as rules subsequently implemented by the Securities and Exchange Commission, or the SEC, the [New York Stock Exchange/Nasdaq Stock Market], impose various requirements on the corporate governance practices of public companies. We expect these rules and regulations to increase our legal and financial compliance costs and to make some corporate activities more time-consuming and costly.</w:t>
      </w:r>
    </w:p>
    <w:p>
      <w:pPr>
        <w:spacing w:after="0" w:line="183"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As a result of becoming a public company, we will need to increase the number of independent directors and adopt policies regarding internal controls and disclosure controls and procedures. We also expect that operating as a public company will make it more difficult and more expensive for us to obtain director and officer liability insurance, and we may be required to accept reduced policy limits and coverage or incur substantially higher costs to obtain the same or similar coverage. In addition, we will incur additional costs associated with our public company reporting requirements. It may also be more difficult for us to find qualified persons to serve on our board of directors or as executive officers. We are currently evaluating and monitoring developments with respect to these rules and regulations, and we cannot predict or estimate with any degree of certainty the number of additional costs we may incur or the timing of such costs.</w:t>
      </w:r>
    </w:p>
    <w:p>
      <w:pPr>
        <w:spacing w:after="0" w:line="18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 the past, shareholders of a public company often brought securities class action suits against the company following periods of instability in the market price of that company’s securities. If we were to be involved in a class action suit, it would possibly divert a significant amount of our management’s attention and other resources from our business and operations, which could harm our results of operations and require us to incur significant expenses to defend the suit. Any such class action suit, whether or not successful, could harm our reputation and restrict our ability to raise capital in the future. In addition, if a claim is successfully made against us, we may be required to pay significant damages, which could have a material and adverse effect on our financial condition and results of operations.</w:t>
      </w:r>
    </w:p>
    <w:p>
      <w:pPr>
        <w:spacing w:after="0" w:line="187"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In addition, as an emerging growth company, we will still incur expenses in relation to management assessment according to requirements of Section 404(a) of the Sarbanes-Oxley Act of 2002. After we are no longer an “emerging growth company,” we expect to incur additional significant expenses and devote substantial management effort toward ensuring compliance with the requirements of Section 404(b) of the Sarbanes-Oxley Act of 2002 and the other rules and regulations of the SEC.</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120"/>
          </w:cols>
          <w:pgMar w:left="320" w:top="455" w:right="4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This prospectus contains forward-looking statements that reflect our current expectations and views of future events. The forward-looking statements are contained principally in the sections entitled “Prospectus Summary,” “Risk Factors,” “Management’s Discussion and Analysis of Financial Condition and Results of Operations” and “Business.” Known and unknown risks, uncertainties and other factors, including those listed under “Risk Factors,” may cause our actual results, performance or achievements to be materially different from those expressed or implied by the forward-looking statements.</w:t>
      </w:r>
    </w:p>
    <w:p>
      <w:pPr>
        <w:spacing w:after="0" w:line="183"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You can identify some of these forward-looking statements by words or phrases such as “may,” “will,” “expect,” “anticipate,” “aim,” “estimate,” “intend,” “plan,” “believe,” “is/are likely to,” “potential,” “continue” or other similar expressions. We have based these forward-looking statements largely on our current expectations and projections about future events that we believe may affect our financial condition, results of operations, business strategy and financial needs. These forward-looking statements include statements relating to:</w:t>
      </w:r>
    </w:p>
    <w:p>
      <w:pPr>
        <w:spacing w:after="0" w:line="85" w:lineRule="exact"/>
        <w:rPr>
          <w:sz w:val="20"/>
          <w:szCs w:val="20"/>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mission, goals and strategies;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financial condition and results of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changes in our revenue, expenses or expenditures;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growth of the autonomous driving market in China and globally;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demand for and market acceptance of our products and services;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improve and enhance our autonomous driving technology and offer quality products and services;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our industry;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policies and regulations relating to our industry;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 in China and globally;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or administrative proceedings;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underlying or related to any of the foregoing.</w:t>
      </w:r>
    </w:p>
    <w:p>
      <w:pPr>
        <w:spacing w:after="0" w:line="225"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You should read this prospectus and the documents that we refer to in this prospectus with the understanding that our actual future results may be materially different from and worse than what we expect. Other sections of this prospectus include additional factors which could adversely impact our business and financial performance.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spacing w:after="0" w:line="187"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We undertake no obligation to update or revise any forward-looking statements, whether as a result of new information, future events or otherwise.</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This prospectus also contains statistical data and estimates that we obtained from government and private publications, including industry data and information from China Insights Consultancy. Statistical data in these publications also include projections based on a number of assumptions. The market data contained in this prospectus involves a number of assumptions, estimates and limitations. The related markets in China and elsewhere may not grow at the rates projected by market data, or at all. The failure of the markets to grow at the projected rates may have a material adverse effect on our business and the market price of our ADSs. If any one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20"/>
          </w:cols>
          <w:pgMar w:left="320" w:top="455" w:right="4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or more of the assumptions underlying the market data turns out to be incorrect, actual results may differ from the projections based on these assumptions. In addition, projections, assumptions and estimates of our future performance and the future performance of the industry in which we operate are necessarily subject to a high degree of uncertainty and risk due to a variety of factors, including those described in “Risk Factors” and elsewhere in this prospectus. You should not place undue reliance on these forward-looking statements.</w:t>
      </w:r>
    </w:p>
    <w:p>
      <w:pPr>
        <w:spacing w:after="0" w:line="112"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0700"/>
          </w:cols>
          <w:pgMar w:left="320" w:top="455" w:right="87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07"/>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5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533"/>
        </w:trPr>
        <w:tc>
          <w:tcPr>
            <w:tcW w:w="1360" w:type="dxa"/>
            <w:vAlign w:val="bottom"/>
            <w:tcBorders>
              <w:top w:val="single" w:sz="8" w:color="0000EE"/>
            </w:tcBorders>
          </w:tcPr>
          <w:p>
            <w:pPr>
              <w:spacing w:after="0"/>
              <w:rPr>
                <w:sz w:val="24"/>
                <w:szCs w:val="24"/>
                <w:color w:val="auto"/>
              </w:rPr>
            </w:pPr>
          </w:p>
        </w:tc>
        <w:tc>
          <w:tcPr>
            <w:tcW w:w="5860" w:type="dxa"/>
            <w:vAlign w:val="bottom"/>
          </w:tcPr>
          <w:p>
            <w:pPr>
              <w:ind w:left="342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25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32"/>
        </w:trPr>
        <w:tc>
          <w:tcPr>
            <w:tcW w:w="72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We estimate that we will receive net proceeds from this offering of approximately US$</w:t>
            </w:r>
          </w:p>
        </w:tc>
        <w:tc>
          <w:tcPr>
            <w:tcW w:w="2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 or approximately US$</w:t>
            </w:r>
          </w:p>
        </w:tc>
        <w:tc>
          <w:tcPr>
            <w:tcW w:w="78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5"/>
              </w:rPr>
              <w:t>if the</w:t>
            </w:r>
          </w:p>
        </w:tc>
      </w:tr>
    </w:tbl>
    <w:p>
      <w:pPr>
        <w:ind w:left="1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underwriters exercise their option to purchase additional ADSs in full, after deducting underwriting discounts and commissions and the estimated</w:t>
      </w:r>
    </w:p>
    <w:p>
      <w:pPr>
        <w:spacing w:after="0" w:line="9" w:lineRule="exact"/>
        <w:rPr>
          <w:sz w:val="20"/>
          <w:szCs w:val="20"/>
          <w:color w:val="auto"/>
        </w:rPr>
      </w:pPr>
    </w:p>
    <w:p>
      <w:pPr>
        <w:ind w:left="120" w:right="340"/>
        <w:spacing w:after="0" w:line="250" w:lineRule="auto"/>
        <w:rPr>
          <w:sz w:val="20"/>
          <w:szCs w:val="20"/>
          <w:color w:val="auto"/>
        </w:rPr>
      </w:pPr>
      <w:r>
        <w:rPr>
          <w:rFonts w:ascii="Times New Roman" w:cs="Times New Roman" w:eastAsia="Times New Roman" w:hAnsi="Times New Roman"/>
          <w:sz w:val="18"/>
          <w:szCs w:val="18"/>
          <w:color w:val="auto"/>
        </w:rPr>
        <w:t>offering expenses payable by us. These estimates are based upon an assumed initial public offering price of US$ per ADS, which is the midpoint of the price range shown on the front page of this prospectus. A US$1.00 increase (decrease) in the assumed initial public offering price of</w:t>
      </w:r>
    </w:p>
    <w:p>
      <w:pPr>
        <w:spacing w:after="0" w:line="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US$ per ADS would increase (decrease) the net proceeds to us from this offering by US$ , assuming the number of ADSs offered by us, as set forth on the front cover of this prospectus, remains the same and after deducting the estimated underwriting discounts and commissions and estimated expenses payable by us.</w:t>
      </w:r>
    </w:p>
    <w:p>
      <w:pPr>
        <w:spacing w:after="0" w:line="186"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primary purposes of this offering are to create a public market for our shares for the benefit of all shareholders, retain talented employees by providing them with equity incentives, and obtain additional capital. We plan to use the net proceeds of this offering as follows:</w:t>
      </w:r>
    </w:p>
    <w:p>
      <w:pPr>
        <w:spacing w:after="0" w:line="67" w:lineRule="exact"/>
        <w:rPr>
          <w:sz w:val="20"/>
          <w:szCs w:val="20"/>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35% for research and development of autonomous driving technologies, products and services;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30% for commercialization and operation of our autonomous driving fleets, as well as marketing activities to expand into more markets;</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25% to support our capital expenditures, including purchase of testing vehicles, research and development facilities and administrative expenses; and</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10% for general corporate purposes and working capital, which may include strategic investments and acquisitions, although we have not identified any specific investments or acquisition opportunities at this time.</w:t>
      </w:r>
    </w:p>
    <w:p>
      <w:pPr>
        <w:spacing w:after="0" w:line="162"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The foregoing represents our current intentions based upon our present plans and business conditions to use and allocate the net proceeds of this offering. Our management, however, will have significant flexibility and discretion to apply the net proceeds of this offering. If an unforeseen event occurs or business conditions change, we may use the proceeds of this offering differently than as described in this prospectus. See “Risk Factors— Risks Related to Our ADSs and This Offering—We have not determined a specific use for a portion of the net proceeds from this offering and we may use these proceeds in ways with which you may not agree.”</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Pending any use described above, we plan to invest the net proceeds in short-term, interest-bearing, debt instruments or demand deposits.</w:t>
      </w:r>
    </w:p>
    <w:p>
      <w:pPr>
        <w:spacing w:after="0" w:line="225"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In using the proceeds of this offering, we are permitted under PRC laws and regulations as an offshore holding company to provide funding to our mainland China subsidiaries only through loans or capital contributions, subject to satisfaction of applicable government registration and approval requirements. We cannot assure you that we will be able to obtain these government registrations or approvals on a timely basis, or at all. See “Risk Factors—Risks Related to Doing Business in Mainland China—PRC regulation of loans to and direct investment in PRC entities by offshore holding companies and governmental control of currency conversion may delay or prevent us from using the proceeds of this offering to make loans or additional capital contributions to our mainland China subsidiaries, which could materially and adversely affect our liquidity and our ability to fund and expand our business.”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not receive any of the proceeds from the sale of ADSs by the selling shareholders.]</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120"/>
          </w:cols>
          <w:pgMar w:left="320" w:top="446" w:right="4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board of directors has discretion on whether to distribute dividends, subject to certain requirements of Cayman Islands law. In addition, our shareholders may by ordinary resolution declare a dividend, but no dividend may exceed the amount recommended by our board of directors. In either case, all dividends are subject to certain restrictions under Cayman Islands law, namely that our company may only pay dividends out of profits or share premium account, and provided always that in no circumstances may a dividend be paid if this would result in our company being unable to pay its debts as they fall due in the ordinary course of business. Even if our board of directors decide to pay or recommend dividends, the form, frequency and amount will depend upon our future operations and earnings, capital requirements and surplus, general financial condition, contractual restrictions and other factors that the board of directors may deem relevant.</w:t>
      </w:r>
    </w:p>
    <w:p>
      <w:pPr>
        <w:spacing w:after="0" w:line="18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We have not previously declared or paid cash dividends, and we have no plan to declare or pay any dividends in the near future on our shares or ADSs. We currently intend to retain most, if not all, of our available funds and any future earnings to operate and expand our business.</w:t>
      </w:r>
    </w:p>
    <w:p>
      <w:pPr>
        <w:spacing w:after="0" w:line="162"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We are a holding company incorporated in the Cayman Islands. We may rely on dividends from our subsidiaries in China for our cash requirements, including any payment of dividends to our shareholders. PRC regulations may restrict the ability of our mainland China subsidiaries to pay dividends to us. See “Regulations—Regulations Relating to Foreign Exchange.”</w:t>
      </w:r>
    </w:p>
    <w:p>
      <w:pPr>
        <w:spacing w:after="0" w:line="176"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If we pay any dividends on our ordinary shares, we will pay those dividends which are payable in respect of the underlying Class A ordinary shares represented by the ADSs to the depositary, as the registered holder of such Class A ordinary shares, and the depositary then will pay such amounts to the ADS holders in proportion to the underlying Class A ordinary shares represented by the ADSs held by such ADS holders, subject to the terms of the deposit agreement, including the fees and expenses payable thereunder. See “Description of American Depositary Shares.” Cash dividends on our ordinary shares, if any, will be paid in U.S. dollars.</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060"/>
          </w:cols>
          <w:pgMar w:left="320" w:top="455" w:right="5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our capitalization as of June 30, 2022:</w:t>
      </w:r>
    </w:p>
    <w:p>
      <w:pPr>
        <w:spacing w:after="0" w:line="131" w:lineRule="exact"/>
        <w:rPr>
          <w:sz w:val="20"/>
          <w:szCs w:val="20"/>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55"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basis to reflect (i) the issuance of warrant to purchase Series D+ Preferred Shares in October 2022; (ii) the conversion of all of our issued and outstanding golden shares into Class B ordinary shares on a one-for-one basis immediately prior to the completion of this offering; (iii) the conversion of all of the issued and outstanding ordinary shares and Series Seed-2 Preferred Shares held by Tonyhan Limited and Yanli Holdings Limited to Class B ordinary shares on a one-for-one basis immediately prior to the completion of this offering; (iv) the conversion of all of the remaining issued and outstanding ordinary shares into Class A ordinary shares on a one-for-one basis immediately prior to the completion of this offering; and (v) the conversion of all of our remaining issued and outstanding preferred shares into Class A ordinary shares on a one-for-one basis immediately prior to the completion of this offering; and</w:t>
      </w:r>
    </w:p>
    <w:p>
      <w:pPr>
        <w:spacing w:after="0" w:line="94"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as adjusted basis to reflect (i) the issuance of warrant to purchase Series D+ Preferred Shares in October 2022; (ii) the</w:t>
      </w:r>
    </w:p>
    <w:p>
      <w:pPr>
        <w:spacing w:after="0" w:line="27" w:lineRule="exact"/>
        <w:rPr>
          <w:sz w:val="20"/>
          <w:szCs w:val="20"/>
          <w:color w:val="auto"/>
        </w:rPr>
      </w:pPr>
    </w:p>
    <w:p>
      <w:pPr>
        <w:ind w:left="1080" w:right="20"/>
        <w:spacing w:after="0" w:line="265" w:lineRule="auto"/>
        <w:rPr>
          <w:sz w:val="20"/>
          <w:szCs w:val="20"/>
          <w:color w:val="auto"/>
        </w:rPr>
      </w:pPr>
      <w:r>
        <w:rPr>
          <w:rFonts w:ascii="Times New Roman" w:cs="Times New Roman" w:eastAsia="Times New Roman" w:hAnsi="Times New Roman"/>
          <w:sz w:val="17"/>
          <w:szCs w:val="17"/>
          <w:color w:val="auto"/>
        </w:rPr>
        <w:t>conversion of all of our issued and outstanding golden shares into Class B ordinary shares on a one-for-one basis immediately prior to the completion of this offering; (iii) the conversion of all of the issued and outstanding ordinary shares and Series Seed-2 Preferred Shares held by Tonyhan Limited and Yanli Holdings Limited to Class B ordinary shares on a one-for-one basis immediately prior to the completion of this offering; (iv) the conversion of all of the remaining issued and outstanding ordinary shares into Class A ordinary shares on a one-for-one basis immediately prior to the completion of this offering; (v) the conversion of all of our remaining issued and outstanding preferred shares into Class A ordinary shares on a one-for-one basis immediately prior to the completion of this offering; and (vi) the</w:t>
      </w:r>
    </w:p>
    <w:p>
      <w:pPr>
        <w:sectPr>
          <w:pgSz w:w="11900" w:h="16838" w:orient="portrait"/>
          <w:cols w:equalWidth="0" w:num="1">
            <w:col w:w="11140"/>
          </w:cols>
          <w:pgMar w:left="320" w:top="455" w:right="439" w:bottom="1440" w:gutter="0" w:footer="0" w:header="0"/>
        </w:sectPr>
      </w:pPr>
    </w:p>
    <w:p>
      <w:pPr>
        <w:spacing w:after="0" w:line="1" w:lineRule="exact"/>
        <w:rPr>
          <w:sz w:val="20"/>
          <w:szCs w:val="20"/>
          <w:color w:val="auto"/>
        </w:rPr>
      </w:pPr>
    </w:p>
    <w:p>
      <w:pPr>
        <w:ind w:left="1080"/>
        <w:spacing w:after="0" w:line="250" w:lineRule="auto"/>
        <w:rPr>
          <w:sz w:val="20"/>
          <w:szCs w:val="20"/>
          <w:color w:val="auto"/>
        </w:rPr>
      </w:pPr>
      <w:r>
        <w:rPr>
          <w:rFonts w:ascii="Times New Roman" w:cs="Times New Roman" w:eastAsia="Times New Roman" w:hAnsi="Times New Roman"/>
          <w:sz w:val="18"/>
          <w:szCs w:val="18"/>
          <w:color w:val="auto"/>
        </w:rPr>
        <w:t>issuance and sale of Class A ordinary shares in the form of ADSs by us in this offering at an assumed initial public offering price of US$ per ADS, the midpoint of the estimated range of the initial public offering price shown on the front cover of this</w:t>
      </w:r>
    </w:p>
    <w:p>
      <w:pPr>
        <w:sectPr>
          <w:pgSz w:w="11900" w:h="16838" w:orient="portrait"/>
          <w:cols w:equalWidth="0" w:num="1">
            <w:col w:w="11140"/>
          </w:cols>
          <w:pgMar w:left="320" w:top="455" w:right="439" w:bottom="1440" w:gutter="0" w:footer="0" w:header="0"/>
          <w:type w:val="continuous"/>
        </w:sectPr>
      </w:pPr>
    </w:p>
    <w:p>
      <w:pPr>
        <w:spacing w:after="0" w:line="1" w:lineRule="exact"/>
        <w:rPr>
          <w:sz w:val="20"/>
          <w:szCs w:val="20"/>
          <w:color w:val="auto"/>
        </w:rPr>
      </w:pPr>
    </w:p>
    <w:p>
      <w:pPr>
        <w:ind w:left="1080" w:right="440"/>
        <w:spacing w:after="0" w:line="260" w:lineRule="auto"/>
        <w:rPr>
          <w:sz w:val="20"/>
          <w:szCs w:val="20"/>
          <w:color w:val="auto"/>
        </w:rPr>
      </w:pPr>
      <w:r>
        <w:rPr>
          <w:rFonts w:ascii="Times New Roman" w:cs="Times New Roman" w:eastAsia="Times New Roman" w:hAnsi="Times New Roman"/>
          <w:sz w:val="18"/>
          <w:szCs w:val="18"/>
          <w:color w:val="auto"/>
        </w:rPr>
        <w:t>prospectus, after deducting the underwriting discounts and commissions and estimated offering expenses payable by us, assuming the underwriters do not exercise their option to purchase additional ADSs.</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40"/>
          </w:cols>
          <w:pgMar w:left="320" w:top="455" w:right="439" w:bottom="144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You should read this table together with our consolidated financial statements and the related notes included elsewhere in this prospectus and the information under “Management’s Discussion and Analysis of Financial Condition and Results of Operations.”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500" w:type="dxa"/>
            <w:vAlign w:val="bottom"/>
          </w:tcPr>
          <w:p>
            <w:pPr>
              <w:spacing w:after="0"/>
              <w:rPr>
                <w:sz w:val="13"/>
                <w:szCs w:val="13"/>
                <w:color w:val="auto"/>
              </w:rPr>
            </w:pPr>
          </w:p>
        </w:tc>
        <w:tc>
          <w:tcPr>
            <w:tcW w:w="1280" w:type="dxa"/>
            <w:vAlign w:val="bottom"/>
            <w:gridSpan w:val="3"/>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June 30, 2022</w:t>
            </w:r>
          </w:p>
        </w:tc>
        <w:tc>
          <w:tcPr>
            <w:tcW w:w="160" w:type="dxa"/>
            <w:vAlign w:val="bottom"/>
          </w:tcPr>
          <w:p>
            <w:pPr>
              <w:spacing w:after="0"/>
              <w:rPr>
                <w:sz w:val="13"/>
                <w:szCs w:val="13"/>
                <w:color w:val="auto"/>
              </w:rPr>
            </w:pPr>
          </w:p>
        </w:tc>
        <w:tc>
          <w:tcPr>
            <w:tcW w:w="2140" w:type="dxa"/>
            <w:vAlign w:val="bottom"/>
            <w:gridSpan w:val="4"/>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Pro forma as adjusted</w:t>
            </w:r>
            <w:r>
              <w:rPr>
                <w:rFonts w:ascii="Times New Roman" w:cs="Times New Roman" w:eastAsia="Times New Roman" w:hAnsi="Times New Roman"/>
                <w:sz w:val="10"/>
                <w:szCs w:val="10"/>
                <w:b w:val="1"/>
                <w:bCs w:val="1"/>
                <w:color w:val="auto"/>
              </w:rPr>
              <w:t>(1)</w:t>
            </w: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96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US$</w:t>
            </w:r>
          </w:p>
        </w:tc>
        <w:tc>
          <w:tcPr>
            <w:tcW w:w="1380" w:type="dxa"/>
            <w:vAlign w:val="bottom"/>
            <w:gridSpan w:val="3"/>
          </w:tcPr>
          <w:p>
            <w:pPr>
              <w:jc w:val="center"/>
              <w:ind w:left="508"/>
              <w:spacing w:after="0" w:line="149"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US$</w:t>
            </w:r>
          </w:p>
        </w:tc>
        <w:tc>
          <w:tcPr>
            <w:tcW w:w="160" w:type="dxa"/>
            <w:vAlign w:val="bottom"/>
          </w:tcPr>
          <w:p>
            <w:pPr>
              <w:spacing w:after="0"/>
              <w:rPr>
                <w:sz w:val="12"/>
                <w:szCs w:val="12"/>
                <w:color w:val="auto"/>
              </w:rPr>
            </w:pPr>
          </w:p>
        </w:tc>
        <w:tc>
          <w:tcPr>
            <w:tcW w:w="21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4500" w:type="dxa"/>
            <w:vAlign w:val="bottom"/>
          </w:tcPr>
          <w:p>
            <w:pPr>
              <w:spacing w:after="0"/>
              <w:rPr>
                <w:sz w:val="13"/>
                <w:szCs w:val="13"/>
                <w:color w:val="auto"/>
              </w:rPr>
            </w:pPr>
          </w:p>
        </w:tc>
        <w:tc>
          <w:tcPr>
            <w:tcW w:w="1280" w:type="dxa"/>
            <w:vAlign w:val="bottom"/>
            <w:gridSpan w:val="3"/>
          </w:tcPr>
          <w:p>
            <w:pPr>
              <w:ind w:left="320"/>
              <w:spacing w:after="0" w:line="151" w:lineRule="exact"/>
              <w:rPr>
                <w:sz w:val="20"/>
                <w:szCs w:val="20"/>
                <w:color w:val="auto"/>
              </w:rPr>
            </w:pPr>
            <w:r>
              <w:rPr>
                <w:rFonts w:ascii="Times New Roman" w:cs="Times New Roman" w:eastAsia="Times New Roman" w:hAnsi="Times New Roman"/>
                <w:sz w:val="14"/>
                <w:szCs w:val="14"/>
                <w:b w:val="1"/>
                <w:bCs w:val="1"/>
                <w:color w:val="auto"/>
              </w:rPr>
              <w:t>RMB</w:t>
            </w:r>
          </w:p>
        </w:tc>
        <w:tc>
          <w:tcPr>
            <w:tcW w:w="960" w:type="dxa"/>
            <w:vAlign w:val="bottom"/>
            <w:gridSpan w:val="2"/>
            <w:vMerge w:val="continue"/>
          </w:tcPr>
          <w:p>
            <w:pPr>
              <w:spacing w:after="0"/>
              <w:rPr>
                <w:sz w:val="13"/>
                <w:szCs w:val="13"/>
                <w:color w:val="auto"/>
              </w:rPr>
            </w:pPr>
          </w:p>
        </w:tc>
        <w:tc>
          <w:tcPr>
            <w:tcW w:w="1380" w:type="dxa"/>
            <w:vAlign w:val="bottom"/>
            <w:gridSpan w:val="3"/>
          </w:tcPr>
          <w:p>
            <w:pPr>
              <w:ind w:left="280"/>
              <w:spacing w:after="0" w:line="151" w:lineRule="exact"/>
              <w:rPr>
                <w:sz w:val="20"/>
                <w:szCs w:val="20"/>
                <w:color w:val="auto"/>
              </w:rPr>
            </w:pPr>
            <w:r>
              <w:rPr>
                <w:rFonts w:ascii="Times New Roman" w:cs="Times New Roman" w:eastAsia="Times New Roman" w:hAnsi="Times New Roman"/>
                <w:sz w:val="14"/>
                <w:szCs w:val="14"/>
                <w:b w:val="1"/>
                <w:bCs w:val="1"/>
                <w:color w:val="auto"/>
              </w:rPr>
              <w:t>RMB</w:t>
            </w:r>
          </w:p>
        </w:tc>
        <w:tc>
          <w:tcPr>
            <w:tcW w:w="6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ind w:left="300"/>
              <w:spacing w:after="0" w:line="151"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3"/>
                <w:szCs w:val="13"/>
                <w:color w:val="auto"/>
              </w:rPr>
            </w:pPr>
          </w:p>
        </w:tc>
        <w:tc>
          <w:tcPr>
            <w:tcW w:w="1040" w:type="dxa"/>
            <w:vAlign w:val="bottom"/>
            <w:gridSpan w:val="2"/>
          </w:tcPr>
          <w:p>
            <w:pPr>
              <w:ind w:left="340"/>
              <w:spacing w:after="0" w:line="151" w:lineRule="exact"/>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3"/>
          </w:tcPr>
          <w:p>
            <w:pPr>
              <w:jc w:val="center"/>
              <w:ind w:left="488"/>
              <w:spacing w:after="0"/>
              <w:rPr>
                <w:sz w:val="20"/>
                <w:szCs w:val="20"/>
                <w:color w:val="auto"/>
              </w:rPr>
            </w:pPr>
            <w:r>
              <w:rPr>
                <w:rFonts w:ascii="Times New Roman" w:cs="Times New Roman" w:eastAsia="Times New Roman" w:hAnsi="Times New Roman"/>
                <w:sz w:val="14"/>
                <w:szCs w:val="14"/>
                <w:color w:val="auto"/>
              </w:rPr>
              <w:t>(in thousands)</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4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shares and other financial instruments subject to</w:t>
            </w: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redemption and other preferential rights</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(5,686,058)</w:t>
            </w: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(848,906)</w:t>
            </w: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Financial liabilities measured at FVTPL</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(191,748)</w:t>
            </w:r>
          </w:p>
        </w:tc>
        <w:tc>
          <w:tcPr>
            <w:tcW w:w="8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(28,627)</w:t>
            </w: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4500" w:type="dxa"/>
            <w:vAlign w:val="bottom"/>
          </w:tcPr>
          <w:p>
            <w:pPr>
              <w:spacing w:after="0"/>
              <w:rPr>
                <w:sz w:val="7"/>
                <w:szCs w:val="7"/>
                <w:color w:val="auto"/>
              </w:rPr>
            </w:pPr>
          </w:p>
        </w:tc>
        <w:tc>
          <w:tcPr>
            <w:tcW w:w="9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shares</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Seed-1 Preferred Shares</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Series Seed-2 Preferred Shares</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Preferred Shares</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Class A ordinary shares</w:t>
            </w:r>
          </w:p>
        </w:tc>
        <w:tc>
          <w:tcPr>
            <w:tcW w:w="128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B ordinary shares</w:t>
            </w:r>
          </w:p>
        </w:tc>
        <w:tc>
          <w:tcPr>
            <w:tcW w:w="1280" w:type="dxa"/>
            <w:vAlign w:val="bottom"/>
            <w:gridSpan w:val="3"/>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Share premium</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1,048,128</w:t>
            </w: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156,481</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Reserves</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1,175,440</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175,489</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losses</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(3,789,019)</w:t>
            </w:r>
          </w:p>
        </w:tc>
        <w:tc>
          <w:tcPr>
            <w:tcW w:w="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(565,685)</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shares</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(86,868)</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(12,969)</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00" w:type="dxa"/>
            <w:vAlign w:val="bottom"/>
          </w:tcPr>
          <w:p>
            <w:pPr>
              <w:spacing w:after="0" w:line="223" w:lineRule="exact"/>
              <w:rPr>
                <w:sz w:val="20"/>
                <w:szCs w:val="20"/>
                <w:color w:val="auto"/>
              </w:rPr>
            </w:pPr>
            <w:r>
              <w:rPr>
                <w:rFonts w:ascii="Times New Roman" w:cs="Times New Roman" w:eastAsia="Times New Roman" w:hAnsi="Times New Roman"/>
                <w:sz w:val="17"/>
                <w:szCs w:val="17"/>
                <w:b w:val="1"/>
                <w:bCs w:val="1"/>
                <w:color w:val="auto"/>
              </w:rPr>
              <w:t>Total deficit</w:t>
            </w:r>
            <w:r>
              <w:rPr>
                <w:rFonts w:ascii="Times New Roman" w:cs="Times New Roman" w:eastAsia="Times New Roman" w:hAnsi="Times New Roman"/>
                <w:sz w:val="25"/>
                <w:szCs w:val="25"/>
                <w:b w:val="1"/>
                <w:bCs w:val="1"/>
                <w:color w:val="auto"/>
                <w:vertAlign w:val="superscript"/>
              </w:rPr>
              <w:t>(2)(3)</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(1,652,297)</w:t>
            </w: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(246,680)</w:t>
            </w:r>
          </w:p>
        </w:tc>
        <w:tc>
          <w:tcPr>
            <w:tcW w:w="240" w:type="dxa"/>
            <w:vAlign w:val="bottom"/>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left="540" w:right="120" w:hanging="424"/>
        <w:spacing w:after="0" w:line="276" w:lineRule="auto"/>
        <w:tabs>
          <w:tab w:leader="none" w:pos="5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 forma as adjusted information discussed above is illustrative only. Our share premium, total deficit attributable to equity shareholders of the Company and total capitalization following the completion of this offering are subject to adjustment based on the actual initial public offering</w:t>
      </w:r>
    </w:p>
    <w:p>
      <w:pPr>
        <w:ind w:left="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price and other terms of this offering determined at pricing.</w:t>
      </w:r>
    </w:p>
    <w:p>
      <w:pPr>
        <w:spacing w:after="0" w:line="198" w:lineRule="exact"/>
        <w:rPr>
          <w:sz w:val="20"/>
          <w:szCs w:val="20"/>
          <w:color w:val="auto"/>
        </w:rPr>
      </w:pPr>
    </w:p>
    <w:p>
      <w:pPr>
        <w:ind w:left="540" w:right="60" w:hanging="41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(2)</w:t>
        <w:tab/>
        <w:t>A US$1.00 increase (decrease) in the assumed initial public offering price of US$ per ADS, which is the midpoint of the estimated range of the initial public offering price shown on the cover page of this prospectus, would increase (decrease) each of deficit attributable to equity shareholders of the Company and total deficit by US$ million.</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40"/>
          </w:cols>
          <w:pgMar w:left="320" w:top="455" w:right="4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If you invest in the ADSs, your interest will be diluted to the extent of the difference between the initial public offering price per ADS and our net tangible book value per ADS after this offering. Dilution results from the fact that the initial public offering price per ordinary share is substantially in excess of the book value per ordinary share attributable to the existing shareholders for our presently outstanding ordinary shares.</w:t>
      </w:r>
    </w:p>
    <w:p>
      <w:pPr>
        <w:spacing w:after="0" w:line="176"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Our net tangible book value as of was US$ million, or US$ per ordinary share as of that date and US$ per ADS. Net tangible book value represents the amount of our total consolidated assets, excluding consolidated intangible assets and goodwill, if any, less the amount of our total consolidated liabilities. Dilution is determined by subtracting net tangible book value per ordinary share, after giving effect to (i) the issuance of warrant to purchase Series D+ Preferred Shares in October 2022; (ii) the conversion of all of our issued and outstanding ordinary shares, preferred shares and golden shares; and (iii) the additional proceeds we will receive from this offering, from the assumed initial public offering price of US$ per ordinary share, which is the midpoint of the estimated initial public offering price range set forth on the front cover of this prospectus adjusted to reflect the ADS-to-ordinary share ratio, and after deducting underwriting discounts and commissions and estimated offering expenses payable by us. Because the Class A ordinary shares and Class B ordinary shares have the same dividend and other rights, except for voting and conversion rights, the dilution is presented based on all issued and outstanding ordinary shares, including Class A ordinary shares and Class B ordinary shares.</w:t>
      </w:r>
    </w:p>
    <w:p>
      <w:pPr>
        <w:spacing w:after="0" w:line="188"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Without taking into account any other changes in pro forma net tangible book value after , other than to give effect to our sale of the ADSs offered in this offering at the assumed initial public offering price of US$ per ADS, which is the midpoint of the estimated initial public</w:t>
      </w:r>
    </w:p>
    <w:p>
      <w:pPr>
        <w:ind w:left="120"/>
        <w:spacing w:after="0"/>
        <w:rPr>
          <w:sz w:val="20"/>
          <w:szCs w:val="20"/>
          <w:color w:val="auto"/>
        </w:rPr>
      </w:pPr>
      <w:r>
        <w:rPr>
          <w:rFonts w:ascii="Times New Roman" w:cs="Times New Roman" w:eastAsia="Times New Roman" w:hAnsi="Times New Roman"/>
          <w:sz w:val="18"/>
          <w:szCs w:val="18"/>
          <w:color w:val="auto"/>
        </w:rPr>
        <w:t>offering price range, after deduction of the underwriting discounts and commissions and estimated offering expenses payable by us, our pro forma as</w:t>
      </w:r>
    </w:p>
    <w:tbl>
      <w:tblPr>
        <w:tblLayout w:type="fixed"/>
        <w:tblInd w:w="120" w:type="dxa"/>
        <w:tblCellMar>
          <w:top w:w="0" w:type="dxa"/>
          <w:left w:w="0" w:type="dxa"/>
          <w:bottom w:w="0" w:type="dxa"/>
          <w:right w:w="0" w:type="dxa"/>
        </w:tblCellMar>
      </w:tblPr>
      <w:tr>
        <w:trPr>
          <w:trHeight w:val="207"/>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net tangible book value as of June 30, 2022 would have been US$</w:t>
            </w:r>
          </w:p>
        </w:tc>
        <w:tc>
          <w:tcPr>
            <w:tcW w:w="340" w:type="dxa"/>
            <w:vAlign w:val="bottom"/>
          </w:tcPr>
          <w:p>
            <w:pPr>
              <w:spacing w:after="0"/>
              <w:rPr>
                <w:sz w:val="17"/>
                <w:szCs w:val="17"/>
                <w:color w:val="auto"/>
              </w:rPr>
            </w:pPr>
          </w:p>
        </w:tc>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or US$</w:t>
            </w:r>
          </w:p>
        </w:tc>
        <w:tc>
          <w:tcPr>
            <w:tcW w:w="32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per ordinary share and US$</w:t>
            </w: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per</w:t>
            </w:r>
          </w:p>
        </w:tc>
        <w:tc>
          <w:tcPr>
            <w:tcW w:w="0" w:type="dxa"/>
            <w:vAlign w:val="bottom"/>
          </w:tcPr>
          <w:p>
            <w:pPr>
              <w:spacing w:after="0"/>
              <w:rPr>
                <w:sz w:val="1"/>
                <w:szCs w:val="1"/>
                <w:color w:val="auto"/>
              </w:rPr>
            </w:pPr>
          </w:p>
        </w:tc>
      </w:tr>
      <w:tr>
        <w:trPr>
          <w:trHeight w:val="234"/>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ADS.</w:t>
            </w: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7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This represents an immediate increase in net tangible book value of US$</w:t>
            </w:r>
          </w:p>
        </w:tc>
        <w:tc>
          <w:tcPr>
            <w:tcW w:w="340" w:type="dxa"/>
            <w:vAlign w:val="bottom"/>
          </w:tcPr>
          <w:p>
            <w:pPr>
              <w:spacing w:after="0"/>
              <w:rPr>
                <w:sz w:val="24"/>
                <w:szCs w:val="24"/>
                <w:color w:val="auto"/>
              </w:rPr>
            </w:pPr>
          </w:p>
        </w:tc>
        <w:tc>
          <w:tcPr>
            <w:tcW w:w="2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per ordinary share and US$</w:t>
            </w:r>
          </w:p>
        </w:tc>
        <w:tc>
          <w:tcPr>
            <w:tcW w:w="1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per ADS to the existing</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shareholders and an immediate dilution in net tangible book value of US$</w:t>
            </w:r>
          </w:p>
        </w:tc>
        <w:tc>
          <w:tcPr>
            <w:tcW w:w="510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w w:val="99"/>
              </w:rPr>
              <w:t>per ordinary share in this offering. The following table illustrates such</w:t>
            </w:r>
          </w:p>
        </w:tc>
        <w:tc>
          <w:tcPr>
            <w:tcW w:w="0" w:type="dxa"/>
            <w:vAlign w:val="bottom"/>
          </w:tcPr>
          <w:p>
            <w:pPr>
              <w:spacing w:after="0"/>
              <w:rPr>
                <w:sz w:val="1"/>
                <w:szCs w:val="1"/>
                <w:color w:val="auto"/>
              </w:rPr>
            </w:pPr>
          </w:p>
        </w:tc>
      </w:tr>
      <w:tr>
        <w:trPr>
          <w:trHeight w:val="234"/>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dilution:</w:t>
            </w: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88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0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Per Ordinary</w:t>
            </w:r>
          </w:p>
        </w:tc>
        <w:tc>
          <w:tcPr>
            <w:tcW w:w="1960" w:type="dxa"/>
            <w:vAlign w:val="bottom"/>
            <w:gridSpan w:val="2"/>
            <w:vMerge w:val="restart"/>
          </w:tcPr>
          <w:p>
            <w:pPr>
              <w:ind w:left="1000"/>
              <w:spacing w:after="0"/>
              <w:rPr>
                <w:sz w:val="20"/>
                <w:szCs w:val="20"/>
                <w:color w:val="auto"/>
              </w:rPr>
            </w:pPr>
            <w:r>
              <w:rPr>
                <w:rFonts w:ascii="Times New Roman" w:cs="Times New Roman" w:eastAsia="Times New Roman" w:hAnsi="Times New Roman"/>
                <w:sz w:val="14"/>
                <w:szCs w:val="14"/>
                <w:b w:val="1"/>
                <w:bCs w:val="1"/>
                <w:color w:val="auto"/>
              </w:rPr>
              <w:t>Per ADS</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0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96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public offering price</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US$</w:t>
            </w:r>
          </w:p>
        </w:tc>
        <w:tc>
          <w:tcPr>
            <w:tcW w:w="17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US$</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Net tangible book value as of</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US$</w:t>
            </w:r>
          </w:p>
        </w:tc>
        <w:tc>
          <w:tcPr>
            <w:tcW w:w="17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US$</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80" w:type="dxa"/>
            <w:vAlign w:val="bottom"/>
          </w:tcPr>
          <w:p>
            <w:pPr>
              <w:spacing w:after="0"/>
              <w:rPr>
                <w:sz w:val="17"/>
                <w:szCs w:val="17"/>
                <w:color w:val="auto"/>
              </w:rPr>
            </w:pPr>
          </w:p>
        </w:tc>
        <w:tc>
          <w:tcPr>
            <w:tcW w:w="61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 forma net tangible book value after giving effect to the conversion of our</w:t>
            </w:r>
          </w:p>
        </w:tc>
        <w:tc>
          <w:tcPr>
            <w:tcW w:w="130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ordinary shares, preferred shares and golden shares</w:t>
            </w: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US$</w:t>
            </w:r>
          </w:p>
        </w:tc>
        <w:tc>
          <w:tcPr>
            <w:tcW w:w="17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US$</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80" w:type="dxa"/>
            <w:vAlign w:val="bottom"/>
          </w:tcPr>
          <w:p>
            <w:pPr>
              <w:spacing w:after="0"/>
              <w:rPr>
                <w:sz w:val="17"/>
                <w:szCs w:val="17"/>
                <w:color w:val="auto"/>
              </w:rPr>
            </w:pPr>
          </w:p>
        </w:tc>
        <w:tc>
          <w:tcPr>
            <w:tcW w:w="51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Pro forma as adjusted net tangible book value after giving effect to the</w:t>
            </w:r>
          </w:p>
        </w:tc>
        <w:tc>
          <w:tcPr>
            <w:tcW w:w="10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1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conversion of our ordinary shares, preferred shares and golden shares, this</w:t>
            </w:r>
          </w:p>
        </w:tc>
        <w:tc>
          <w:tcPr>
            <w:tcW w:w="13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1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offering and issuance of ordinary shares underlying restricted share units</w:t>
            </w:r>
          </w:p>
        </w:tc>
        <w:tc>
          <w:tcPr>
            <w:tcW w:w="13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5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held by our employees that will vest immediately after this offering</w:t>
            </w:r>
          </w:p>
        </w:tc>
        <w:tc>
          <w:tcPr>
            <w:tcW w:w="1020" w:type="dxa"/>
            <w:vAlign w:val="bottom"/>
          </w:tcPr>
          <w:p>
            <w:pPr>
              <w:spacing w:after="0"/>
              <w:rPr>
                <w:sz w:val="20"/>
                <w:szCs w:val="20"/>
                <w:color w:val="auto"/>
              </w:rPr>
            </w:pPr>
          </w:p>
        </w:tc>
        <w:tc>
          <w:tcPr>
            <w:tcW w:w="1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US$</w:t>
            </w:r>
          </w:p>
        </w:tc>
        <w:tc>
          <w:tcPr>
            <w:tcW w:w="19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US$</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80" w:type="dxa"/>
            <w:vAlign w:val="bottom"/>
          </w:tcPr>
          <w:p>
            <w:pPr>
              <w:spacing w:after="0"/>
              <w:rPr>
                <w:sz w:val="17"/>
                <w:szCs w:val="17"/>
                <w:color w:val="auto"/>
              </w:rPr>
            </w:pPr>
          </w:p>
        </w:tc>
        <w:tc>
          <w:tcPr>
            <w:tcW w:w="51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Amount of dilution in net tangible book value to new investors in this</w:t>
            </w:r>
          </w:p>
        </w:tc>
        <w:tc>
          <w:tcPr>
            <w:tcW w:w="10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offering</w:t>
            </w: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US$</w:t>
            </w:r>
          </w:p>
        </w:tc>
        <w:tc>
          <w:tcPr>
            <w:tcW w:w="17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US$</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pro forma as adjusted information discussed above is illustrative only. Our net tangible book value following the completion of this offering is subject to adjustment based on the actual initial public offering price of the ADSs and other terms of this offering determined at pricing.</w:t>
      </w:r>
    </w:p>
    <w:p>
      <w:pPr>
        <w:sectPr>
          <w:pgSz w:w="11900" w:h="16838" w:orient="portrait"/>
          <w:cols w:equalWidth="0" w:num="1">
            <w:col w:w="11120"/>
          </w:cols>
          <w:pgMar w:left="320" w:top="455" w:right="459" w:bottom="1440" w:gutter="0" w:footer="0" w:header="0"/>
        </w:sectPr>
      </w:pP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 US$1.00 increase (decrease) in the assumed initial public offering price of US$ adjusted net tangible book value after giving effect to this offering by US$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per ADS would increase (decrease) our pro forma as</w:t>
      </w:r>
    </w:p>
    <w:p>
      <w:pPr>
        <w:spacing w:after="0" w:line="384" w:lineRule="exact"/>
        <w:rPr>
          <w:sz w:val="20"/>
          <w:szCs w:val="20"/>
          <w:color w:val="auto"/>
        </w:rPr>
      </w:pPr>
    </w:p>
    <w:p>
      <w:pPr>
        <w:sectPr>
          <w:pgSz w:w="11900" w:h="16838" w:orient="portrait"/>
          <w:cols w:equalWidth="0" w:num="2">
            <w:col w:w="6440" w:space="460"/>
            <w:col w:w="4220"/>
          </w:cols>
          <w:pgMar w:left="320" w:top="455" w:right="459" w:bottom="1440" w:gutter="0" w:footer="0" w:header="0"/>
          <w:type w:val="continuous"/>
        </w:sectPr>
      </w:pPr>
    </w:p>
    <w:p>
      <w:pPr>
        <w:jc w:val="center"/>
        <w:ind w:right="-13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20"/>
          </w:cols>
          <w:pgMar w:left="320" w:top="455" w:right="459" w:bottom="1440" w:gutter="0" w:footer="0" w:header="0"/>
          <w:type w:val="continuous"/>
        </w:sectPr>
      </w:pPr>
    </w:p>
    <w:bookmarkStart w:id="99" w:name="page100"/>
    <w:bookmarkEnd w:id="99"/>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2580" w:type="dxa"/>
            <w:vAlign w:val="bottom"/>
          </w:tcPr>
          <w:p>
            <w:pPr>
              <w:spacing w:after="0"/>
              <w:rPr>
                <w:sz w:val="17"/>
                <w:szCs w:val="17"/>
                <w:color w:val="auto"/>
              </w:rPr>
            </w:pPr>
          </w:p>
        </w:tc>
        <w:tc>
          <w:tcPr>
            <w:tcW w:w="58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515"/>
        </w:trPr>
        <w:tc>
          <w:tcPr>
            <w:tcW w:w="976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 the pro forma as adjusted net tangible book value per ordinary share and per ADS after giving effect to this offering by US$</w:t>
            </w:r>
          </w:p>
        </w:tc>
        <w:tc>
          <w:tcPr>
            <w:tcW w:w="1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per ordinary</w:t>
            </w:r>
          </w:p>
        </w:tc>
      </w:tr>
      <w:tr>
        <w:trPr>
          <w:trHeight w:val="21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 and US$</w:t>
            </w:r>
          </w:p>
        </w:tc>
        <w:tc>
          <w:tcPr>
            <w:tcW w:w="96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w w:val="99"/>
              </w:rPr>
              <w:t>per ADS, and the dilution in pro forma as adjusted net tangible book value per ordinary share and per ADS to new investors in this</w:t>
            </w:r>
          </w:p>
        </w:tc>
      </w:tr>
      <w:tr>
        <w:trPr>
          <w:trHeight w:val="234"/>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offering by US$</w:t>
            </w:r>
          </w:p>
        </w:tc>
        <w:tc>
          <w:tcPr>
            <w:tcW w:w="2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per ordinary share and US$</w:t>
            </w:r>
          </w:p>
        </w:tc>
        <w:tc>
          <w:tcPr>
            <w:tcW w:w="7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per ADS, assuming no change to the number of ADSs offered by us as set forth on the cover</w:t>
            </w:r>
          </w:p>
        </w:tc>
      </w:tr>
    </w:tbl>
    <w:p>
      <w:pPr>
        <w:ind w:left="1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page of this prospectus, and after deducting underwriting discounts and commissions and estimated offering expenses payable by us.</w:t>
      </w:r>
    </w:p>
    <w:p>
      <w:pPr>
        <w:spacing w:after="0" w:line="207" w:lineRule="exact"/>
        <w:rPr>
          <w:sz w:val="20"/>
          <w:szCs w:val="20"/>
          <w:color w:val="auto"/>
        </w:rPr>
      </w:pPr>
    </w:p>
    <w:p>
      <w:pPr>
        <w:ind w:left="120" w:right="120" w:firstLine="440"/>
        <w:spacing w:after="0" w:line="281" w:lineRule="auto"/>
        <w:rPr>
          <w:sz w:val="20"/>
          <w:szCs w:val="20"/>
          <w:color w:val="auto"/>
        </w:rPr>
      </w:pPr>
      <w:r>
        <w:rPr>
          <w:rFonts w:ascii="Times New Roman" w:cs="Times New Roman" w:eastAsia="Times New Roman" w:hAnsi="Times New Roman"/>
          <w:sz w:val="17"/>
          <w:szCs w:val="17"/>
          <w:color w:val="auto"/>
        </w:rPr>
        <w:t>The following table summarizes, on a pro forma as adjusted basis as of June 30, 2022, the differences between existing shareholders and the new investors with respect to the number of ordinary shares purchased from us, the total consideration paid and the average price per ordinary share paid before deducting the underwriting discounts and commissions and estimated offering expenses payable by us. The total number of ordinary shares does not include ordinary shares underlying the ADSs issuable upon the exercise of the option to purchase additional ADSs granted to the underwriters.</w:t>
      </w:r>
    </w:p>
    <w:p>
      <w:pPr>
        <w:spacing w:after="0" w:line="17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20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Ordinary Shares Purchased</w:t>
            </w:r>
          </w:p>
        </w:tc>
        <w:tc>
          <w:tcPr>
            <w:tcW w:w="460" w:type="dxa"/>
            <w:vAlign w:val="bottom"/>
          </w:tcPr>
          <w:p>
            <w:pPr>
              <w:spacing w:after="0"/>
              <w:rPr>
                <w:sz w:val="13"/>
                <w:szCs w:val="13"/>
                <w:color w:val="auto"/>
              </w:rPr>
            </w:pPr>
          </w:p>
        </w:tc>
        <w:tc>
          <w:tcPr>
            <w:tcW w:w="166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620" w:type="dxa"/>
            <w:vAlign w:val="bottom"/>
            <w:vMerge w:val="restart"/>
          </w:tcPr>
          <w:p>
            <w:pPr>
              <w:spacing w:after="0"/>
              <w:rPr>
                <w:sz w:val="13"/>
                <w:szCs w:val="13"/>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4000" w:type="dxa"/>
            <w:vAlign w:val="bottom"/>
          </w:tcPr>
          <w:p>
            <w:pPr>
              <w:spacing w:after="0"/>
              <w:rPr>
                <w:sz w:val="6"/>
                <w:szCs w:val="6"/>
                <w:color w:val="auto"/>
              </w:rPr>
            </w:pPr>
          </w:p>
        </w:tc>
        <w:tc>
          <w:tcPr>
            <w:tcW w:w="2040" w:type="dxa"/>
            <w:vAlign w:val="bottom"/>
            <w:tcBorders>
              <w:bottom w:val="single" w:sz="8" w:color="auto"/>
            </w:tcBorders>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1660" w:type="dxa"/>
            <w:vAlign w:val="bottom"/>
            <w:tcBorders>
              <w:bottom w:val="single" w:sz="8" w:color="auto"/>
            </w:tcBorders>
            <w:gridSpan w:val="3"/>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320" w:type="dxa"/>
            <w:vAlign w:val="bottom"/>
            <w:gridSpan w:val="2"/>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Per Ordinary</w:t>
            </w:r>
          </w:p>
        </w:tc>
        <w:tc>
          <w:tcPr>
            <w:tcW w:w="920" w:type="dxa"/>
            <w:vAlign w:val="bottom"/>
            <w:gridSpan w:val="2"/>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Average Price</w:t>
            </w:r>
          </w:p>
        </w:tc>
        <w:tc>
          <w:tcPr>
            <w:tcW w:w="0" w:type="dxa"/>
            <w:vAlign w:val="bottom"/>
          </w:tcPr>
          <w:p>
            <w:pPr>
              <w:spacing w:after="0"/>
              <w:rPr>
                <w:sz w:val="1"/>
                <w:szCs w:val="1"/>
                <w:color w:val="auto"/>
              </w:rPr>
            </w:pPr>
          </w:p>
        </w:tc>
      </w:tr>
      <w:tr>
        <w:trPr>
          <w:trHeight w:val="50"/>
        </w:trPr>
        <w:tc>
          <w:tcPr>
            <w:tcW w:w="4000" w:type="dxa"/>
            <w:vAlign w:val="bottom"/>
          </w:tcPr>
          <w:p>
            <w:pPr>
              <w:spacing w:after="0"/>
              <w:rPr>
                <w:sz w:val="4"/>
                <w:szCs w:val="4"/>
                <w:color w:val="auto"/>
              </w:rPr>
            </w:pPr>
          </w:p>
        </w:tc>
        <w:tc>
          <w:tcPr>
            <w:tcW w:w="82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60" w:type="dxa"/>
            <w:vAlign w:val="bottom"/>
          </w:tcPr>
          <w:p>
            <w:pPr>
              <w:spacing w:after="0"/>
              <w:rPr>
                <w:sz w:val="4"/>
                <w:szCs w:val="4"/>
                <w:color w:val="auto"/>
              </w:rPr>
            </w:pP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460" w:type="dxa"/>
            <w:vAlign w:val="bottom"/>
          </w:tcPr>
          <w:p>
            <w:pPr>
              <w:spacing w:after="0"/>
              <w:rPr>
                <w:sz w:val="4"/>
                <w:szCs w:val="4"/>
                <w:color w:val="auto"/>
              </w:rPr>
            </w:pP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60" w:type="dxa"/>
            <w:vAlign w:val="bottom"/>
          </w:tcPr>
          <w:p>
            <w:pPr>
              <w:spacing w:after="0"/>
              <w:rPr>
                <w:sz w:val="4"/>
                <w:szCs w:val="4"/>
                <w:color w:val="auto"/>
              </w:rPr>
            </w:pPr>
          </w:p>
        </w:tc>
        <w:tc>
          <w:tcPr>
            <w:tcW w:w="1080" w:type="dxa"/>
            <w:vAlign w:val="bottom"/>
            <w:gridSpan w:val="2"/>
            <w:vMerge w:val="restart"/>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w w:val="95"/>
              </w:rPr>
              <w:t>Percent</w:t>
            </w:r>
          </w:p>
        </w:tc>
        <w:tc>
          <w:tcPr>
            <w:tcW w:w="1320" w:type="dxa"/>
            <w:vAlign w:val="bottom"/>
            <w:gridSpan w:val="2"/>
            <w:vMerge w:val="continue"/>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40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Per ADS</w:t>
            </w: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Existing shareholders</w:t>
            </w:r>
          </w:p>
        </w:tc>
        <w:tc>
          <w:tcPr>
            <w:tcW w:w="8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4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93"/>
              </w:rPr>
              <w:t>%</w:t>
            </w:r>
          </w:p>
        </w:tc>
        <w:tc>
          <w:tcPr>
            <w:tcW w:w="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4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New investors</w:t>
            </w:r>
          </w:p>
        </w:tc>
        <w:tc>
          <w:tcPr>
            <w:tcW w:w="8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w:t>
            </w:r>
          </w:p>
        </w:tc>
        <w:tc>
          <w:tcPr>
            <w:tcW w:w="4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93"/>
              </w:rPr>
              <w:t>%</w:t>
            </w: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w:t>
            </w: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1540" w:type="dxa"/>
            <w:vAlign w:val="bottom"/>
            <w:gridSpan w:val="3"/>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100.0%</w:t>
            </w: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discussion and tables above assume no exercise of any share options and restricted share units outstanding and no exercise of the warrant to purchase 4,400,229 Series A preferred shares by Alliance Ventures B.V., as of the date of this prospectus. As of the date of this prospectus, there were 104,108,581 ordinary shares issuable upon exercise of outstanding options at a weighted average exercise price of US$1.10 per ordinary share and 194,085,796 ordinary shares issuable upon exercise of restricted share units, and there were 38,381,330 ordinary shares available for future issuance upon exercise of future grants under our share incentive plan. To the extent that any of these options are exercised or any ordinary shares are issued upon any exercise of the warrants, there will be further dilution to new investors.</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40"/>
          </w:cols>
          <w:pgMar w:left="320" w:top="446" w:right="4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ENFORCEABILITY OF CIVIL LIABILITIES</w:t>
      </w:r>
    </w:p>
    <w:p>
      <w:pPr>
        <w:spacing w:after="0" w:line="229"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We are incorporated under the laws of the Cayman Islands as an exempted company with limited liability. We are incorporated in the Cayman Islands to take advantage of certain benefits associated with being a Cayman Islands exempted company, such as:</w:t>
      </w:r>
    </w:p>
    <w:p>
      <w:pPr>
        <w:spacing w:after="0" w:line="67" w:lineRule="exact"/>
        <w:rPr>
          <w:sz w:val="20"/>
          <w:szCs w:val="20"/>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stability;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effective judicial system;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tax system;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exchange control or currency restrictions;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professional and support services.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However, certain disadvantages accompany incorporation in the Cayman Islands. These disadvantages include but are not limited to:</w:t>
      </w:r>
    </w:p>
    <w:p>
      <w:pPr>
        <w:spacing w:after="0" w:line="131" w:lineRule="exact"/>
        <w:rPr>
          <w:sz w:val="20"/>
          <w:szCs w:val="20"/>
          <w:color w:val="auto"/>
        </w:rPr>
      </w:pPr>
    </w:p>
    <w:p>
      <w:pPr>
        <w:ind w:left="1080" w:right="60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Cayman Islands has a less developed body of securities laws as compared to the United States and these securities laws provide significantly less protection to investors as compared to the United States;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 companies may not have standing to sue before the federal courts of the United States.</w:t>
      </w:r>
    </w:p>
    <w:p>
      <w:pPr>
        <w:spacing w:after="0" w:line="225"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Our constitutional documents do not contain provisions requiring that disputes, including those arising under the securities laws of the United States, between us, our officers, directors and shareholders, be arbitrated.</w:t>
      </w:r>
    </w:p>
    <w:p>
      <w:pPr>
        <w:spacing w:after="0" w:line="162"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Most of our operations are conducted in China, and a majority of our assets are located in China. A majority of our directors and executive officers are nationals or residents of jurisdictions other than the United States and a substantial portion of their assets are located outside the United States. As a result, it may be difficult for a shareholder to effect service of process within the United States upon these individuals, or to bring an action against us or these individuals in the United States, or to enforce against us or them judgments obtained in United States courts, including judgments predicated upon the civil liability provisions of the securities laws of the United States or any state in the United States. It may also be difficult for you to enforce judgments obtained in U.S. courts based on the civil liability provisions of the U.S. federal securities laws against us and our officers and directors.</w:t>
      </w:r>
    </w:p>
    <w:p>
      <w:pPr>
        <w:spacing w:after="0" w:line="173"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We have appointed , located at , as our agent to receive service of process with respect to any action brought against us under the securities laws of the United States.</w:t>
      </w:r>
    </w:p>
    <w:p>
      <w:pPr>
        <w:spacing w:after="0" w:line="16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have been informed by Travers Thorp Alberga, our counsel as to Cayman Islands law, that there is uncertainty as to whether the courts of the Cayman Islands would (i) recognize or enforce judgments of U.S. courts obtained against us or our directors or officers that are predicated upon the civil liability provisions of the securities laws of the United States or any state in the United States, or (ii) entertain original actions brought in the Cayman Islands against us or our directors or officers that are predicated upon the securities laws of the United States or any state in the United States. We have also been advised by Travers Thorp Alberga that although there is no statutory enforcement in the Cayman Islands of judgments obtained in a U.S. court (and the Cayman Islands are not a party to any treaties for the reciprocal enforcement or recognition of such judgments), the courts of the Cayman Islands will, at common law, recognize and enforce a foreign monetary judgment of a foreign court of competent jurisdiction without any re-examination of the merits of the underlying dispute based on the principle that a judgment of a competent foreign court imposes upon the judgment debtor an obligation to pay a liquidated sum for which such judgment has been given, provided such judgment (i) is given by a foreign court of competent jurisdiction, (ii) imposes on the judgment debtor a liability to pay a liquidated sum for which the judgment has been given, (iii) is final and conclusive, (iv) is not in respect of taxes, a fine or a penalty, and (v) was not obtained in a manner and is not of a kind the enforcement of which is contrary to natural justice or the public policy of the Cayman Islands.</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40"/>
          </w:cols>
          <w:pgMar w:left="320" w:top="455" w:right="4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However, the Cayman Islands courts are unlikely to enforce a judgment obtained from the United States courts under civil liability provisions of the securities laws if such judgment is determined by the courts of the Cayman Islands to give rise to obligations to make payments that are penal or punitive in nature. A Cayman Islands court may stay enforcement proceedings if concurrent proceedings are being brought elsewhere.</w:t>
      </w:r>
    </w:p>
    <w:p>
      <w:pPr>
        <w:spacing w:after="0" w:line="176"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Commerce &amp; Finance Law Offices, our PRC legal counsel, has advised us that there is uncertainty as to whether the courts of mainland China would:</w:t>
      </w:r>
    </w:p>
    <w:p>
      <w:pPr>
        <w:spacing w:after="0" w:line="67" w:lineRule="exact"/>
        <w:rPr>
          <w:sz w:val="20"/>
          <w:szCs w:val="20"/>
          <w:color w:val="auto"/>
        </w:rPr>
      </w:pPr>
    </w:p>
    <w:p>
      <w:pPr>
        <w:ind w:left="1080" w:right="22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or enforce judgments of United States courts obtained against us or our directors or officers predicated upon the civil liability provisions of the securities laws of the United States or any state in the United States; or</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 original actions brought in each respective jurisdiction against us or our directors or officers predicated upon the securities laws of the United States or any state in the United States.</w:t>
      </w:r>
    </w:p>
    <w:p>
      <w:pPr>
        <w:spacing w:after="0" w:line="16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Commerce &amp; Finance Law Offices has further advised us that the recognition and enforcement of foreign judgments are provided for under the PRC Civil Procedures Law. PRC courts may recognize and enforce foreign judgments in accordance with the requirements of the PRC Civil Procedures Law and other applicable laws and regulations based either on treaties between China and the country where the judgment is made or on principles of reciprocity between jurisdictions. There exists no treaty and few other forms of reciprocity between China and the United States or the Cayman Islands governing the recognition and enforcement of foreign judgments as of the date of this prospectus. In addition, according to the PRC Civil Procedures Law, courts in China will not enforce a foreign judgment against us or our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 Under the PRC Civil Procedures Law and PRC Law on the Application of Laws to Foreign-related Civil Relations, foreign shareholders may originate actions based on PRC law before a PRC court against a company for disputes relating to contracts or other property interests, and the PRC court may accept a cause of action based on the laws or the parties’ express mutual agreement in contracts choosing PRC courts for dispute resolution if such foreign shareholders can establish sufficient nexus to the PRC for a PRC court to have jurisdiction and meet other procedural requirements, including, among others, that the plaintiff must have a direct interest in the case and that there must be a concrete claim, a factual basis and a cause for the case. The PRC court will determine whether to accept the complaint in accordance with the PRC Civil Procedures Law and PRC Law on the Application of Laws to Foreign-related Civil Relations. The shareholder may participate in the action by itself or entrust any other person or PRC legal counsel to participate on behalf of such shareholder. Foreign citizens and companies will have the same rights as PRC citizens and companies in an action unless the home jurisdiction of such foreign citizens or companies restricts the rights of PRC citizens and companies.</w:t>
      </w:r>
    </w:p>
    <w:p>
      <w:pPr>
        <w:spacing w:after="0" w:line="193"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addition, it will be difficult for U.S. shareholders to originate actions against us in China in accordance with PRC laws because we are incorporated under the laws of the Cayman Islands and it will be difficult for U.S. shareholders, by virtue only of holding the ADSs or Class A ordinary shares, to establish a connection to mainland China for a PRC court to have jurisdiction as required under the PRC Civil Procedures Law.</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060"/>
          </w:cols>
          <w:pgMar w:left="320" w:top="455" w:right="5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CORPORATE HISTORY AND STRUCTURE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History</w:t>
      </w:r>
    </w:p>
    <w:p>
      <w:pPr>
        <w:spacing w:after="0" w:line="121" w:lineRule="exact"/>
        <w:rPr>
          <w:sz w:val="20"/>
          <w:szCs w:val="20"/>
          <w:color w:val="auto"/>
        </w:rPr>
      </w:pPr>
    </w:p>
    <w:p>
      <w:pPr>
        <w:ind w:left="120" w:right="160" w:firstLine="440"/>
        <w:spacing w:after="0" w:line="289" w:lineRule="auto"/>
        <w:rPr>
          <w:sz w:val="20"/>
          <w:szCs w:val="20"/>
          <w:color w:val="auto"/>
        </w:rPr>
      </w:pPr>
      <w:r>
        <w:rPr>
          <w:rFonts w:ascii="Times New Roman" w:cs="Times New Roman" w:eastAsia="Times New Roman" w:hAnsi="Times New Roman"/>
          <w:sz w:val="17"/>
          <w:szCs w:val="17"/>
          <w:color w:val="auto"/>
        </w:rPr>
        <w:t>We commenced our business in February 2017. In March 2017, our Cayman Islands holding company, WeRide Inc., formerly known as JingChi Inc., was incorporated, and later became the sole shareholder of WeRide Corp. Our Cayman Islands holding company further established WeRide HongKong Limited, or WeRide HK, formerly known as JingChi Hong Kong Limited, as its wholly-owned subsidiary in Hong Kong in May 2017.</w:t>
      </w:r>
    </w:p>
    <w:p>
      <w:pPr>
        <w:spacing w:after="0" w:line="158"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commenced our operations in mainland China shortly after the establishment of our offshore structure. In December 2017, we selected Guangzhou as our global headquarters. In January 2018, WeRide HK established a wholly-owned subsidiary, Guangzhou Wenyuan Zhixing Technology Co., Ltd., or the WFOE, in mainland China. In March 2018, our founder established Guangzhou Jingqi Technology Co., Ltd., or the VIE, in mainland China. In July 2018, we started to direct the activities of and consolidate the financial results of the VIE by entering into a series of contractual arrangements by and among our WFOE, the VIE and its nominee shareholders. For further details, please see “—Contractual Arrangements with the Consolidated VIE and Its Nominee Shareholders” below.</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August 2019, for the operation of our robotaxi business, the VIE, WeRide HK and two investors jointly established Wenyuan Yuexing (Guangdong) Travel Technology Co., Ltd., or Wenyuan Yuexing, in which the VIE currently holds 69% equity interests. In order to conduct test driving in Nanjing, the VIE further established Wenyuan Suxing (Jiangsu) Technology Co., Ltd., its wholly-owned subsidiary, in November 2020. From June 2022 to the date of this prospectus, our WFOE further established wholly-owned subsidiaries in various cities, including Guangzhou, Shenzhen, Wuhan, Nanjing, Beijing, Shanghai, Zhengzhou and Wuxi.</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00"/>
          </w:cols>
          <w:pgMar w:left="320" w:top="455" w:right="47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following diagram illustrates our corporate structure as of the date of this prospectus, including our principal subsidiaries, the VIE and the principal subsidiaries of the VIE: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131445</wp:posOffset>
            </wp:positionV>
            <wp:extent cx="5949315" cy="36690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949315" cy="3669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1"/>
          <w:szCs w:val="11"/>
          <w:color w:val="auto"/>
        </w:rPr>
        <w:t>Notes:</w:t>
      </w:r>
    </w:p>
    <w:p>
      <w:pPr>
        <w:spacing w:after="0" w:line="117" w:lineRule="exact"/>
        <w:rPr>
          <w:sz w:val="20"/>
          <w:szCs w:val="20"/>
          <w:color w:val="auto"/>
        </w:rPr>
      </w:pPr>
    </w:p>
    <w:p>
      <w:pPr>
        <w:ind w:left="440" w:right="80" w:hanging="324"/>
        <w:spacing w:after="0" w:line="256" w:lineRule="auto"/>
        <w:tabs>
          <w:tab w:leader="none" w:pos="440" w:val="left"/>
        </w:tabs>
        <w:numPr>
          <w:ilvl w:val="0"/>
          <w:numId w:val="4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Tony Xu Han, Hua Zhong and Li Zhang hold 40.0%, 30.0% and 30.0% of the equity interests in Guangzhou Jingqi Technology Co., Ltd., respectively. Tony Xu Han is our Founder, Director and Chief Executive Officer; Hua Zhong is our Senior Vice President; and Li Zhang is our Chief Operating Officer.</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Contractual Arrangements with the Consolidated VIE and Its Nominee Shareholders</w:t>
      </w:r>
    </w:p>
    <w:p>
      <w:pPr>
        <w:spacing w:after="0" w:line="121"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We currently rely on contractual arrangements among our wholly-owned PRC subsidiary, the VIE and its nominee shareholders to direct the business operations of the VIE.</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following is a summary of the currently effective contractual arrangements by and among our WFOE, the VIE and its nominee shareholders. These contractual arrangements enable us to (i) effectively direct the activities of the VIE, (ii) receive substantially all of the economic benefits of the VIE, and (iii) have an exclusive option to purchase all or part of the equity interests in the VIE when and to the extent permitted by PRC law. We are in the process of unwinding the VIE structure and terminating the contractual arrangements among the WFOE, the VIE and its nominee shareholders, after which the VIE will become a wholly-owned subsidiary of our company. We expect to complete the unwinding of the VIE structure within the next six weeks.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Agreements that enable us to effectively direct the activities of the VIE</w:t>
      </w:r>
    </w:p>
    <w:p>
      <w:pPr>
        <w:spacing w:after="0" w:line="119"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i w:val="1"/>
          <w:iCs w:val="1"/>
          <w:color w:val="auto"/>
        </w:rPr>
        <w:t>Power of Attorney</w:t>
      </w:r>
      <w:r>
        <w:rPr>
          <w:rFonts w:ascii="Times New Roman" w:cs="Times New Roman" w:eastAsia="Times New Roman" w:hAnsi="Times New Roman"/>
          <w:sz w:val="18"/>
          <w:szCs w:val="18"/>
          <w:color w:val="auto"/>
        </w:rPr>
        <w:t>. On July 2, 2018 and July 7, 2020 (as the case may be), each shareholder of the VIE issued a power of attorney. Pursuant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powers of attorney executed by the shareholders of the VIE, each of the shareholders of the VIE irrevocably authorize the WFOE to act as</w:t>
      </w:r>
    </w:p>
    <w:p>
      <w:pPr>
        <w:ind w:left="120" w:right="260"/>
        <w:spacing w:after="0" w:line="260" w:lineRule="auto"/>
        <w:rPr>
          <w:sz w:val="20"/>
          <w:szCs w:val="20"/>
          <w:color w:val="auto"/>
        </w:rPr>
      </w:pPr>
      <w:r>
        <w:rPr>
          <w:rFonts w:ascii="Times New Roman" w:cs="Times New Roman" w:eastAsia="Times New Roman" w:hAnsi="Times New Roman"/>
          <w:sz w:val="18"/>
          <w:szCs w:val="18"/>
          <w:color w:val="auto"/>
        </w:rPr>
        <w:t>his attorney-in-fact to exercise all of his rights as a shareholder of the VIE, including, but not limited to, the right to (i) attend shareholders’ meetings and</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080"/>
          </w:cols>
          <w:pgMar w:left="320" w:top="455" w:right="4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sign relevant resolutions on behalf of the shareholder, (ii) exercise all shareholder’s rights under PRC laws and the articles of association of the VIE, such as the voting right, the rights to sale, transfer, pledge and dispose of all or part of the shareholder’s equity interest in the VIE, and (iii) designate and appoint the VIE’s legal representative, chairman of the board, director, general manager and other senior management members on behalf of the shareholder. The powers of attorney will remain effective until such shareholder ceases to be a shareholder of the VIE.</w:t>
      </w:r>
    </w:p>
    <w:p>
      <w:pPr>
        <w:spacing w:after="0" w:line="178"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Equity Interest Pledge Agreements</w:t>
      </w:r>
      <w:r>
        <w:rPr>
          <w:rFonts w:ascii="Times New Roman" w:cs="Times New Roman" w:eastAsia="Times New Roman" w:hAnsi="Times New Roman"/>
          <w:sz w:val="18"/>
          <w:szCs w:val="18"/>
          <w:color w:val="auto"/>
        </w:rPr>
        <w:t>. On July 2, 2018 and July 7, 2020 (as the case may be), each shareholder of the VIE entered into an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pledge agreement with our WFOE. Pursuant to the equity interest pledge agreement, the shareholders of the VIE have pledged 100% equity interests in the VIE to our WFOE to guarantee the performance of the obligations by the VIE and its nominee shareholders under the exclusive technology consulting and service agreement, the exclusive option agreement and the powers of attorney. If events of default defined therein occurs, the WFOE, as the pledgee, to the extent permitted by PRC laws, may exercise the right to enforce the pledge, provided that a written notice is delivered. The shareholders of the VIE also covenant that, without the prior written consent of the WFOE, they shall not transfer the pledged equity interests, create or allow any new pledge or other encumbrance of other type on the pledged equity interests. As of the date of this prospectus, we have completed registering the equity pledges with the local branch of the SAMR in accordance with relevant PRC laws and regulations.</w:t>
      </w:r>
    </w:p>
    <w:p>
      <w:pPr>
        <w:spacing w:after="0" w:line="185"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Spousal Consent Letters. </w:t>
      </w:r>
      <w:r>
        <w:rPr>
          <w:rFonts w:ascii="Times New Roman" w:cs="Times New Roman" w:eastAsia="Times New Roman" w:hAnsi="Times New Roman"/>
          <w:sz w:val="18"/>
          <w:szCs w:val="18"/>
          <w:color w:val="auto"/>
        </w:rPr>
        <w:t>On July 2, 2018 and July 7, 2020 (as the case may be), each of the spouses of the nominee shareholders of the VIE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entered into a spousal consent letter. Pursuant to the spousal consent letters, each of the spouses of the applicable nominee shareholders of our VIE acknowledges and confirms the execution of the relevant equity interest pledge agreement, exclusive option agreement and power of attorney. In addition, each of them agrees not to assert any rights over the equity interest in the VIE held by her respective spouses. In addition, in the event that any of them obtains any equity interest in the VIE held by their respective spouses for any reason, such spouses agree to be bound by similar obligations and agree to enter into similar contractual arrangements, as amended and restated from time to time.</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Agreement that allows us to receive economic benefits from the VIE</w:t>
      </w:r>
    </w:p>
    <w:p>
      <w:pPr>
        <w:spacing w:after="0" w:line="119"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Exclusive Technology Consulting and Service Agreement</w:t>
      </w:r>
      <w:r>
        <w:rPr>
          <w:rFonts w:ascii="Times New Roman" w:cs="Times New Roman" w:eastAsia="Times New Roman" w:hAnsi="Times New Roman"/>
          <w:sz w:val="18"/>
          <w:szCs w:val="18"/>
          <w:color w:val="auto"/>
        </w:rPr>
        <w:t>. On July 2, 2018, the VIE and our WFOE entered into an exclusive technology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consulting and service agreement. Pursuant to the exclusive technology consulting and service agreement, the WFOE has the exclusive right to provide the VIE with technology consulting and services, including but not limited to technology research and development, technology application and implementation, staff training and technology consultations. Without the WFOE’s prior written consents, the VIE may not accept the same or similar service contemplated by the agreement provided by any third party during the term of the agreement. The VIE agrees to pay the WFOE consulting and service fees at the total amount of the pre-tax profit, after deducting the necessary expenses, costs for business operations generated by the VIE, or an amount that is adjusted in accordance with the WFOE’s sole discretion based on the services and technologies provided by the VIE, the operating conditions and the plans of business development of the VIE. To guarantee the VIE’s performance thereunder, the shareholders of the VIE have pledged all of their equity interests in the VIE to the WFOE pursuant to the equity interest pledge agreement. The exclusive technology consulting and service agreement shall have a term of ten years upon the date of execution, which will be automatically extended for another ten years upon the date of expiration, unless terminated in writing by the WFOE.</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Agreements that provide us with the exclusive options to purchase the equity interests in and assets of the VIE</w:t>
      </w:r>
    </w:p>
    <w:p>
      <w:pPr>
        <w:spacing w:after="0" w:line="11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Exclusive Option Agreement</w:t>
      </w:r>
      <w:r>
        <w:rPr>
          <w:rFonts w:ascii="Times New Roman" w:cs="Times New Roman" w:eastAsia="Times New Roman" w:hAnsi="Times New Roman"/>
          <w:sz w:val="18"/>
          <w:szCs w:val="18"/>
          <w:color w:val="auto"/>
        </w:rPr>
        <w:t>. On July 7, 2020, the shareholders of the VIE, the VIE and our WFOE entered into an exclusive option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the exclusive option agreement, each of the shareholders of the VIE has irrevocably granted the WFOE, or any person or persons designated by the WFOE, an exclusive option to purchase all or part of the equity interests in the VIE held by the shareholders. In addition, the VIE has granted the WFOE or the WFOE’s designated person or persons, an exclusive option to purchase all or a part of the</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20"/>
          </w:cols>
          <w:pgMar w:left="320" w:top="455" w:right="4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assets held by the VIE. The WFOE or persons designated by the WFOE may exercise such options to purchase equity interests in the VIE at the lowest price permitted under PRC laws, or assets of the VIE at the lower of the net book value and the lowest price permitted under PRC laws. The shareholders further undertake that, without the prior written consent of the WFOE, the VIE will not, among other things, (i) supplement, change or amend the VIE’s articles of association, (ii) increase or decrease the VIE’s registered capital or change its structure of registered capital, (iii) sell, transfer, mortgage, dispose of, or allow any new pledge or other encumbrance of other types on any assets of the VIE and any legal or beneficial interests in the business or revenue of the VIE, (iv) enter into any material contracts, except in the ordinary course of business, or (v) merge or consolidate the VIE with any other entity, acquire any other entity, or provide investment to any other entity. The exclusive option agreement will remain effective until all of the equity interests or assets of the VIE have been transferred to the WFOE and/or its designated person.</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the opinion of Commerce &amp; Finance Law Offices, our PRC legal counsel:</w:t>
      </w:r>
    </w:p>
    <w:p>
      <w:pPr>
        <w:spacing w:after="0" w:line="131" w:lineRule="exact"/>
        <w:rPr>
          <w:sz w:val="20"/>
          <w:szCs w:val="20"/>
          <w:color w:val="auto"/>
        </w:rPr>
      </w:pPr>
    </w:p>
    <w:p>
      <w:pPr>
        <w:ind w:left="108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structures of the VIE and our WFOE, currently and immediately after giving effect to this offering, do not and will not result in violation of applicable PRC laws and regulations currently in effect; and</w:t>
      </w:r>
    </w:p>
    <w:p>
      <w:pPr>
        <w:spacing w:after="0" w:line="67" w:lineRule="exact"/>
        <w:rPr>
          <w:rFonts w:ascii="Times New Roman" w:cs="Times New Roman" w:eastAsia="Times New Roman" w:hAnsi="Times New Roman"/>
          <w:sz w:val="18"/>
          <w:szCs w:val="18"/>
          <w:color w:val="auto"/>
        </w:rPr>
      </w:pPr>
    </w:p>
    <w:p>
      <w:pPr>
        <w:jc w:val="both"/>
        <w:ind w:left="1080" w:right="300" w:hanging="424"/>
        <w:spacing w:after="0" w:line="266"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arrangements among our WFOE, the VIE and its shareholders governed by PRC laws are currently valid and binding in accordance with applicable PRC laws and regulations currently in effect, and do not result in any violation of applicable PRC laws and regulations currently in effect.</w:t>
      </w:r>
    </w:p>
    <w:p>
      <w:pPr>
        <w:spacing w:after="0" w:line="176" w:lineRule="exact"/>
        <w:rPr>
          <w:sz w:val="20"/>
          <w:szCs w:val="20"/>
          <w:color w:val="auto"/>
        </w:rPr>
      </w:pPr>
    </w:p>
    <w:p>
      <w:pPr>
        <w:ind w:left="120" w:right="20" w:firstLine="440"/>
        <w:spacing w:after="0" w:line="270" w:lineRule="auto"/>
        <w:rPr>
          <w:sz w:val="20"/>
          <w:szCs w:val="20"/>
          <w:color w:val="auto"/>
        </w:rPr>
      </w:pPr>
      <w:r>
        <w:rPr>
          <w:rFonts w:ascii="Times New Roman" w:cs="Times New Roman" w:eastAsia="Times New Roman" w:hAnsi="Times New Roman"/>
          <w:sz w:val="17"/>
          <w:szCs w:val="17"/>
          <w:color w:val="auto"/>
        </w:rPr>
        <w:t>However, our PRC legal counsel has also advised us that there are substantial uncertainties regarding the interpretation and application of current and future PRC laws, regulations and rules. Accordingly, the PRC regulatory authorities may take a view that is contrary to the opinion of our PRC legal counsel. It is also uncertain whether any new PRC laws or regulations relating to variable interest entity structures will be adopted or if adopted, what they would provide. If we or the VIE are found to be in violation of any existing or future PRC laws or regulations, or fail to obtain or maintain any of the required permits or approvals, the relevant PRC regulatory authorities would have broad discretion to take action in dealing with such violations or failures. See “Risk Factors—Risks Related to Our Corporate Structure—If regulations or interpretation of the existing regulations change in the future, we could be subject to penalties or be forced to relinquish our interests in the VIE,” “Risk Factors—Risks Related to Doing Business in Mainland China —Uncertainties exist with respect to the interpretation and implementation of the PRC Foreign Investment Law and how it may impact the viability of our current corporate structure, corporate governance and business operations” and “Risk Factors—Risks Related to doing business in Mainland China —Uncertainties with respect to the PRC legal system and changes in laws and regulations in mainland China could adversely affect us.”</w:t>
      </w:r>
    </w:p>
    <w:p>
      <w:pPr>
        <w:spacing w:after="0" w:line="1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20"/>
          </w:cols>
          <w:pgMar w:left="320" w:top="455" w:right="4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our consolidated financial statements and related notes included elsewhere in this prospectus. Our actual results may differ materially from those we currently anticipate as a result of many factors, including those we describe under “Risk Factors” and elsewhere in this prospectus. See “Special Note Regarding Forward-Looking Statements.” Our consolidated financial statements have been prepared in accordance with IFRS.</w:t>
      </w:r>
    </w:p>
    <w:p>
      <w:pPr>
        <w:spacing w:after="0" w:line="18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Unless otherwise indicated, information contained in this prospectus concerning our industry and the regions in which we operate, including our general expectations, market position, market size, market opportunity, market share, competitive landscape, market rankings, capabilities of market participants, and other management estimates, is based on an industry report dated February 23, 2023 and commissioned by us and prepared by CIC, to provide information regarding our industry and our market position. Neither we nor any other party involved in this offering has independently verified such information, and neither we nor any other party involved in this offering makes any representation as to the accuracy or completeness of such information. Investors are cautioned not to place any undue reliance on the information, including statistics and estimates, set forth in this section or similar information included elsewhere in this prospectus.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We are the most commercially successful L4 autonomous driving company globally as measured by our commercialization revenue in 2021 and 2022, and our mission is to transform urban living with autonomous driving. We believe our autonomous driving technology, designed primarily for vehicles that operate in urban environments, is among the most advanced and commercially proven in the world. We provide autonomous driving products and services across the widest range of use cases on open road, including in mobility, logistics and sanitation industries.</w:t>
      </w:r>
    </w:p>
    <w:p>
      <w:pPr>
        <w:spacing w:after="0" w:line="178" w:lineRule="exact"/>
        <w:rPr>
          <w:sz w:val="20"/>
          <w:szCs w:val="20"/>
          <w:color w:val="auto"/>
        </w:rPr>
      </w:pPr>
    </w:p>
    <w:p>
      <w:pPr>
        <w:jc w:val="both"/>
        <w:ind w:left="120" w:right="20" w:firstLine="440"/>
        <w:spacing w:after="0" w:line="267" w:lineRule="auto"/>
        <w:rPr>
          <w:sz w:val="20"/>
          <w:szCs w:val="20"/>
          <w:color w:val="auto"/>
        </w:rPr>
      </w:pPr>
      <w:r>
        <w:rPr>
          <w:rFonts w:ascii="Times New Roman" w:cs="Times New Roman" w:eastAsia="Times New Roman" w:hAnsi="Times New Roman"/>
          <w:sz w:val="18"/>
          <w:szCs w:val="18"/>
          <w:color w:val="auto"/>
        </w:rPr>
        <w:t xml:space="preserve">We are the first to develop a universal autonomous driving technology platform,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 which has been directly applied in a wide range of urban-centered use cases and sets us apart from our competitors.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 integrates full-stack software algorithms, modularized hardware solutions and a cloud-based infrastructure platform.</w:t>
      </w:r>
    </w:p>
    <w:p>
      <w:pPr>
        <w:spacing w:after="0" w:line="175"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Today, we operate one of the world’s largest autonomous driving fleets, with over 500 vehicles and cumulative autonomous mileage of over 15 million kilometers mostly in dense urban environment. Our autonomous driving vehicles are capable of navigating high population and traffic density, operating all day under all weather conditions. We have commenced trial and commercial operations of our autonomous driving vehicles in 25 cities and five countries.</w:t>
      </w:r>
    </w:p>
    <w:p>
      <w:pPr>
        <w:spacing w:after="0" w:line="180"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have achieved remarkable commercialization results and recorded strong growth. We generate revenue primarily from (i) the sales of our L4 autonomous driving vehicles, mainly including our robobuses and robotaxis, and related sensor suites, and (ii) the provision of L4 autonomous driving and ADAS services, including the provision of L4 autonomous driving operational and technical support services as well as ADAS research and development services.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total revenue was RMB138.2 million (US$20.6 million) in 2021, representing a 659.3% increase as compared to 2020. Our total revenue was RMB139.7 million (US$20.9 million) in the six months ended June 30, 2022, representing a 463.3% increase as compared to the same period in 2021. Our loss for the year/period was RMB694.9 million, RMB1,007.3 million (US$150.4 million) and RMB657.9 million (US$98.2 million) in 2020, 2021 and the six months ended June 30, 2022, respectively. We had the smallest net loss among publicly-listed L4 autonomous driving companies globally in 2021. Our non-IFRS adjusted net loss was RMB337.8 million,</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060"/>
          </w:cols>
          <w:pgMar w:left="320" w:top="455" w:right="51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RMB423.3 million (US$63.2 million) and RMB234.7 million (US$35.0 million) in 2020, 2021 and the six months ended June 30, 2022, respectively. For discussions of our adjusted net loss and reconciliation of adjusted net loss to loss for the year/period, see “Management’s Discussion and Analysis of Financial Condition and Results of Operations—Non-IFRS Financial Measures” for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63500</wp:posOffset>
            </wp:positionV>
            <wp:extent cx="5186045" cy="21774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86045" cy="217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1"/>
          <w:szCs w:val="11"/>
          <w:color w:val="auto"/>
        </w:rPr>
        <w:t>Source: CIC</w:t>
      </w:r>
    </w:p>
    <w:p>
      <w:pPr>
        <w:spacing w:after="0" w:line="3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Continued commercialization of our autonomous driving products and services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Our business model centers on the commitment to address real world problems. We focus on driving the adoption of our autonomous driving technology, products and services and we have delivered consistent growth underpinned by the leadership of our commercialization and maturity of our products. We are offering a wide range of services and products. We expect to scale up our operations, increase the range of our product and service offerings and expand our revenue sources in the future.</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success will depend upon the progression of technological and commercialization milestones. See “Risk Factors—Risks Related to Our Business and Industry—Autonomous driving technology is an emerging technology, and we face significant challenges to develop and commercialize our technology. Our technology may not perform as well as we expect or take us longer to commercialize than is currently projected,” and “Risk Factors —Risks Related to Our Business and Industry—Our business model has yet to be tested, and any failure to commercialize our strategic plans, technologies, products or services would have an adverse effect on our operating results and business.”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Continued investment in technology</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Technology is at the core of our business. We believe our L4 autonomous driving technology is among the most advanced and validated in the world.</w:t>
      </w:r>
    </w:p>
    <w:p>
      <w:pPr>
        <w:spacing w:after="0" w:line="162"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Our research and development team are critical to the success of our business. We have focused on attracting and retaining best-in-class talent to solve the greatest difficulties challenging the autonomous driving industry. We will continue to invest heavily in employee recruitment and retention to grow our strength in key technologies.</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Since our inception, our team has made technological investments in key aspects of autonomous driving software, hardware and infrastructure. We invested heavily in the development of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WeRide One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20"/>
          </w:cols>
          <w:pgMar w:left="320" w:top="455" w:right="4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 xml:space="preserve">enables faster product development, efficiencies and quicker go-to-market, which we believe set us apart from our competitors and give us a compelling advantage. We pride ourselves on our demonstrated research and development efficiency stemming from the universality of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 and we expect to enjoy greater efficiency in this regard as we introduce more use cases onto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autonomous driving industry is a promising market and technology is a key competing factor. Our financial performance will be significantly dependent on our ability to maintain our technological leadership. As such, we expect to incur substantial and potentially increasing research and development expenses and to dedicate substantial resources to improving and refining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Economies of scale and improvement of cost and operational efficiencies</w:t>
      </w:r>
    </w:p>
    <w:p>
      <w:pPr>
        <w:spacing w:after="0" w:line="121"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Operating at a large scale gives us significant advantages in terms of efficiencies and our financial performance will depend on our ability to achieve such efficiencies.</w:t>
      </w:r>
    </w:p>
    <w:p>
      <w:pPr>
        <w:spacing w:after="0" w:line="160" w:lineRule="exact"/>
        <w:rPr>
          <w:sz w:val="20"/>
          <w:szCs w:val="20"/>
          <w:color w:val="auto"/>
        </w:rPr>
      </w:pPr>
    </w:p>
    <w:p>
      <w:pPr>
        <w:ind w:left="120" w:right="60" w:firstLine="440"/>
        <w:spacing w:after="0" w:line="267" w:lineRule="auto"/>
        <w:rPr>
          <w:sz w:val="20"/>
          <w:szCs w:val="20"/>
          <w:color w:val="auto"/>
        </w:rPr>
      </w:pPr>
      <w:r>
        <w:rPr>
          <w:rFonts w:ascii="Times New Roman" w:cs="Times New Roman" w:eastAsia="Times New Roman" w:hAnsi="Times New Roman"/>
          <w:sz w:val="18"/>
          <w:szCs w:val="18"/>
          <w:color w:val="auto"/>
        </w:rPr>
        <w:t xml:space="preserve">Our investment in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 has helped us achieve a high level of commonality in software and hardware across our different products. We have the opportunity to benefit from lower per unit production cost if we operate at scale. Our future performance will depend on our ability to scale up our operation and increase the volume of our autonomous driving vehicles.</w:t>
      </w:r>
    </w:p>
    <w:p>
      <w:pPr>
        <w:spacing w:after="0" w:line="17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WeRide One </w:t>
      </w:r>
      <w:r>
        <w:rPr>
          <w:rFonts w:ascii="Times New Roman" w:cs="Times New Roman" w:eastAsia="Times New Roman" w:hAnsi="Times New Roman"/>
          <w:sz w:val="18"/>
          <w:szCs w:val="18"/>
          <w:color w:val="auto"/>
        </w:rPr>
        <w:t>also allows us to apply autonomous driving technology to new use cases quickly and with greater research and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efficiency. We also expect to maintain a competitive edge in operational efficiency as we continue to upgrade the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 platform. The operating experience and resources we acquire by launching one use case in a given geography allows us to expand the scope of our autonomous driving products and services in the same area with greater operational efficiency, and in turn the overall scale of our operations.</w:t>
      </w:r>
    </w:p>
    <w:p>
      <w:pPr>
        <w:spacing w:after="0" w:line="182"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We expect to achieve economies of scale and improve our margin as we ramp up the deployment and operation of our autonomous driving vehicles and introduce more use cases onto our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 platform. Emergence of competition may negatively impact pricing, margins and market share, but we believe our commercialization and technological leadership will allow us to maintain favorable margins and unit economics. Our future performance will depend on our ability to deliver on these margins and economies of scale.</w:t>
      </w:r>
    </w:p>
    <w:p>
      <w:pPr>
        <w:spacing w:after="0" w:line="180" w:lineRule="exact"/>
        <w:rPr>
          <w:sz w:val="20"/>
          <w:szCs w:val="20"/>
          <w:color w:val="auto"/>
        </w:rPr>
      </w:pPr>
    </w:p>
    <w:p>
      <w:pPr>
        <w:jc w:val="both"/>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We remain committed to lowering our operating and production costs across our product lines although we expect the absolute amount of our costs and expenses to increase in the near future as we continue to expand our operations and invest in our technologies, products and services. We believe such investment has and will continue to strengthen our technological leadership and translate into higher efficiencies in the long run.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Market acceptance and adoption of autonomous driving products and services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market for autonomous driving products and services, particularly L4 autonomous driving products and services, is nascent and fast evolving.</w:t>
      </w:r>
    </w:p>
    <w:p>
      <w:pPr>
        <w:spacing w:after="0" w:line="23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Our business model is primarily supported by a large and expanding addressable market that we believe is increasingly benefiting from the introduction of autonomous driving technologies. Our autonomous driving vehicles are expected to present compelling unit economics as compared with traditional vehicles, particularly because the adoption of self-driving technologies will reduce labor costs associated human drivers and extend the operating hours of each vehicle. Our autonomous driving technology will also help alleviate any shortage of human drivers. As a result, we have been able to identify participants across different segments of the transportation industry who have expressed support for our product and service offerings as viable solutions to the challenges they face.</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080"/>
          </w:cols>
          <w:pgMar w:left="320" w:top="455" w:right="49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Although we have managed to generate demand and have received market acceptance for our products and services to a certain degree, the long-term success of our business model hinges on the broadscale adoption and support of L4 autonomous driving technology.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Impact of COVID-19 on Our Operations</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COVID-19 pandemic severely impacted China and the rest of the world, and resulted in quarantines, travel restrictions and the temporary closure of offices and facilities. Global slowdown in economic activity and disruptions to supply chain, logistical services and component supply all had an impact on our business and financial results. The extent to which COVID-19 will affect our financial position, results of operations and cash flows in the future will depend on the developments of the pandemic, including the extent and severity of new waves of outbreak, the availability and effectiveness of COVID-19 vaccine and other medical treatment, impact on our research and development efforts and on our suppliers and business partners, and public and private sector policies taken to contain the outbreak, all of which are highly uncertain, unpredictable and beyond our control. In addition, our results of operations could be adversely affected to the extent that COVID-19 impacts the Chinese economy and the world economy in general. See “Risk Factors—Risks Related to Our Business and Industry—Our operations have been and may continue to be negatively affected by COVID-19 pandemic.”</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Components of Results of Operations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the breakdown of our revenue for the periods presented:</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2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7"/>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5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7"/>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5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3620" w:type="dxa"/>
            <w:vAlign w:val="bottom"/>
          </w:tcPr>
          <w:p>
            <w:pPr>
              <w:spacing w:after="0"/>
              <w:rPr>
                <w:sz w:val="12"/>
                <w:szCs w:val="12"/>
                <w:color w:val="auto"/>
              </w:rPr>
            </w:pPr>
          </w:p>
        </w:tc>
        <w:tc>
          <w:tcPr>
            <w:tcW w:w="1240" w:type="dxa"/>
            <w:vAlign w:val="bottom"/>
            <w:tcBorders>
              <w:bottom w:val="single" w:sz="8" w:color="auto"/>
            </w:tcBorders>
            <w:gridSpan w:val="4"/>
          </w:tcPr>
          <w:p>
            <w:pPr>
              <w:jc w:val="right"/>
              <w:ind w:right="37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Borders>
              <w:bottom w:val="single" w:sz="8" w:color="auto"/>
            </w:tcBorders>
            <w:gridSpan w:val="4"/>
          </w:tcPr>
          <w:p>
            <w:pPr>
              <w:jc w:val="right"/>
              <w:ind w:right="39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3620" w:type="dxa"/>
            <w:vAlign w:val="bottom"/>
          </w:tcPr>
          <w:p>
            <w:pPr>
              <w:spacing w:after="0"/>
              <w:rPr>
                <w:sz w:val="12"/>
                <w:szCs w:val="12"/>
                <w:color w:val="auto"/>
              </w:rPr>
            </w:pPr>
          </w:p>
        </w:tc>
        <w:tc>
          <w:tcPr>
            <w:tcW w:w="620" w:type="dxa"/>
            <w:vAlign w:val="bottom"/>
            <w:tcBorders>
              <w:bottom w:val="single" w:sz="8" w:color="auto"/>
            </w:tcBorders>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20" w:type="dxa"/>
            <w:vAlign w:val="bottom"/>
            <w:tcBorders>
              <w:bottom w:val="single" w:sz="8" w:color="auto"/>
            </w:tcBorders>
            <w:gridSpan w:val="2"/>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760" w:type="dxa"/>
            <w:vAlign w:val="bottom"/>
            <w:tcBorders>
              <w:bottom w:val="single" w:sz="8" w:color="auto"/>
            </w:tcBorders>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500" w:type="dxa"/>
            <w:vAlign w:val="bottom"/>
            <w:tcBorders>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00" w:type="dxa"/>
            <w:vAlign w:val="bottom"/>
            <w:tcBorders>
              <w:bottom w:val="single" w:sz="8" w:color="auto"/>
            </w:tcBorders>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780" w:type="dxa"/>
            <w:vAlign w:val="bottom"/>
            <w:tcBorders>
              <w:bottom w:val="single" w:sz="8" w:color="auto"/>
            </w:tcBorders>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540" w:type="dxa"/>
            <w:vAlign w:val="bottom"/>
            <w:tcBorders>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r>
      <w:tr>
        <w:trPr>
          <w:trHeight w:val="142"/>
        </w:trPr>
        <w:tc>
          <w:tcPr>
            <w:tcW w:w="3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40" w:type="dxa"/>
            <w:vAlign w:val="bottom"/>
            <w:gridSpan w:val="9"/>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for percentages)</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Products</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5,920</w:t>
            </w:r>
          </w:p>
        </w:tc>
        <w:tc>
          <w:tcPr>
            <w:tcW w:w="8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32.5</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101,597</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15,168</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73.5</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18,470</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74.3</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92,257</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13,774</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66.0</w:t>
            </w:r>
          </w:p>
        </w:tc>
      </w:tr>
      <w:tr>
        <w:trPr>
          <w:trHeight w:val="216"/>
        </w:trPr>
        <w:tc>
          <w:tcPr>
            <w:tcW w:w="3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Services</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12,270</w:t>
            </w:r>
          </w:p>
        </w:tc>
        <w:tc>
          <w:tcPr>
            <w:tcW w:w="80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67.5</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36,575</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5,461</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26.5</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6,375</w:t>
            </w: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25.7</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47,468</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7,087</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34.0</w:t>
            </w:r>
          </w:p>
        </w:tc>
      </w:tr>
      <w:tr>
        <w:trPr>
          <w:trHeight w:val="223"/>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18,190</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138,172</w:t>
            </w:r>
          </w:p>
        </w:tc>
        <w:tc>
          <w:tcPr>
            <w:tcW w:w="1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20,629</w:t>
            </w:r>
          </w:p>
        </w:tc>
        <w:tc>
          <w:tcPr>
            <w:tcW w:w="1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24,845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139,725</w:t>
            </w:r>
          </w:p>
        </w:tc>
        <w:tc>
          <w:tcPr>
            <w:tcW w:w="1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20,861</w:t>
            </w:r>
          </w:p>
        </w:tc>
        <w:tc>
          <w:tcPr>
            <w:tcW w:w="1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80" w:type="dxa"/>
            <w:vAlign w:val="bottom"/>
          </w:tcPr>
          <w:p>
            <w:pPr>
              <w:spacing w:after="0"/>
              <w:rPr>
                <w:sz w:val="19"/>
                <w:szCs w:val="19"/>
                <w:color w:val="auto"/>
              </w:rPr>
            </w:pPr>
          </w:p>
        </w:tc>
      </w:tr>
      <w:tr>
        <w:trPr>
          <w:trHeight w:val="20"/>
        </w:trPr>
        <w:tc>
          <w:tcPr>
            <w:tcW w:w="36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generate revenue primarily from (i) the sales of our L4 autonomous driving vehicles, mainly including our robobuses and robotaxis, and related sensor suites, and (ii) the provision of L4 autonomous driving and ADAS services, including the provision of L4 autonomous driving operational and technical support services as well as ADAS research and development services.</w:t>
      </w:r>
    </w:p>
    <w:p>
      <w:pPr>
        <w:spacing w:after="0" w:line="176"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We are in the early stage of commercialization. As we continue to make headways in the commercialization of our autonomous technologies, the composition of our revenue and the relative weight of our revenue items may change.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Our cost of revenue primarily consists of cost of goods sold and cost of services. Our cost of goods sold mainly comprises cost of inventories associated with the sales of our autonomous driving vehicles. Our cost of services mainly comprises personnel-related expenses for the provision of L4 autonomous driving and ADAS services.</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140"/>
          </w:cols>
          <w:pgMar w:left="320" w:top="455" w:right="4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table below sets forth the breakdown of our cost of revenue for the periods presented:</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96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5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7"/>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5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3960" w:type="dxa"/>
            <w:vAlign w:val="bottom"/>
          </w:tcPr>
          <w:p>
            <w:pPr>
              <w:spacing w:after="0"/>
              <w:rPr>
                <w:sz w:val="12"/>
                <w:szCs w:val="12"/>
                <w:color w:val="auto"/>
              </w:rPr>
            </w:pPr>
          </w:p>
        </w:tc>
        <w:tc>
          <w:tcPr>
            <w:tcW w:w="1120" w:type="dxa"/>
            <w:vAlign w:val="bottom"/>
            <w:tcBorders>
              <w:bottom w:val="single" w:sz="8" w:color="auto"/>
            </w:tcBorders>
            <w:gridSpan w:val="4"/>
          </w:tcPr>
          <w:p>
            <w:pPr>
              <w:jc w:val="right"/>
              <w:ind w:right="33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Borders>
              <w:bottom w:val="single" w:sz="8" w:color="auto"/>
            </w:tcBorders>
            <w:gridSpan w:val="4"/>
          </w:tcPr>
          <w:p>
            <w:pPr>
              <w:jc w:val="right"/>
              <w:ind w:right="39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3960" w:type="dxa"/>
            <w:vAlign w:val="bottom"/>
          </w:tcPr>
          <w:p>
            <w:pPr>
              <w:spacing w:after="0"/>
              <w:rPr>
                <w:sz w:val="12"/>
                <w:szCs w:val="12"/>
                <w:color w:val="auto"/>
              </w:rPr>
            </w:pPr>
          </w:p>
        </w:tc>
        <w:tc>
          <w:tcPr>
            <w:tcW w:w="500" w:type="dxa"/>
            <w:vAlign w:val="bottom"/>
            <w:tcBorders>
              <w:bottom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20" w:type="dxa"/>
            <w:vAlign w:val="bottom"/>
            <w:tcBorders>
              <w:bottom w:val="single" w:sz="8" w:color="auto"/>
            </w:tcBorders>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760" w:type="dxa"/>
            <w:vAlign w:val="bottom"/>
            <w:tcBorders>
              <w:bottom w:val="single" w:sz="8" w:color="auto"/>
            </w:tcBorders>
            <w:gridSpan w:val="2"/>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500" w:type="dxa"/>
            <w:vAlign w:val="bottom"/>
            <w:tcBorders>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20" w:type="dxa"/>
            <w:vAlign w:val="bottom"/>
            <w:tcBorders>
              <w:bottom w:val="single" w:sz="8" w:color="auto"/>
            </w:tcBorders>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760" w:type="dxa"/>
            <w:vAlign w:val="bottom"/>
            <w:tcBorders>
              <w:bottom w:val="single" w:sz="8" w:color="auto"/>
            </w:tcBorders>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540" w:type="dxa"/>
            <w:vAlign w:val="bottom"/>
            <w:tcBorders>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r>
      <w:tr>
        <w:trPr>
          <w:trHeight w:val="142"/>
        </w:trPr>
        <w:tc>
          <w:tcPr>
            <w:tcW w:w="39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60" w:type="dxa"/>
            <w:vAlign w:val="bottom"/>
            <w:gridSpan w:val="9"/>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for percentages)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goods sold</w:t>
            </w:r>
          </w:p>
        </w:tc>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8"/>
              </w:rPr>
              <w:t>2,621</w:t>
            </w: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55.6</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77,383</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11,553</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89.4</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18,447</w:t>
            </w: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91.6</w:t>
            </w: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54,233</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8,097</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71.1</w:t>
            </w:r>
          </w:p>
        </w:tc>
      </w:tr>
      <w:tr>
        <w:trPr>
          <w:trHeight w:val="216"/>
        </w:trPr>
        <w:tc>
          <w:tcPr>
            <w:tcW w:w="3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services</w:t>
            </w:r>
          </w:p>
        </w:tc>
        <w:tc>
          <w:tcPr>
            <w:tcW w:w="5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8"/>
              </w:rPr>
              <w:t>2,095</w:t>
            </w: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44.4</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9,129</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1,363</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10.6</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1,695</w:t>
            </w: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w:t>
            </w:r>
          </w:p>
        </w:tc>
        <w:tc>
          <w:tcPr>
            <w:tcW w:w="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22,063</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3,294</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28.9</w:t>
            </w:r>
          </w:p>
        </w:tc>
      </w:tr>
      <w:tr>
        <w:trPr>
          <w:trHeight w:val="223"/>
        </w:trPr>
        <w:tc>
          <w:tcPr>
            <w:tcW w:w="3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w w:val="93"/>
              </w:rPr>
              <w:t>4,716</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86,512</w:t>
            </w:r>
          </w:p>
        </w:tc>
        <w:tc>
          <w:tcPr>
            <w:tcW w:w="1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12,916</w:t>
            </w:r>
          </w:p>
        </w:tc>
        <w:tc>
          <w:tcPr>
            <w:tcW w:w="1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20,142</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80" w:type="dxa"/>
            <w:vAlign w:val="bottom"/>
          </w:tcPr>
          <w:p>
            <w:pPr>
              <w:spacing w:after="0"/>
              <w:rPr>
                <w:sz w:val="19"/>
                <w:szCs w:val="19"/>
                <w:color w:val="auto"/>
              </w:rPr>
            </w:pPr>
          </w:p>
        </w:tc>
        <w:tc>
          <w:tcPr>
            <w:tcW w:w="62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w w:val="96"/>
              </w:rPr>
              <w:t>76,296</w:t>
            </w:r>
          </w:p>
        </w:tc>
        <w:tc>
          <w:tcPr>
            <w:tcW w:w="1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11,391</w:t>
            </w:r>
          </w:p>
        </w:tc>
        <w:tc>
          <w:tcPr>
            <w:tcW w:w="1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80" w:type="dxa"/>
            <w:vAlign w:val="bottom"/>
          </w:tcPr>
          <w:p>
            <w:pPr>
              <w:spacing w:after="0"/>
              <w:rPr>
                <w:sz w:val="19"/>
                <w:szCs w:val="19"/>
                <w:color w:val="auto"/>
              </w:rPr>
            </w:pPr>
          </w:p>
        </w:tc>
      </w:tr>
      <w:tr>
        <w:trPr>
          <w:trHeight w:val="20"/>
        </w:trPr>
        <w:tc>
          <w:tcPr>
            <w:tcW w:w="39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expect our cost of revenue to increase in absolute amounts in the foreseeable future as we continue to commercialize our technologies and given the projected growth in the sales of our products and services. As is with the case of our revenue composition, our cost structure may also change as our product and service portfolio continues to expand and evolve.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presents our gross profit for the periods presented:</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20" w:type="dxa"/>
            <w:vAlign w:val="bottom"/>
            <w:gridSpan w:val="9"/>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142"/>
        </w:trPr>
        <w:tc>
          <w:tcPr>
            <w:tcW w:w="4820" w:type="dxa"/>
            <w:vAlign w:val="bottom"/>
          </w:tcPr>
          <w:p>
            <w:pPr>
              <w:spacing w:after="0"/>
              <w:rPr>
                <w:sz w:val="12"/>
                <w:szCs w:val="12"/>
                <w:color w:val="auto"/>
              </w:rPr>
            </w:pPr>
          </w:p>
        </w:tc>
        <w:tc>
          <w:tcPr>
            <w:tcW w:w="1260" w:type="dxa"/>
            <w:vAlign w:val="bottom"/>
            <w:tcBorders>
              <w:top w:val="single" w:sz="8" w:color="auto"/>
              <w:bottom w:val="single" w:sz="8" w:color="auto"/>
            </w:tcBorders>
            <w:gridSpan w:val="4"/>
          </w:tcPr>
          <w:p>
            <w:pPr>
              <w:jc w:val="right"/>
              <w:ind w:right="39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4820" w:type="dxa"/>
            <w:vAlign w:val="bottom"/>
          </w:tcPr>
          <w:p>
            <w:pPr>
              <w:spacing w:after="0"/>
              <w:rPr>
                <w:sz w:val="12"/>
                <w:szCs w:val="12"/>
                <w:color w:val="auto"/>
              </w:rPr>
            </w:pPr>
          </w:p>
        </w:tc>
        <w:tc>
          <w:tcPr>
            <w:tcW w:w="62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40" w:type="dxa"/>
            <w:vAlign w:val="bottom"/>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74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6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500" w:type="dxa"/>
            <w:vAlign w:val="bottom"/>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840" w:type="dxa"/>
            <w:vAlign w:val="bottom"/>
            <w:gridSpan w:val="3"/>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0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540" w:type="dxa"/>
            <w:vAlign w:val="bottom"/>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r>
      <w:tr>
        <w:trPr>
          <w:trHeight w:val="142"/>
        </w:trPr>
        <w:tc>
          <w:tcPr>
            <w:tcW w:w="48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820" w:type="dxa"/>
            <w:vAlign w:val="bottom"/>
            <w:tcBorders>
              <w:top w:val="single" w:sz="8" w:color="auto"/>
            </w:tcBorders>
            <w:gridSpan w:val="9"/>
          </w:tcPr>
          <w:p>
            <w:pPr>
              <w:ind w:left="48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for percentages)</w:t>
            </w:r>
          </w:p>
        </w:tc>
        <w:tc>
          <w:tcPr>
            <w:tcW w:w="4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Products</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3,299</w:t>
            </w: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24.5</w:t>
            </w: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24,214</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3,615</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46.9</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38,024</w:t>
            </w:r>
          </w:p>
        </w:tc>
        <w:tc>
          <w:tcPr>
            <w:tcW w:w="80" w:type="dxa"/>
            <w:vAlign w:val="bottom"/>
          </w:tcPr>
          <w:p>
            <w:pPr>
              <w:spacing w:after="0"/>
              <w:rPr>
                <w:sz w:val="18"/>
                <w:szCs w:val="18"/>
                <w:color w:val="auto"/>
              </w:rPr>
            </w:pPr>
          </w:p>
        </w:tc>
        <w:tc>
          <w:tcPr>
            <w:tcW w:w="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5,677</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59.9</w:t>
            </w:r>
          </w:p>
        </w:tc>
      </w:tr>
      <w:tr>
        <w:trPr>
          <w:trHeight w:val="216"/>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Services</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10,175</w:t>
            </w: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75.5</w:t>
            </w:r>
          </w:p>
        </w:tc>
        <w:tc>
          <w:tcPr>
            <w:tcW w:w="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27,446</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4,098</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53.1</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4,680</w:t>
            </w:r>
          </w:p>
        </w:tc>
        <w:tc>
          <w:tcPr>
            <w:tcW w:w="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25,405</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3,793</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40.1</w:t>
            </w:r>
          </w:p>
        </w:tc>
      </w:tr>
      <w:tr>
        <w:trPr>
          <w:trHeight w:val="223"/>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13,474</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60" w:type="dxa"/>
            <w:vAlign w:val="bottom"/>
          </w:tcPr>
          <w:p>
            <w:pPr>
              <w:spacing w:after="0"/>
              <w:rPr>
                <w:sz w:val="19"/>
                <w:szCs w:val="19"/>
                <w:color w:val="auto"/>
              </w:rPr>
            </w:pPr>
          </w:p>
        </w:tc>
        <w:tc>
          <w:tcPr>
            <w:tcW w:w="5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w w:val="92"/>
              </w:rPr>
              <w:t>51,660</w:t>
            </w:r>
          </w:p>
        </w:tc>
        <w:tc>
          <w:tcPr>
            <w:tcW w:w="1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7,713</w:t>
            </w:r>
          </w:p>
        </w:tc>
        <w:tc>
          <w:tcPr>
            <w:tcW w:w="1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4,703</w:t>
            </w:r>
          </w:p>
        </w:tc>
        <w:tc>
          <w:tcPr>
            <w:tcW w:w="160" w:type="dxa"/>
            <w:vAlign w:val="bottom"/>
          </w:tcPr>
          <w:p>
            <w:pPr>
              <w:spacing w:after="0"/>
              <w:rPr>
                <w:sz w:val="19"/>
                <w:szCs w:val="19"/>
                <w:color w:val="auto"/>
              </w:rPr>
            </w:pPr>
          </w:p>
        </w:tc>
        <w:tc>
          <w:tcPr>
            <w:tcW w:w="60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w w:val="92"/>
              </w:rPr>
              <w:t>63,429</w:t>
            </w: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w w:val="93"/>
              </w:rPr>
              <w:t>9,470</w:t>
            </w:r>
          </w:p>
        </w:tc>
        <w:tc>
          <w:tcPr>
            <w:tcW w:w="1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80" w:type="dxa"/>
            <w:vAlign w:val="bottom"/>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Thanks to the success of our product and service offerings, we are in a favorable market position to secure a healthy profit margin. For the years ended December 31, 2020, 2021 and the six months ended June 30, 2022, our gross margin was 74.1%, 37.4% and 45.4%.</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140"/>
          </w:cols>
          <w:pgMar w:left="320" w:top="455" w:right="4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Our operating expenses primarily consist of research and development expenses, administrative expenses and selling expenses. Between 2020 and the six months ended June 30, 2022, our operating efficiency has been consistently improving, as evidenced by the decrease of each of these three major operating expense line items as a percentage of our revenue.</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08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5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6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42"/>
        </w:trPr>
        <w:tc>
          <w:tcPr>
            <w:tcW w:w="2080" w:type="dxa"/>
            <w:vAlign w:val="bottom"/>
          </w:tcPr>
          <w:p>
            <w:pPr>
              <w:spacing w:after="0"/>
              <w:rPr>
                <w:sz w:val="12"/>
                <w:szCs w:val="12"/>
                <w:color w:val="auto"/>
              </w:rPr>
            </w:pPr>
          </w:p>
        </w:tc>
        <w:tc>
          <w:tcPr>
            <w:tcW w:w="1020" w:type="dxa"/>
            <w:vAlign w:val="bottom"/>
            <w:tcBorders>
              <w:bottom w:val="single" w:sz="8" w:color="auto"/>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6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8"/>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Borders>
              <w:bottom w:val="single" w:sz="8" w:color="auto"/>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42"/>
        </w:trPr>
        <w:tc>
          <w:tcPr>
            <w:tcW w:w="2080" w:type="dxa"/>
            <w:vAlign w:val="bottom"/>
          </w:tcPr>
          <w:p>
            <w:pPr>
              <w:spacing w:after="0"/>
              <w:rPr>
                <w:sz w:val="12"/>
                <w:szCs w:val="12"/>
                <w:color w:val="auto"/>
              </w:rPr>
            </w:pPr>
          </w:p>
        </w:tc>
        <w:tc>
          <w:tcPr>
            <w:tcW w:w="1020" w:type="dxa"/>
            <w:vAlign w:val="bottom"/>
            <w:tcBorders>
              <w:bottom w:val="single" w:sz="8" w:color="auto"/>
            </w:tcBorders>
            <w:gridSpan w:val="2"/>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40" w:type="dxa"/>
            <w:vAlign w:val="bottom"/>
            <w:tcBorders>
              <w:bottom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right"/>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880" w:type="dxa"/>
            <w:vAlign w:val="bottom"/>
            <w:tcBorders>
              <w:bottom w:val="single" w:sz="8" w:color="auto"/>
            </w:tcBorders>
            <w:gridSpan w:val="2"/>
          </w:tcPr>
          <w:p>
            <w:pPr>
              <w:jc w:val="right"/>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56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3"/>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500" w:type="dxa"/>
            <w:vAlign w:val="bottom"/>
            <w:tcBorders>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jc w:val="right"/>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920" w:type="dxa"/>
            <w:vAlign w:val="bottom"/>
            <w:tcBorders>
              <w:bottom w:val="single" w:sz="8" w:color="auto"/>
            </w:tcBorders>
            <w:gridSpan w:val="2"/>
          </w:tcPr>
          <w:p>
            <w:pPr>
              <w:jc w:val="right"/>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600" w:type="dxa"/>
            <w:vAlign w:val="bottom"/>
            <w:tcBorders>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r>
      <w:tr>
        <w:trPr>
          <w:trHeight w:val="142"/>
        </w:trPr>
        <w:tc>
          <w:tcPr>
            <w:tcW w:w="2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720" w:type="dxa"/>
            <w:vAlign w:val="bottom"/>
            <w:gridSpan w:val="7"/>
          </w:tcPr>
          <w:p>
            <w:pPr>
              <w:ind w:left="40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for percentages)</w:t>
            </w: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7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198"/>
        </w:trPr>
        <w:tc>
          <w:tcPr>
            <w:tcW w:w="20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Research and</w:t>
            </w: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2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development</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4"/>
        </w:trPr>
        <w:tc>
          <w:tcPr>
            <w:tcW w:w="2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expenses</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(333,351)</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(1,832.6)</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(443,178)</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(66,165)</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(320.7)</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(173,979)</w:t>
            </w:r>
          </w:p>
        </w:tc>
        <w:tc>
          <w:tcPr>
            <w:tcW w:w="8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(700.3)</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(318,692)</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(47,579)</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(228.1)</w:t>
            </w:r>
          </w:p>
        </w:tc>
      </w:tr>
      <w:tr>
        <w:trPr>
          <w:trHeight w:val="198"/>
        </w:trPr>
        <w:tc>
          <w:tcPr>
            <w:tcW w:w="208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Administrative</w:t>
            </w:r>
          </w:p>
        </w:tc>
        <w:tc>
          <w:tcPr>
            <w:tcW w:w="74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4"/>
        </w:trPr>
        <w:tc>
          <w:tcPr>
            <w:tcW w:w="2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expenses</w:t>
            </w:r>
          </w:p>
        </w:tc>
        <w:tc>
          <w:tcPr>
            <w:tcW w:w="10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(151,991)</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(835.6)</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(107,119)</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(15,992)</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(77.5)</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(37,170)</w:t>
            </w:r>
          </w:p>
        </w:tc>
        <w:tc>
          <w:tcPr>
            <w:tcW w:w="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(149.6)</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(76,233)</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(11,381)</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(54.6)</w:t>
            </w:r>
          </w:p>
        </w:tc>
      </w:tr>
      <w:tr>
        <w:trPr>
          <w:trHeight w:val="216"/>
        </w:trPr>
        <w:tc>
          <w:tcPr>
            <w:tcW w:w="2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expenses</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(6,171)</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(33.9)</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(12,225)</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(1,825)</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(5,100)</w:t>
            </w:r>
          </w:p>
        </w:tc>
        <w:tc>
          <w:tcPr>
            <w:tcW w:w="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(20.5)</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(9,012)</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(1,345)</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w:t>
            </w:r>
          </w:p>
        </w:tc>
      </w:tr>
      <w:tr>
        <w:trPr>
          <w:trHeight w:val="27"/>
        </w:trPr>
        <w:tc>
          <w:tcPr>
            <w:tcW w:w="20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(491,513)</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(2,702.1)</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(562,522)</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(83,982)</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(407.1)</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(216,249)</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(870.4)</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(403,937)</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(60,305)</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(289.1)</w:t>
            </w:r>
          </w:p>
        </w:tc>
      </w:tr>
      <w:tr>
        <w:trPr>
          <w:trHeight w:val="20"/>
        </w:trPr>
        <w:tc>
          <w:tcPr>
            <w:tcW w:w="20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jc w:val="both"/>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Our research and development expenses consist primarily of personnel-related expenses associated with engineering personnel responsible for the design, development and testing of our autonomous driving vehicles.</w:t>
      </w:r>
    </w:p>
    <w:p>
      <w:pPr>
        <w:spacing w:after="0" w:line="162"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Our research and development expenses were RMB333.4 million, RMB443.2 million (US$66.2 million) and RMB318.7 million (US$47.6 million) in 2020, 2021 and during the six months ended June 30, 2022, respectively.</w:t>
      </w:r>
    </w:p>
    <w:p>
      <w:pPr>
        <w:spacing w:after="0" w:line="162" w:lineRule="exact"/>
        <w:rPr>
          <w:sz w:val="20"/>
          <w:szCs w:val="20"/>
          <w:color w:val="auto"/>
        </w:rPr>
      </w:pPr>
    </w:p>
    <w:p>
      <w:pPr>
        <w:ind w:left="120" w:right="780" w:firstLine="440"/>
        <w:spacing w:after="0" w:line="282" w:lineRule="auto"/>
        <w:rPr>
          <w:sz w:val="20"/>
          <w:szCs w:val="20"/>
          <w:color w:val="auto"/>
        </w:rPr>
      </w:pPr>
      <w:r>
        <w:rPr>
          <w:rFonts w:ascii="Times New Roman" w:cs="Times New Roman" w:eastAsia="Times New Roman" w:hAnsi="Times New Roman"/>
          <w:sz w:val="18"/>
          <w:szCs w:val="18"/>
          <w:color w:val="auto"/>
        </w:rPr>
        <w:t>We expect our research and development expenses to increase as we continue to focus on the testing, trial, and commercialization of our autonomous driving technology, expand our R&amp;D team and invest more resources to improve our technological capabilities.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Administrative expenses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administrative expenses mainly consist of personnel-related expenses, professional service fees and other general corporate expenses.</w:t>
      </w:r>
    </w:p>
    <w:p>
      <w:pPr>
        <w:spacing w:after="0" w:line="225"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2020, 2021 and the six months ended June 30, 2022, our administrative expenses were RMB152.0 million, RMB107.1 million (US$16.0 million) and RMB76.2 million (US$11.4 million), respectively.</w:t>
      </w:r>
    </w:p>
    <w:p>
      <w:pPr>
        <w:spacing w:after="0" w:line="162"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We expect that our administrative expenses will increase in absolute amounts in the foreseeable future, as we become a public company, hire additional personnel and incur additional expenses related to the anticipated growth of our business and our operation. On the other hand, we expect a reduction of the weight of our administrative expenses as a percentage of our revenue over the long term due to our efforts to increase operational efficiency.</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Selling expenses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selling expenses primarily consist of personnel-related expenses associated with our sales and marketing personnel.</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140"/>
          </w:cols>
          <w:pgMar w:left="320" w:top="455" w:right="4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2020, 2021 and the six months ended June 30, 2022, our administrative expenses were RMB6.2 million, RMB12.2 million (US$1.8 million), and RMB9.0 million (US$1.3 million), respectively.</w:t>
      </w:r>
    </w:p>
    <w:p>
      <w:pPr>
        <w:spacing w:after="0" w:line="162"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expect our selling expenses to increase in absolute amount in the foreseeable future, as we continue to expand our sales network, build brand awareness and inform market participants on the benefits of our autonomous driving products and services. We expect our selling expenses to decrease as a percentage of revenue over the long term as we continue to increase our operational efficiency.</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net income</w:t>
      </w:r>
    </w:p>
    <w:p>
      <w:pPr>
        <w:spacing w:after="0" w:line="119" w:lineRule="exact"/>
        <w:rPr>
          <w:sz w:val="20"/>
          <w:szCs w:val="20"/>
          <w:color w:val="auto"/>
        </w:rPr>
      </w:pPr>
    </w:p>
    <w:p>
      <w:pPr>
        <w:jc w:val="both"/>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Our other net income mainly consists of (i) interest income, (ii) government grants, (iii) net foreign exchange gain, and (iv) fair value changes of financial assets.</w:t>
      </w:r>
    </w:p>
    <w:p>
      <w:pPr>
        <w:spacing w:after="0" w:line="162" w:lineRule="exact"/>
        <w:rPr>
          <w:sz w:val="20"/>
          <w:szCs w:val="20"/>
          <w:color w:val="auto"/>
        </w:rPr>
      </w:pPr>
    </w:p>
    <w:p>
      <w:pPr>
        <w:ind w:left="120" w:right="1020" w:firstLine="44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2020, 2021 and the six months ended June 30, 2022, our other net income was RMB14.1 million, RMB35.5 million (US$5.3 million), and RMB29.9 million (US$4.5 million),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finance costs</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Our other finance costs consist of (i) interest on lease liabilities, (ii) interest on loans and borrowings, and (iii) changes in the carrying amount of put option liabilities.</w:t>
      </w:r>
    </w:p>
    <w:p>
      <w:pPr>
        <w:spacing w:after="0" w:line="162" w:lineRule="exact"/>
        <w:rPr>
          <w:sz w:val="20"/>
          <w:szCs w:val="20"/>
          <w:color w:val="auto"/>
        </w:rPr>
      </w:pPr>
    </w:p>
    <w:p>
      <w:pPr>
        <w:ind w:left="120" w:right="900" w:firstLine="44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2020, 2021 and the six months ended June 30, 2022, our other finance costs were RMB7.3 million, RMB6.9 million (US$1.0 million), and RMB2.2 million (US$0.3 million),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Inducement charges of warrants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Our inducement charges of warrants represent the initial fair value of certain warrants issued to our investors at no additional consideration. Under the relevant warrants, such investors had the right to subscribe for more preferred shares at a predetermined price during a specific period.</w:t>
      </w:r>
    </w:p>
    <w:p>
      <w:pPr>
        <w:spacing w:after="0" w:line="162" w:lineRule="exact"/>
        <w:rPr>
          <w:sz w:val="20"/>
          <w:szCs w:val="20"/>
          <w:color w:val="auto"/>
        </w:rPr>
      </w:pPr>
    </w:p>
    <w:p>
      <w:pPr>
        <w:ind w:left="120" w:right="1300" w:firstLine="44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2020, 2021 and the six months ended June 30, 2022, our inducement charges of warrants was RMB211.0 million, nil and RMB120.8 million (US$18.0 million),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value changes of financial liabilities measured at FVTPL</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financial liabilities measured at FVTPL consist of warrants liabilities and convertible notes.</w:t>
      </w:r>
    </w:p>
    <w:p>
      <w:pPr>
        <w:spacing w:after="0" w:line="225"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2020, 2021 and the six months ended June 30, 2022, our fair value changes of financial liabilities measured at FVTPL was RMB12.9 million, RMB259.9 million (US$38.8 million) and RMB11.2 million (US$1.7 million),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in the carrying amounts of preferred shares and other financial instruments subject to redemption and other preferential rights</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Changes in the carrying amounts of preferred shares and other financial instruments subject to redemption and other preferential rights represent the changes of the present value of the redemption amount that could be triggered by the contingent redemption events.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100"/>
          </w:cols>
          <w:pgMar w:left="320" w:top="455" w:right="47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2020, 2021 and the six months ended June 30, 2022, our changes in the carrying amounts of preferred shares and other financial instruments subject to redemption and other preferential rights was RMB3.3 million, RMB268.1 million (US$40.0 million) and RMB232.0 million (US$34.6 million), respectively.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Cayman Islands</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We are incorporated in the Cayman Islands. 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brought within the jurisdiction of, the Cayman Islands. In addition, the Cayman Islands does not impose withholding tax on dividend payments.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21"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Our subsidiary in Hong Kong is subject to an income tax rate of 16.5% on any part of assessable profits over HKD2,000,000 and 8.25% for assessable profits below HKD2,000,000. Additionally, payments of dividends by our subsidiary in Hong Kong to our company are not subject to any Hong Kong withholding tax.</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Under the United States Internal Revenue Code, our subsidiary established in the U.S. is subject to a unified federal corporate income tax rate of 21% and California state income and franchise tax of 8.84%.</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PRC</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Under the EIT Law effective from January 1, 2008, which was most recently amended on December 29, 2018, a statutory enterprise income tax rate of 25% is applicable to foreign investment enterprises and domestic companies, subject to preferential tax treatments available to qualified enterprises in certain encouraged sectors of the economy. Enterprises that qualify as “high and new technology enterprises” are entitled to a preferential rate of 15% subject to renewal every three years.</w:t>
      </w:r>
    </w:p>
    <w:p>
      <w:pPr>
        <w:spacing w:after="0" w:line="180"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All of our mainland China subsidiaries, the VIE and its subsidiaries were subject to enterprise income tax at a rate of 25% in 2020, 2021 and the six months ended June 30, 2022. The WFOE was certified as a “high and new technology enterprise” in December 2022 and is therefore entitled to a preferential tax rate of 15% rather than the statutory enterprise income tax rate of 25% for each of 2022, 2023, 2024.</w:t>
      </w:r>
    </w:p>
    <w:p>
      <w:pPr>
        <w:spacing w:after="0" w:line="176"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We are subject to value added tax, or VAT, at rates from 3% to 13% on the services we provide, less any deductible VAT we have already paid or borne. We are also subject to surcharges on VAT payments in accordance with PRC law.</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Pursuant to the EIT Law, a 10% withholding tax is levied on dividends declared to foreign investors from mainland China effective from</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January 1, 2008, unless any such foreign investor’s jurisdiction of incorporation has a tax treaty or similar agreement with mainland China that provides</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a different withholding arrangement. Dividends paid by our wholly foreign-owned subsidiary in mainland China to our intermediary holding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company in Hong Kong will be subject to a withholding tax rate of 10%.</w:t>
      </w:r>
    </w:p>
    <w:p>
      <w:pPr>
        <w:spacing w:after="0" w:line="207"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foregoing, if our holding company in the Cayman Islands or any of our subsidiaries outside of mainland China were deemed to be a “resident enterprise” under the EIT Law and its implementation rules, it would be subject to enterprise income tax on its worldwide income at a rate of 25%. See “Risk Factors — Risks Related to Doing Business in Mainland China — If we are classified as a PRC resident</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060"/>
          </w:cols>
          <w:pgMar w:left="320" w:top="455" w:right="51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enterprise for PRC income tax purposes, such classification could result in unfavorable tax consequences to us and our non-PRC shareholders or ADS holders.”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a summary of our consolidated results of operations for the periods presented, both in absolute amount and as a percentage of our revenue for the periods presented. This information should be read together with our consolidated financial statements and related notes included elsewhere in this prospectus. The results of operations in any period are not necessarily indicative of our future trends.</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740" w:type="dxa"/>
            <w:vAlign w:val="bottom"/>
          </w:tcPr>
          <w:p>
            <w:pPr>
              <w:spacing w:after="0"/>
              <w:rPr>
                <w:sz w:val="13"/>
                <w:szCs w:val="13"/>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270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700" w:type="dxa"/>
            <w:vAlign w:val="bottom"/>
            <w:gridSpan w:val="8"/>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740" w:type="dxa"/>
            <w:vAlign w:val="bottom"/>
          </w:tcPr>
          <w:p>
            <w:pPr>
              <w:spacing w:after="0"/>
              <w:rPr>
                <w:sz w:val="15"/>
                <w:szCs w:val="15"/>
                <w:color w:val="auto"/>
              </w:rPr>
            </w:pPr>
          </w:p>
        </w:tc>
        <w:tc>
          <w:tcPr>
            <w:tcW w:w="860" w:type="dxa"/>
            <w:vAlign w:val="bottom"/>
            <w:tcBorders>
              <w:bottom w:val="single" w:sz="8" w:color="auto"/>
            </w:tcBorders>
            <w:gridSpan w:val="2"/>
            <w:vMerge w:val="continue"/>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740" w:type="dxa"/>
            <w:vAlign w:val="bottom"/>
          </w:tcPr>
          <w:p>
            <w:pPr>
              <w:spacing w:after="0"/>
              <w:rPr>
                <w:sz w:val="12"/>
                <w:szCs w:val="12"/>
                <w:color w:val="auto"/>
              </w:rPr>
            </w:pPr>
          </w:p>
        </w:tc>
        <w:tc>
          <w:tcPr>
            <w:tcW w:w="860" w:type="dxa"/>
            <w:vAlign w:val="bottom"/>
            <w:tcBorders>
              <w:bottom w:val="single" w:sz="8" w:color="auto"/>
            </w:tcBorders>
            <w:gridSpan w:val="2"/>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20" w:type="dxa"/>
            <w:vAlign w:val="bottom"/>
            <w:tcBorders>
              <w:bottom w:val="single" w:sz="8" w:color="auto"/>
            </w:tcBorders>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jc w:val="right"/>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880" w:type="dxa"/>
            <w:vAlign w:val="bottom"/>
            <w:tcBorders>
              <w:bottom w:val="single" w:sz="8" w:color="auto"/>
            </w:tcBorders>
            <w:gridSpan w:val="2"/>
          </w:tcPr>
          <w:p>
            <w:pPr>
              <w:jc w:val="right"/>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500" w:type="dxa"/>
            <w:vAlign w:val="bottom"/>
            <w:tcBorders>
              <w:bottom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3"/>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500" w:type="dxa"/>
            <w:vAlign w:val="bottom"/>
            <w:tcBorders>
              <w:bottom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820" w:type="dxa"/>
            <w:vAlign w:val="bottom"/>
            <w:tcBorders>
              <w:bottom w:val="single" w:sz="8" w:color="auto"/>
            </w:tcBorders>
            <w:gridSpan w:val="2"/>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520" w:type="dxa"/>
            <w:vAlign w:val="bottom"/>
            <w:tcBorders>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60" w:type="dxa"/>
            <w:vAlign w:val="bottom"/>
            <w:gridSpan w:val="7"/>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for percentages)</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tcBorders>
              <w:lef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Product revenue</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5,920</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101,597</w:t>
            </w:r>
          </w:p>
        </w:tc>
        <w:tc>
          <w:tcPr>
            <w:tcW w:w="20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15,168</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73.5</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18,470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74.3</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92,257</w:t>
            </w: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13,774</w:t>
            </w:r>
          </w:p>
        </w:tc>
        <w:tc>
          <w:tcPr>
            <w:tcW w:w="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Service revenue</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12,270</w:t>
            </w:r>
          </w:p>
        </w:tc>
        <w:tc>
          <w:tcPr>
            <w:tcW w:w="62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36,575</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5,461</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26.5</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25.7</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47,468</w:t>
            </w: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7,087</w:t>
            </w: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Total revenue</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18,190</w:t>
            </w:r>
          </w:p>
        </w:tc>
        <w:tc>
          <w:tcPr>
            <w:tcW w:w="200" w:type="dxa"/>
            <w:vAlign w:val="bottom"/>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0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138,172</w:t>
            </w:r>
          </w:p>
        </w:tc>
        <w:tc>
          <w:tcPr>
            <w:tcW w:w="200" w:type="dxa"/>
            <w:vAlign w:val="bottom"/>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20,629</w:t>
            </w:r>
          </w:p>
        </w:tc>
        <w:tc>
          <w:tcPr>
            <w:tcW w:w="200" w:type="dxa"/>
            <w:vAlign w:val="bottom"/>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00" w:type="dxa"/>
            <w:vAlign w:val="bottom"/>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24,845</w:t>
            </w: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00" w:type="dxa"/>
            <w:vAlign w:val="bottom"/>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139,725</w:t>
            </w:r>
          </w:p>
        </w:tc>
        <w:tc>
          <w:tcPr>
            <w:tcW w:w="200" w:type="dxa"/>
            <w:vAlign w:val="bottom"/>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20,861</w:t>
            </w:r>
          </w:p>
        </w:tc>
        <w:tc>
          <w:tcPr>
            <w:tcW w:w="220" w:type="dxa"/>
            <w:vAlign w:val="bottom"/>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Cost of revenue</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tcBorders>
              <w:lef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Cost of goods sold</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(2,621)</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(14.4)</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(77,383)</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(11,553)</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(56.0)</w:t>
            </w:r>
          </w:p>
        </w:tc>
        <w:tc>
          <w:tcPr>
            <w:tcW w:w="880" w:type="dxa"/>
            <w:vAlign w:val="bottom"/>
            <w:gridSpan w:val="2"/>
          </w:tcPr>
          <w:p>
            <w:pPr>
              <w:jc w:val="right"/>
              <w:ind w:right="68"/>
              <w:spacing w:after="0"/>
              <w:rPr>
                <w:sz w:val="20"/>
                <w:szCs w:val="20"/>
                <w:color w:val="auto"/>
              </w:rPr>
            </w:pPr>
            <w:r>
              <w:rPr>
                <w:rFonts w:ascii="Times New Roman" w:cs="Times New Roman" w:eastAsia="Times New Roman" w:hAnsi="Times New Roman"/>
                <w:sz w:val="16"/>
                <w:szCs w:val="16"/>
                <w:color w:val="auto"/>
              </w:rPr>
              <w:t>(18,447)</w:t>
            </w: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(74.2)</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(54,233)</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(8,097)</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(38.8)</w:t>
            </w: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Cost of services</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(2,095)</w:t>
            </w:r>
          </w:p>
        </w:tc>
        <w:tc>
          <w:tcPr>
            <w:tcW w:w="820" w:type="dxa"/>
            <w:vAlign w:val="bottom"/>
            <w:tcBorders>
              <w:lef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(11.5)</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(9,129)</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(1,363)</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(6.6)</w:t>
            </w:r>
          </w:p>
        </w:tc>
        <w:tc>
          <w:tcPr>
            <w:tcW w:w="88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6"/>
                <w:szCs w:val="16"/>
                <w:color w:val="auto"/>
              </w:rPr>
              <w:t>(1,695)</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(6.8)</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(22,063)</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(3,294)</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(15.8)</w:t>
            </w:r>
          </w:p>
        </w:tc>
        <w:tc>
          <w:tcPr>
            <w:tcW w:w="0" w:type="dxa"/>
            <w:vAlign w:val="bottom"/>
          </w:tcPr>
          <w:p>
            <w:pPr>
              <w:spacing w:after="0"/>
              <w:rPr>
                <w:sz w:val="1"/>
                <w:szCs w:val="1"/>
                <w:color w:val="auto"/>
              </w:rPr>
            </w:pPr>
          </w:p>
        </w:tc>
      </w:tr>
      <w:tr>
        <w:trPr>
          <w:trHeight w:val="20"/>
        </w:trPr>
        <w:tc>
          <w:tcPr>
            <w:tcW w:w="27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Total cost of revenue</w:t>
            </w:r>
          </w:p>
        </w:tc>
        <w:tc>
          <w:tcPr>
            <w:tcW w:w="6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2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740" w:type="dxa"/>
            <w:vAlign w:val="bottom"/>
            <w:vMerge w:val="continue"/>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(4,716)</w:t>
            </w:r>
          </w:p>
        </w:tc>
        <w:tc>
          <w:tcPr>
            <w:tcW w:w="200" w:type="dxa"/>
            <w:vAlign w:val="bottom"/>
            <w:vMerge w:val="continue"/>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200" w:type="dxa"/>
            <w:vAlign w:val="bottom"/>
            <w:vMerge w:val="continue"/>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(86,512)</w:t>
            </w:r>
          </w:p>
        </w:tc>
        <w:tc>
          <w:tcPr>
            <w:tcW w:w="200" w:type="dxa"/>
            <w:vAlign w:val="bottom"/>
            <w:vMerge w:val="continue"/>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(12,916)</w:t>
            </w:r>
          </w:p>
        </w:tc>
        <w:tc>
          <w:tcPr>
            <w:tcW w:w="200" w:type="dxa"/>
            <w:vAlign w:val="bottom"/>
            <w:vMerge w:val="continue"/>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200" w:type="dxa"/>
            <w:vAlign w:val="bottom"/>
            <w:vMerge w:val="continue"/>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(20,142)</w:t>
            </w:r>
          </w:p>
        </w:tc>
        <w:tc>
          <w:tcPr>
            <w:tcW w:w="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(81.1)</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(76,296)</w:t>
            </w:r>
          </w:p>
        </w:tc>
        <w:tc>
          <w:tcPr>
            <w:tcW w:w="200" w:type="dxa"/>
            <w:vAlign w:val="bottom"/>
            <w:vMerge w:val="continue"/>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(11,391)</w:t>
            </w:r>
          </w:p>
        </w:tc>
        <w:tc>
          <w:tcPr>
            <w:tcW w:w="220" w:type="dxa"/>
            <w:vAlign w:val="bottom"/>
            <w:vMerge w:val="continue"/>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13,474</w:t>
            </w:r>
          </w:p>
        </w:tc>
        <w:tc>
          <w:tcPr>
            <w:tcW w:w="62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51,660</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7,713</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37.4</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4,703</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18.9</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63,429</w:t>
            </w: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9,470</w:t>
            </w: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Other net income</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14,122</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35,472</w:t>
            </w:r>
          </w:p>
        </w:tc>
        <w:tc>
          <w:tcPr>
            <w:tcW w:w="20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5,296</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25.7</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24,313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97.9</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29,921</w:t>
            </w: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4,467</w:t>
            </w:r>
          </w:p>
        </w:tc>
        <w:tc>
          <w:tcPr>
            <w:tcW w:w="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(333,351)</w:t>
            </w:r>
          </w:p>
        </w:tc>
        <w:tc>
          <w:tcPr>
            <w:tcW w:w="820" w:type="dxa"/>
            <w:vAlign w:val="bottom"/>
            <w:tcBorders>
              <w:lef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(1,832.6)</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(443,178)</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(66,165)</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(320.7)</w:t>
            </w:r>
          </w:p>
        </w:tc>
        <w:tc>
          <w:tcPr>
            <w:tcW w:w="88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6"/>
                <w:szCs w:val="16"/>
                <w:color w:val="auto"/>
              </w:rPr>
              <w:t>(173,979)</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(700.3)</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(318,692)</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(47,579)</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(228.1)</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Administrative expenses</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(151,991)</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(835.6)</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(107,119)</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(15,992)</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(77.5)</w:t>
            </w:r>
          </w:p>
        </w:tc>
        <w:tc>
          <w:tcPr>
            <w:tcW w:w="880" w:type="dxa"/>
            <w:vAlign w:val="bottom"/>
            <w:gridSpan w:val="2"/>
          </w:tcPr>
          <w:p>
            <w:pPr>
              <w:jc w:val="right"/>
              <w:ind w:right="68"/>
              <w:spacing w:after="0"/>
              <w:rPr>
                <w:sz w:val="20"/>
                <w:szCs w:val="20"/>
                <w:color w:val="auto"/>
              </w:rPr>
            </w:pPr>
            <w:r>
              <w:rPr>
                <w:rFonts w:ascii="Times New Roman" w:cs="Times New Roman" w:eastAsia="Times New Roman" w:hAnsi="Times New Roman"/>
                <w:sz w:val="16"/>
                <w:szCs w:val="16"/>
                <w:color w:val="auto"/>
              </w:rPr>
              <w:t>(37,170)</w:t>
            </w: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(149.6)</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(76,233)</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(11,381)</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(54.6)</w:t>
            </w: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Selling expenses</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(6,171)</w:t>
            </w:r>
          </w:p>
        </w:tc>
        <w:tc>
          <w:tcPr>
            <w:tcW w:w="820" w:type="dxa"/>
            <w:vAlign w:val="bottom"/>
            <w:tcBorders>
              <w:lef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(33.9)</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(12,225)</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(1,825)</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(8.8)</w:t>
            </w:r>
          </w:p>
        </w:tc>
        <w:tc>
          <w:tcPr>
            <w:tcW w:w="88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6"/>
                <w:szCs w:val="16"/>
                <w:color w:val="auto"/>
              </w:rPr>
              <w:t>(5,100)</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(20.5)</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(9,012)</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(1,345)</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189"/>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Impairment loss on receivables and</w:t>
            </w: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contract asset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(14)</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(0.1)</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(409)</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(61)</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(0.3)</w:t>
            </w:r>
          </w:p>
        </w:tc>
        <w:tc>
          <w:tcPr>
            <w:tcW w:w="880" w:type="dxa"/>
            <w:vAlign w:val="bottom"/>
            <w:gridSpan w:val="2"/>
          </w:tcPr>
          <w:p>
            <w:pPr>
              <w:jc w:val="right"/>
              <w:ind w:right="68"/>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(0.6)</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(3,527)</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(527)</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30"/>
        </w:trPr>
        <w:tc>
          <w:tcPr>
            <w:tcW w:w="27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Borders>
              <w:lef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loss</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(463,931)</w:t>
            </w:r>
          </w:p>
        </w:tc>
        <w:tc>
          <w:tcPr>
            <w:tcW w:w="820" w:type="dxa"/>
            <w:vAlign w:val="bottom"/>
            <w:tcBorders>
              <w:lef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(2,550.5)</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(475,799)</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(71,034)</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(344.3)</w:t>
            </w:r>
          </w:p>
        </w:tc>
        <w:tc>
          <w:tcPr>
            <w:tcW w:w="88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6"/>
                <w:szCs w:val="16"/>
                <w:color w:val="auto"/>
              </w:rPr>
              <w:t>(187,385)</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(754.2)</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(314,114)</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(46,895)</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(224.8)</w:t>
            </w:r>
          </w:p>
        </w:tc>
        <w:tc>
          <w:tcPr>
            <w:tcW w:w="0" w:type="dxa"/>
            <w:vAlign w:val="bottom"/>
          </w:tcPr>
          <w:p>
            <w:pPr>
              <w:spacing w:after="0"/>
              <w:rPr>
                <w:sz w:val="1"/>
                <w:szCs w:val="1"/>
                <w:color w:val="auto"/>
              </w:rPr>
            </w:pPr>
          </w:p>
        </w:tc>
      </w:tr>
      <w:tr>
        <w:trPr>
          <w:trHeight w:val="189"/>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Fair value changes of financial assets</w:t>
            </w: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measured at fair value through profit</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or loss (“FVTPL”)</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3,458</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3,479</w:t>
            </w: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519</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2.5</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13.4</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finance costs</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(7,264)</w:t>
            </w:r>
          </w:p>
        </w:tc>
        <w:tc>
          <w:tcPr>
            <w:tcW w:w="820" w:type="dxa"/>
            <w:vAlign w:val="bottom"/>
            <w:tcBorders>
              <w:lef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(39.9)</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(6,917)</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(1,033)</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(5.0)</w:t>
            </w:r>
          </w:p>
        </w:tc>
        <w:tc>
          <w:tcPr>
            <w:tcW w:w="88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6"/>
                <w:szCs w:val="16"/>
                <w:color w:val="auto"/>
              </w:rPr>
              <w:t>(4,359)</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(17.5)</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(2,247)</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(335)</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Inducement charges of warrants</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(211,016)</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(1,160.1)</w:t>
            </w: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3"/>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(120,750)</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(18,028)</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(86.4)</w:t>
            </w:r>
          </w:p>
        </w:tc>
        <w:tc>
          <w:tcPr>
            <w:tcW w:w="0" w:type="dxa"/>
            <w:vAlign w:val="bottom"/>
          </w:tcPr>
          <w:p>
            <w:pPr>
              <w:spacing w:after="0"/>
              <w:rPr>
                <w:sz w:val="1"/>
                <w:szCs w:val="1"/>
                <w:color w:val="auto"/>
              </w:rPr>
            </w:pPr>
          </w:p>
        </w:tc>
      </w:tr>
      <w:tr>
        <w:trPr>
          <w:trHeight w:val="189"/>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changes of financial</w:t>
            </w: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tcBorders>
              <w:lef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liabilities measured at FVTPL</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(12,876)</w:t>
            </w:r>
          </w:p>
        </w:tc>
        <w:tc>
          <w:tcPr>
            <w:tcW w:w="820" w:type="dxa"/>
            <w:vAlign w:val="bottom"/>
            <w:tcBorders>
              <w:lef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(70.8)</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(259,872)</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(38,798)</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(188.1)</w:t>
            </w:r>
          </w:p>
        </w:tc>
        <w:tc>
          <w:tcPr>
            <w:tcW w:w="88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6"/>
                <w:szCs w:val="16"/>
                <w:color w:val="auto"/>
              </w:rPr>
              <w:t>(254,240)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5"/>
              </w:rPr>
              <w:t>(1023.3)</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11,162</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1,666</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Changes in the carrying amounts of</w:t>
            </w: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preferred shares and other financial</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instruments subject to redemption</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and other preferential rights</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(3,259)</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(17.9)</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(268,142)</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(40,033)</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(194.1)</w:t>
            </w:r>
          </w:p>
        </w:tc>
        <w:tc>
          <w:tcPr>
            <w:tcW w:w="880" w:type="dxa"/>
            <w:vAlign w:val="bottom"/>
            <w:gridSpan w:val="2"/>
          </w:tcPr>
          <w:p>
            <w:pPr>
              <w:jc w:val="right"/>
              <w:ind w:right="68"/>
              <w:spacing w:after="0"/>
              <w:rPr>
                <w:sz w:val="20"/>
                <w:szCs w:val="20"/>
                <w:color w:val="auto"/>
              </w:rPr>
            </w:pPr>
            <w:r>
              <w:rPr>
                <w:rFonts w:ascii="Times New Roman" w:cs="Times New Roman" w:eastAsia="Times New Roman" w:hAnsi="Times New Roman"/>
                <w:sz w:val="16"/>
                <w:szCs w:val="16"/>
                <w:color w:val="auto"/>
              </w:rPr>
              <w:t>(104,350)</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(420.0)</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(231,979)</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(34,634)</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(166.0)</w:t>
            </w:r>
          </w:p>
        </w:tc>
        <w:tc>
          <w:tcPr>
            <w:tcW w:w="0" w:type="dxa"/>
            <w:vAlign w:val="bottom"/>
          </w:tcPr>
          <w:p>
            <w:pPr>
              <w:spacing w:after="0"/>
              <w:rPr>
                <w:sz w:val="1"/>
                <w:szCs w:val="1"/>
                <w:color w:val="auto"/>
              </w:rPr>
            </w:pPr>
          </w:p>
        </w:tc>
      </w:tr>
      <w:tr>
        <w:trPr>
          <w:trHeight w:val="30"/>
        </w:trPr>
        <w:tc>
          <w:tcPr>
            <w:tcW w:w="27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Borders>
              <w:lef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before taxation</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(694,888)</w:t>
            </w:r>
          </w:p>
        </w:tc>
        <w:tc>
          <w:tcPr>
            <w:tcW w:w="820" w:type="dxa"/>
            <w:vAlign w:val="bottom"/>
            <w:tcBorders>
              <w:lef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(3,820.2)</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(1,007,251)</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(150,379)</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(729.0)</w:t>
            </w:r>
          </w:p>
        </w:tc>
        <w:tc>
          <w:tcPr>
            <w:tcW w:w="88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6"/>
                <w:szCs w:val="16"/>
                <w:color w:val="auto"/>
              </w:rPr>
              <w:t>(546,996)</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5"/>
              </w:rPr>
              <w:t>(2201.6)</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(657,885)</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(98,220)</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(470.8)</w:t>
            </w:r>
          </w:p>
        </w:tc>
        <w:tc>
          <w:tcPr>
            <w:tcW w:w="0" w:type="dxa"/>
            <w:vAlign w:val="bottom"/>
          </w:tcPr>
          <w:p>
            <w:pPr>
              <w:spacing w:after="0"/>
              <w:rPr>
                <w:sz w:val="1"/>
                <w:szCs w:val="1"/>
                <w:color w:val="auto"/>
              </w:rPr>
            </w:pPr>
          </w:p>
        </w:tc>
      </w:tr>
      <w:tr>
        <w:trPr>
          <w:trHeight w:val="210"/>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Income tax</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6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5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for the year/period</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(694,888)</w:t>
            </w:r>
          </w:p>
        </w:tc>
        <w:tc>
          <w:tcPr>
            <w:tcW w:w="820" w:type="dxa"/>
            <w:vAlign w:val="bottom"/>
            <w:tcBorders>
              <w:lef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(3,820.2)</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(1,007,251)</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(150,379)</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(729.0)</w:t>
            </w:r>
          </w:p>
        </w:tc>
        <w:tc>
          <w:tcPr>
            <w:tcW w:w="88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6"/>
                <w:szCs w:val="16"/>
                <w:color w:val="auto"/>
              </w:rPr>
              <w:t>(546,996)</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5"/>
              </w:rPr>
              <w:t>(2201.6)</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(657,885)</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(98,220)</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(470.8)</w:t>
            </w:r>
          </w:p>
        </w:tc>
        <w:tc>
          <w:tcPr>
            <w:tcW w:w="0" w:type="dxa"/>
            <w:vAlign w:val="bottom"/>
          </w:tcPr>
          <w:p>
            <w:pPr>
              <w:spacing w:after="0"/>
              <w:rPr>
                <w:sz w:val="1"/>
                <w:szCs w:val="1"/>
                <w:color w:val="auto"/>
              </w:rPr>
            </w:pPr>
          </w:p>
        </w:tc>
      </w:tr>
      <w:tr>
        <w:trPr>
          <w:trHeight w:val="195"/>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Non-IFRS adjusted net loss for the</w:t>
            </w:r>
          </w:p>
        </w:tc>
        <w:tc>
          <w:tcPr>
            <w:tcW w:w="6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160"/>
              <w:spacing w:after="0" w:line="210" w:lineRule="exact"/>
              <w:rPr>
                <w:sz w:val="20"/>
                <w:szCs w:val="20"/>
                <w:color w:val="auto"/>
              </w:rPr>
            </w:pPr>
            <w:r>
              <w:rPr>
                <w:rFonts w:ascii="Times New Roman" w:cs="Times New Roman" w:eastAsia="Times New Roman" w:hAnsi="Times New Roman"/>
                <w:sz w:val="16"/>
                <w:szCs w:val="16"/>
                <w:color w:val="auto"/>
              </w:rPr>
              <w:t>year/period</w:t>
            </w:r>
            <w:r>
              <w:rPr>
                <w:rFonts w:ascii="Times New Roman" w:cs="Times New Roman" w:eastAsia="Times New Roman" w:hAnsi="Times New Roman"/>
                <w:sz w:val="24"/>
                <w:szCs w:val="24"/>
                <w:color w:val="auto"/>
                <w:vertAlign w:val="superscript"/>
              </w:rPr>
              <w:t>(1)</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(337,794)</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(1,857.0)</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(423,278)</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(63,194)</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(306.3)</w:t>
            </w:r>
          </w:p>
        </w:tc>
        <w:tc>
          <w:tcPr>
            <w:tcW w:w="880" w:type="dxa"/>
            <w:vAlign w:val="bottom"/>
            <w:gridSpan w:val="2"/>
          </w:tcPr>
          <w:p>
            <w:pPr>
              <w:jc w:val="right"/>
              <w:ind w:right="68"/>
              <w:spacing w:after="0"/>
              <w:rPr>
                <w:sz w:val="20"/>
                <w:szCs w:val="20"/>
                <w:color w:val="auto"/>
              </w:rPr>
            </w:pPr>
            <w:r>
              <w:rPr>
                <w:rFonts w:ascii="Times New Roman" w:cs="Times New Roman" w:eastAsia="Times New Roman" w:hAnsi="Times New Roman"/>
                <w:sz w:val="16"/>
                <w:szCs w:val="16"/>
                <w:color w:val="auto"/>
              </w:rPr>
              <w:t>(175,278)</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(705.5)</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(234,650)</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(35,031)</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(167.9)</w:t>
            </w:r>
          </w:p>
        </w:tc>
        <w:tc>
          <w:tcPr>
            <w:tcW w:w="0" w:type="dxa"/>
            <w:vAlign w:val="bottom"/>
          </w:tcPr>
          <w:p>
            <w:pPr>
              <w:spacing w:after="0"/>
              <w:rPr>
                <w:sz w:val="1"/>
                <w:szCs w:val="1"/>
                <w:color w:val="auto"/>
              </w:rPr>
            </w:pPr>
          </w:p>
        </w:tc>
      </w:tr>
    </w:tbl>
    <w:p>
      <w:pPr>
        <w:ind w:left="120"/>
        <w:spacing w:after="0" w:line="221" w:lineRule="auto"/>
        <w:rPr>
          <w:sz w:val="20"/>
          <w:szCs w:val="20"/>
          <w:color w:val="auto"/>
        </w:rPr>
      </w:pPr>
      <w:r>
        <w:rPr>
          <w:rFonts w:ascii="Times New Roman" w:cs="Times New Roman" w:eastAsia="Times New Roman" w:hAnsi="Times New Roman"/>
          <w:sz w:val="14"/>
          <w:szCs w:val="14"/>
          <w:color w:val="auto"/>
        </w:rPr>
        <w:t>Note:</w:t>
      </w:r>
    </w:p>
    <w:p>
      <w:pPr>
        <w:ind w:left="540" w:hanging="424"/>
        <w:spacing w:after="0"/>
        <w:tabs>
          <w:tab w:leader="none" w:pos="5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discussions of our adjusted net loss and reconciliation of adjusted net loss to loss for the year/period, see “—Non-IFRS Financial Measures” for details.</w:t>
      </w:r>
    </w:p>
    <w:p>
      <w:pPr>
        <w:spacing w:after="0" w:line="1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140"/>
          </w:cols>
          <w:pgMar w:left="320" w:top="455" w:right="4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5020"/>
        <w:spacing w:after="0" w:line="378" w:lineRule="auto"/>
        <w:rPr>
          <w:sz w:val="20"/>
          <w:szCs w:val="20"/>
          <w:color w:val="auto"/>
        </w:rPr>
      </w:pPr>
      <w:r>
        <w:rPr>
          <w:rFonts w:ascii="Times New Roman" w:cs="Times New Roman" w:eastAsia="Times New Roman" w:hAnsi="Times New Roman"/>
          <w:sz w:val="18"/>
          <w:szCs w:val="18"/>
          <w:b w:val="1"/>
          <w:bCs w:val="1"/>
          <w:i w:val="1"/>
          <w:iCs w:val="1"/>
          <w:color w:val="auto"/>
        </w:rPr>
        <w:t>Six Months Ended June 30, 2022 Compared to Six Months Ended June 30, 2021 Revenue</w:t>
      </w: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Our revenue increased significantly from RMB24.8 million in the six months ended June 30, 2021 to RMB139.7 million (US$20.9 million) in the six months ended June 30, 2022.</w:t>
      </w:r>
    </w:p>
    <w:p>
      <w:pPr>
        <w:spacing w:after="0" w:line="162"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Our product revenue increased from RMB18.5 million for the six months ended June 30, 2021 to RMB92.3 million (US$13.8 million) in the same period in 2022, primarily due to the increase in the sales of our robobuses. Our service revenue increased from RMB6.4 million for the six months ended June 30, 2021 to RMB47.5 million (US$7.1 million) in the same period in 2022, primarily due to the increase in revenue generated from ADAS research and development services and L4 autonomous driving operational and technical support services.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Our cost of goods sold increased from RMB18.5 million in the six months ended June 30, 2021 to RMB54.2 million (US$8.1 million) in the six months ended June 30, 2022, mainly due to an increase in the cost of inventories as a result of the increased sales of robobuses.</w:t>
      </w:r>
    </w:p>
    <w:p>
      <w:pPr>
        <w:spacing w:after="0" w:line="16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Our cost of services increased from RMB1.7 million in the six months ended June 30, 2021 to RMB22.1 million (US$3.3 million) in the six months ended June 30, 2022, mainly due to an increase in personnel-related expenses which were incurred in respect of (i) a contract with new customer we have entered into with respect to ADAS research and development services, and (ii) the operation and deployment services of our autonomous driving vehicles.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Our gross profit increased significantly from RMB4.7 million in the six months ended June 30, 2021 to RMB63.4 million (US$9.5 million) in the six months ended June 30, 2022. The change was mainly attributable to the increase in our service revenue.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research and development expenses increased by 83.2% from RMB174.0 million in the six months ended June 30, 2021 to RMB318.7 million (US$47.6 million) in the six months ended June 30, 2022, mainly due to (i) an increase in personnel-related expenses from RMB114.2 million in the six months ended June 30, 2021 to RMB222.9 million (US$33.3 million) in the six months ended June 30, 2022, resulting from a significant expansion of our research and development team, and (ii) the increase in professional service fees from RMB10.1 million in the six months ended June 30, 2021 to RMB29.9 million (US$4.5 million) to the six months ended June 30, 2022.</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Administrative expenses</w:t>
      </w:r>
    </w:p>
    <w:p>
      <w:pPr>
        <w:spacing w:after="0" w:line="121"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Our administrative expenses increased by 104.8% from RMB37.2 million in the six months ended June 30, 2021 to RMB76.2 million (US$11.4 million) in the six months ended June 30, 2022, mainly due to an increase in our personnel-related expenses from RMB21.6 million in the six months ended June 30, 2021 to RMB43.2 million (US$6.4 million) in the six months ended June 30, 2022, as a result of the expansion of administration team. The change was also partially attributable to an increase in professional service fees from RMB7.3 million in the six months ended June 30, 2021 to RMB13.6 million (US$2.0 million) in the six months ended June 30, 2022.</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120"/>
          </w:cols>
          <w:pgMar w:left="320" w:top="455" w:right="4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Selling expenses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selling expenses increased by 76.5% from RMB5.1 million in the six months ended June 30, 2021 to RMB9.0 million (US$1.3 million) in the six months ended June 30, 2022, mainly due to an increase in our personnel-related expense from RMB3.6 million in the six months ended June 30, 2021 to RMB6.6 million (US$1.0 million) in the six months ended June 30, 2022, as a result of the expansion of our selling and marketing team.</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net income</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Our other net income increased by 23.0% from RMB24.3 million in the six months ended June 30, 2021 to RMB29.9 million (US$4.5 million) in the six months ended June 30, 2022, mainly due to an increase in interest income from RMB7.4 million in the six months ended June 30, 2021 to RMB12.8 million (US$1.9 million) in the six months ended June 30, 2022 resulting from an increase in our balance of cash and cash equivalents.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Impairment loss on receivables and contract assets</w:t>
      </w:r>
    </w:p>
    <w:p>
      <w:pPr>
        <w:spacing w:after="0" w:line="121" w:lineRule="exact"/>
        <w:rPr>
          <w:sz w:val="20"/>
          <w:szCs w:val="20"/>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Our impairment loss on receivables and contract assets increased significantly from RMB152.0 thousand in the six months ended June 30, 2021 to RMB3.5 million (US$0.5 million) in the six months ended June 30, 2022 resulting from the increase in our balances of receivables and contract assets.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value changes of financial assets measured at fair value through profit or loss (“FVTPL”)</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Fair value changes of financial assets measured at FVTPL decreased by 98.7% from RMB3.3 million in the six months ended June 30, 2021 to RMB43 thousand (US$6 thousand) in the six months ended June 30, 2022, primarily as a result of the decrease in the return rate of wealth management products purchased in 2022.</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finance costs</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Our other finance costs decreased by 50.0% from RMB4.4 million in the six months ended June 30, 2021 to RMB2.2 million (US$0.3 million) in the six months ended June 30, 2022, mainly due to a decrease in our interest on loans and borrowings resulting from the repayment.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Inducement charges of warrants</w:t>
      </w:r>
    </w:p>
    <w:p>
      <w:pPr>
        <w:spacing w:after="0" w:line="121" w:lineRule="exact"/>
        <w:rPr>
          <w:sz w:val="20"/>
          <w:szCs w:val="20"/>
          <w:color w:val="auto"/>
        </w:rPr>
      </w:pPr>
    </w:p>
    <w:p>
      <w:pPr>
        <w:ind w:left="120" w:right="80" w:firstLine="440"/>
        <w:spacing w:after="0" w:line="281" w:lineRule="auto"/>
        <w:rPr>
          <w:sz w:val="20"/>
          <w:szCs w:val="20"/>
          <w:color w:val="auto"/>
        </w:rPr>
      </w:pPr>
      <w:r>
        <w:rPr>
          <w:rFonts w:ascii="Times New Roman" w:cs="Times New Roman" w:eastAsia="Times New Roman" w:hAnsi="Times New Roman"/>
          <w:sz w:val="17"/>
          <w:szCs w:val="17"/>
          <w:color w:val="auto"/>
        </w:rPr>
        <w:t>Our inducement charges of warrants was nil and RMB120.8 million (US$18.0 million) in the six months ended June 30, 2021 and 2022, respectively. The incurrence of the inducement charges of warrants was due to the issuance of warrants in 2022 which were granted to certain preferred share investors without additional consideration. Under the relevant warrants, such investors had the right to subscribe for more preferred shares at a predetermined price during a specific period. The initial fair value of these warrants is treated as an inducement charge for the financing activities.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value changes of financial liabilities measured at FVTPL</w:t>
      </w:r>
    </w:p>
    <w:p>
      <w:pPr>
        <w:spacing w:after="0" w:line="121"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Our financial liabilities consist of warrants and convertible notes to purchase/convert into redeemable convertible preference shares. We recorded fair value changes of financial liabilities measured at FVTPL in the amount of RMB254.2 million in the six months ended June 30, 2021 and fair value gain of financial liabilities measured at FVTPL in the amount of RMB11.2 million (US$1.7 million) in the six months ended June 30, 2022. The change was primarily due to the change in the fair value of convertible notes and warrants.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in the carrying amounts of preferred shares and other financial instruments subject to redemption and other preferential rights</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Changes in the carrying amounts of preferred shares and other financial instruments subject to redemption and other preferential rights increased significantly from RMB104.4 million in the six months ended June 30,</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100"/>
          </w:cols>
          <w:pgMar w:left="320" w:top="455" w:right="47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2021 to RMB232.0 million (US$34.6 million) in the six months ended June 30, 2022 as a result of changes in the present value of the redemption amounts of our convertible redeemable preferred shares and other financial instruments.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Loss for the period</w:t>
      </w:r>
    </w:p>
    <w:p>
      <w:pPr>
        <w:spacing w:after="0" w:line="121"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As a result of the foregoing, our loss for the period increased by 20.3% from RMB547.0 million in the six months ended June 30, 2021 to RMB657.9 million (US$98.2 million) in the six months ended June 30, 2022. We expect to narrow our loss in the foreseeable future.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Non-IFRS adjusted net loss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non-IFRS adjusted net loss increased by 33.9% from RMB175.3 million in the six months ended June 30, 2021 to RMB234.7 million</w:t>
      </w:r>
    </w:p>
    <w:p>
      <w:pPr>
        <w:spacing w:after="0" w:line="27" w:lineRule="exact"/>
        <w:rPr>
          <w:sz w:val="20"/>
          <w:szCs w:val="20"/>
          <w:color w:val="auto"/>
        </w:rPr>
      </w:pPr>
    </w:p>
    <w:p>
      <w:pPr>
        <w:ind w:left="120" w:right="160"/>
        <w:spacing w:after="0" w:line="260" w:lineRule="auto"/>
        <w:rPr>
          <w:sz w:val="20"/>
          <w:szCs w:val="20"/>
          <w:color w:val="auto"/>
        </w:rPr>
      </w:pPr>
      <w:r>
        <w:rPr>
          <w:rFonts w:ascii="Times New Roman" w:cs="Times New Roman" w:eastAsia="Times New Roman" w:hAnsi="Times New Roman"/>
          <w:sz w:val="18"/>
          <w:szCs w:val="18"/>
          <w:color w:val="auto"/>
        </w:rPr>
        <w:t>(US$35.0 million) in the six months ended June 30, 2022. For discussions of our adjusted net loss and reconciliation of adjusted net loss to loss for the period, see “—Non-IFRS Financial Measures” for details.</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2021 Compared to Year Ended December 31, 2020</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revenue increased significantly from RMB18.2 million in 2020 to RMB138.2 million (US$20.6 million) in 2021.</w:t>
      </w:r>
    </w:p>
    <w:p>
      <w:pPr>
        <w:spacing w:after="0" w:line="225"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product revenue increased from RMB5.9 million in 2020 to RMB101.6 million (US$15.2 million) in 2021 primarily due to the increase in the sales revenue of our robobuses. Our service revenue increased from RMB12.3 million to RMB36.6 million (US$5.5 million) in 2021 primarily due to the increase in the service revenue of our L4 autonomous driving services.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Our cost of goods sold increased from RMB2.6 million in the six months ended June 30, 2021 to RMB77.4 million (US$11.6 million) in the six months ended June 30, 2022, mainly due to an increase in the cost of inventories as a result of the increased sales of autonomous driving vehicles.</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cost of services increased from RMB2.1 million in the six months ended June 30, 2021 to RMB9.1 million (US$1.4 million) in the six months ended June 30, 2022, mainly due to an increase in personnel-related expenses which were incurred in respect of the operation and deployment services of our autonomous driving vehicles.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gross profit increased significantly from RMB13.5 million in 2020 to RMB51.7 million (US$7.7 million) in 2021.</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Our research and development expenses increased by 32.9% from RMB333.4 million in 2020 to RMB443.2 million (US$66.2 million) in 2021, primarily due to the increase in personnel-related expense from RMB226.1 million to RMB300.6 million (US$44.9 million) in 2021, resulting from a significant expansion of our research and development team.</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120"/>
          </w:cols>
          <w:pgMar w:left="320" w:top="455" w:right="4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Administrative expenses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administrative expenses decreased by 29.5% from RMB152.0 million in 2020 to RMB107.1 million (US$16.0 million) in 2021, primarily due to the decrease in personnel-related expense for our general and administrative staff from RMB121.4 million to RMB56.9 million (US$8.5 million) in 2021, resulting from the decrease of share-based compensation expenses as the completion of vesting period for certain restricted share units.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Selling expenses</w:t>
      </w:r>
    </w:p>
    <w:p>
      <w:pPr>
        <w:spacing w:after="0" w:line="121"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Our selling expenses increased by 96.8% from RMB6.2 million in 2020 to RMB12.2 million (US$1.8 million) in 2021, primarily due to an increase in our personnel-related expense from RMB4.3 million to RMB8.1 million (US$1.2 million) in 2021, which is attributable to a significant increase in the headcount of our sales and marketing team.</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net income</w:t>
      </w:r>
    </w:p>
    <w:p>
      <w:pPr>
        <w:spacing w:after="0" w:line="121" w:lineRule="exact"/>
        <w:rPr>
          <w:sz w:val="20"/>
          <w:szCs w:val="20"/>
          <w:color w:val="auto"/>
        </w:rPr>
      </w:pPr>
    </w:p>
    <w:p>
      <w:pPr>
        <w:jc w:val="both"/>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Our other net income increased by 151.8% from RMB14.1 million in 2020 to RMB35.5 million (US$5.3 million) in 2021, mainly due to an increase in interest income from RMB1.3 million to RMB29.8 million (US$4.4 million) resulting from an increase in our balance of cash and cash equivalents.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value changes of financial assets measured at FVTPL</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fair value changes of financial assets measured at FVTPL remained at RMB3.5 million in 2021 as compared with 2020.</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finance costs</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Our other finance costs decreased by 5.5% from RMB7.3 million in 2020 to RMB6.9 million (US$1.0 million) in 2021, mainly due to a decrease in our interest on loans and borrowings.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Inducement charges of warrants</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Our inducement charges of warrants was RMB211.0 million and nil in 2020 and 2021, respectively. The incurrence of the inducement charges of warrants in 2020 was due to the issuance of warrants in 2020 which were granted to certain preferred share investor without additional consideration. Under the relevant warrants, such investor has the right to subscribe for more preferred shares at a predetermined price during a specific period. The initial fair value of these warrants is treated as an inducement charge for the financing activities.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value changes of financial liabilities measured at FVTPL</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Our fair value changes of financial liabilities measured at FVTPL increased significantly from RMB12.9 million in 2020 to RMB259.9 million (US$38.8 million) in 2021, primarily due to changes in the fair value of convertible notes and warrants.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in the carrying amounts of preferred shares and other financial instruments subject to redemption and other preferential rights</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Changes in the carrying amounts of preferred shares and other financial instruments subject to redemption and other preferential rights increased significantly from RMB3.3 million in 2020 to RMB268.1 million (US$40.0 million) in 2021 as a result of changes in the present value of the redemption amounts of our convertible redeemable preferred shares and other financial instruments.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120"/>
          </w:cols>
          <w:pgMar w:left="320" w:top="455" w:right="4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Loss for the year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a result of the foregoing, our loss increased by 45.0% from RMB694.9 million in 2020 to RMB1,007.3 million (US$150.4 million) in 2021.</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Non-IFRS adjusted net loss</w:t>
      </w:r>
    </w:p>
    <w:p>
      <w:pPr>
        <w:spacing w:after="0" w:line="121" w:lineRule="exact"/>
        <w:rPr>
          <w:sz w:val="20"/>
          <w:szCs w:val="20"/>
          <w:color w:val="auto"/>
        </w:rPr>
      </w:pPr>
    </w:p>
    <w:p>
      <w:pPr>
        <w:ind w:left="120" w:right="540" w:firstLine="440"/>
        <w:spacing w:after="0" w:line="312" w:lineRule="auto"/>
        <w:rPr>
          <w:sz w:val="20"/>
          <w:szCs w:val="20"/>
          <w:color w:val="auto"/>
        </w:rPr>
      </w:pPr>
      <w:r>
        <w:rPr>
          <w:rFonts w:ascii="Times New Roman" w:cs="Times New Roman" w:eastAsia="Times New Roman" w:hAnsi="Times New Roman"/>
          <w:sz w:val="17"/>
          <w:szCs w:val="17"/>
          <w:color w:val="auto"/>
        </w:rPr>
        <w:t>Our non-IFRS adjusted net loss increased by 25.3% from RMB337.8 million in 2020 to RMB423.3 million (US$63.2 million) in 2021. For discussions of our adjusted net loss and reconciliation of adjusted net loss to loss for the year, see “—Non-IFRS Financial Measures” for details.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Non-IFRS Financial Measures</w:t>
      </w:r>
    </w:p>
    <w:p>
      <w:pPr>
        <w:spacing w:after="0" w:line="121" w:lineRule="exact"/>
        <w:rPr>
          <w:sz w:val="20"/>
          <w:szCs w:val="20"/>
          <w:color w:val="auto"/>
        </w:rPr>
      </w:pPr>
    </w:p>
    <w:p>
      <w:pPr>
        <w:jc w:val="both"/>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In evaluating our business, we consider and use of the non-IFRS financial measure of adjusted net loss as a supplemental measure to review and assess our operating performance. We believe that adjusted net loss provides useful information to investors and others in understanding and evaluating our consolidated results of operations in the same manner as it helps our management. We define adjusted net loss as loss for the year/period excluding share-based compensation expenses, inducement charges of warrants, fair value changes of financial liabilities measured at FVTPL and changes in the carrying amounts of preferred shares and other financial instruments subject to redemption and other preferential rights.</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present the non-IFRS financial measure because it is used by our management to evaluate our operating performance and formulate business plans. Adjusted net loss enables our management to assess our operating results without considering the impacts of the aforementioned non-cash adjustment items that we do not consider to be indicative of our core operations. Accordingly, we believe that the use of this non-IFRS financial measure provides useful information to investors and others in understanding and evaluating our operating results in the same manner as our management and board of directors.</w:t>
      </w:r>
    </w:p>
    <w:p>
      <w:pPr>
        <w:spacing w:after="0" w:line="183"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This non-IFRS financial measure is not defined under IFRS and is not presented in accordance with IFRS. The non-IFRS financial measure has limitations as an analytical tool. One of the key limitations of using adjusted net loss is that it does not reflect all items of expenses that affect our operations. Further, this non-IFRS measure may differ from the non-IFRS information used by other companies, including peer companies, and therefore its comparability may be limited.</w:t>
      </w:r>
    </w:p>
    <w:p>
      <w:pPr>
        <w:spacing w:after="0" w:line="18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non-IFRS financial measure should not be considered in isolation or construed as an alternative to loss for the year/period or any other measure of performance information prepared and presented in accordance with IFRS or as an indicator of our operating performance. Investors are encouraged to review our historical non-IFRS financial measure in light of the most directly comparable IFRS measure, as shown below. The non-IFRS financial measure presented here may not be comparable to similarly titled measure presented by other companies. Other companies may calculate similarly titled measures differently, limiting the usefulness of such measures when analyzing our data comparatively. We encourage you to review our financial information in its entirety and not rely on a single financial measure.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120"/>
          </w:cols>
          <w:pgMar w:left="320" w:top="455" w:right="4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firstLine="440"/>
        <w:spacing w:after="0" w:line="312" w:lineRule="auto"/>
        <w:rPr>
          <w:sz w:val="20"/>
          <w:szCs w:val="20"/>
          <w:color w:val="auto"/>
        </w:rPr>
      </w:pPr>
      <w:r>
        <w:rPr>
          <w:rFonts w:ascii="Times New Roman" w:cs="Times New Roman" w:eastAsia="Times New Roman" w:hAnsi="Times New Roman"/>
          <w:sz w:val="17"/>
          <w:szCs w:val="17"/>
          <w:color w:val="auto"/>
        </w:rPr>
        <w:t>The following table reconciles our adjusted net loss for the years ended December 31, 2020 and 2021, and the six months periods ended June 30, 2021 and 2022 to the most directly comparable financial measure calculated and presented in accordance with IFRS, which is loss for the year/period:</w:t>
      </w:r>
    </w:p>
    <w:p>
      <w:pPr>
        <w:spacing w:after="0" w:line="16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720" w:type="dxa"/>
            <w:vAlign w:val="bottom"/>
          </w:tcPr>
          <w:p>
            <w:pPr>
              <w:spacing w:after="0"/>
              <w:rPr>
                <w:sz w:val="15"/>
                <w:szCs w:val="15"/>
                <w:color w:val="auto"/>
              </w:rPr>
            </w:pPr>
          </w:p>
        </w:tc>
        <w:tc>
          <w:tcPr>
            <w:tcW w:w="2700" w:type="dxa"/>
            <w:vAlign w:val="bottom"/>
            <w:gridSpan w:val="7"/>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2600" w:type="dxa"/>
            <w:vAlign w:val="bottom"/>
            <w:gridSpan w:val="7"/>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142"/>
        </w:trPr>
        <w:tc>
          <w:tcPr>
            <w:tcW w:w="57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8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660" w:type="dxa"/>
            <w:vAlign w:val="bottom"/>
            <w:tcBorders>
              <w:top w:val="single" w:sz="8" w:color="auto"/>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top w:val="single" w:sz="8" w:color="auto"/>
            </w:tcBorders>
          </w:tcPr>
          <w:p>
            <w:pPr>
              <w:spacing w:after="0"/>
              <w:rPr>
                <w:sz w:val="12"/>
                <w:szCs w:val="12"/>
                <w:color w:val="auto"/>
              </w:rPr>
            </w:pPr>
          </w:p>
        </w:tc>
        <w:tc>
          <w:tcPr>
            <w:tcW w:w="1000" w:type="dxa"/>
            <w:vAlign w:val="bottom"/>
            <w:tcBorders>
              <w:top w:val="single" w:sz="8" w:color="auto"/>
              <w:bottom w:val="single" w:sz="8" w:color="auto"/>
            </w:tcBorders>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5720" w:type="dxa"/>
            <w:vAlign w:val="bottom"/>
          </w:tcPr>
          <w:p>
            <w:pPr>
              <w:spacing w:after="0"/>
              <w:rPr>
                <w:sz w:val="12"/>
                <w:szCs w:val="12"/>
                <w:color w:val="auto"/>
              </w:rPr>
            </w:pPr>
          </w:p>
        </w:tc>
        <w:tc>
          <w:tcPr>
            <w:tcW w:w="640" w:type="dxa"/>
            <w:vAlign w:val="bottom"/>
            <w:tcBorders>
              <w:bottom w:val="single" w:sz="8" w:color="auto"/>
            </w:tcBorders>
          </w:tcPr>
          <w:p>
            <w:pPr>
              <w:jc w:val="right"/>
              <w:ind w:right="6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Borders>
              <w:bottom w:val="single" w:sz="8" w:color="auto"/>
            </w:tcBorders>
            <w:gridSpan w:val="2"/>
          </w:tcPr>
          <w:p>
            <w:pPr>
              <w:spacing w:after="0"/>
              <w:rPr>
                <w:sz w:val="12"/>
                <w:szCs w:val="12"/>
                <w:color w:val="auto"/>
              </w:rPr>
            </w:pPr>
          </w:p>
        </w:tc>
        <w:tc>
          <w:tcPr>
            <w:tcW w:w="980" w:type="dxa"/>
            <w:vAlign w:val="bottom"/>
            <w:tcBorders>
              <w:bottom w:val="single" w:sz="8" w:color="auto"/>
            </w:tcBorders>
            <w:gridSpan w:val="2"/>
          </w:tcPr>
          <w:p>
            <w:pPr>
              <w:jc w:val="right"/>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60" w:type="dxa"/>
            <w:vAlign w:val="bottom"/>
            <w:tcBorders>
              <w:bottom w:val="single" w:sz="8" w:color="auto"/>
            </w:tcBorders>
          </w:tcPr>
          <w:p>
            <w:pPr>
              <w:jc w:val="right"/>
              <w:ind w:right="122"/>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jc w:val="center"/>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580" w:type="dxa"/>
            <w:vAlign w:val="bottom"/>
            <w:tcBorders>
              <w:bottom w:val="single" w:sz="8" w:color="auto"/>
            </w:tcBorders>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2"/>
                <w:szCs w:val="12"/>
                <w:color w:val="auto"/>
              </w:rPr>
            </w:pPr>
          </w:p>
        </w:tc>
      </w:tr>
      <w:tr>
        <w:trPr>
          <w:trHeight w:val="142"/>
        </w:trPr>
        <w:tc>
          <w:tcPr>
            <w:tcW w:w="5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gridSpan w:val="4"/>
          </w:tcPr>
          <w:p>
            <w:pPr>
              <w:jc w:val="right"/>
              <w:ind w:right="58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03"/>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Reconciliation of loss for the year/period to adjusted net loss:</w:t>
            </w: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7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Loss for the year/period</w:t>
            </w: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(694,888)</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(1,007,251)</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(150,379)</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(546,996)</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(657,885)</w:t>
            </w:r>
          </w:p>
        </w:tc>
        <w:tc>
          <w:tcPr>
            <w:tcW w:w="10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(98,220)</w:t>
            </w:r>
          </w:p>
        </w:tc>
      </w:tr>
      <w:tr>
        <w:trPr>
          <w:trHeight w:val="203"/>
        </w:trPr>
        <w:tc>
          <w:tcPr>
            <w:tcW w:w="5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Add:</w:t>
            </w: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7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share-based compensation expenses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129,943</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55,959</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8,354</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13,128</w:t>
            </w: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81,668</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12,193</w:t>
            </w:r>
          </w:p>
        </w:tc>
        <w:tc>
          <w:tcPr>
            <w:tcW w:w="120" w:type="dxa"/>
            <w:vAlign w:val="bottom"/>
          </w:tcPr>
          <w:p>
            <w:pPr>
              <w:spacing w:after="0"/>
              <w:rPr>
                <w:sz w:val="17"/>
                <w:szCs w:val="17"/>
                <w:color w:val="auto"/>
              </w:rPr>
            </w:pPr>
          </w:p>
        </w:tc>
      </w:tr>
      <w:tr>
        <w:trPr>
          <w:trHeight w:val="203"/>
        </w:trPr>
        <w:tc>
          <w:tcPr>
            <w:tcW w:w="5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inducement charges of warrants</w:t>
            </w: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211,016</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120,750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18,028</w:t>
            </w:r>
          </w:p>
        </w:tc>
        <w:tc>
          <w:tcPr>
            <w:tcW w:w="120" w:type="dxa"/>
            <w:vAlign w:val="bottom"/>
            <w:shd w:val="clear" w:color="auto" w:fill="CCEEFF"/>
          </w:tcPr>
          <w:p>
            <w:pPr>
              <w:spacing w:after="0"/>
              <w:rPr>
                <w:sz w:val="17"/>
                <w:szCs w:val="17"/>
                <w:color w:val="auto"/>
              </w:rPr>
            </w:pPr>
          </w:p>
        </w:tc>
      </w:tr>
      <w:tr>
        <w:trPr>
          <w:trHeight w:val="203"/>
        </w:trPr>
        <w:tc>
          <w:tcPr>
            <w:tcW w:w="57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fair value changes of financial liabilities measured at FVTPL</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12,876</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259,872</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38,798</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254,240</w:t>
            </w:r>
          </w:p>
        </w:tc>
        <w:tc>
          <w:tcPr>
            <w:tcW w:w="2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(11,162)</w:t>
            </w:r>
          </w:p>
        </w:tc>
        <w:tc>
          <w:tcPr>
            <w:tcW w:w="10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(1,666)</w:t>
            </w:r>
          </w:p>
        </w:tc>
      </w:tr>
      <w:tr>
        <w:trPr>
          <w:trHeight w:val="189"/>
        </w:trPr>
        <w:tc>
          <w:tcPr>
            <w:tcW w:w="5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changes in the carrying amounts of preferred shares and other financial</w:t>
            </w: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16"/>
        </w:trPr>
        <w:tc>
          <w:tcPr>
            <w:tcW w:w="5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instruments subject to redemption and other preferential rights</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3,259</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268,142</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40,033</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104,350</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231,979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34,634</w:t>
            </w:r>
          </w:p>
        </w:tc>
        <w:tc>
          <w:tcPr>
            <w:tcW w:w="120" w:type="dxa"/>
            <w:vAlign w:val="bottom"/>
            <w:shd w:val="clear" w:color="auto" w:fill="CCEEFF"/>
          </w:tcPr>
          <w:p>
            <w:pPr>
              <w:spacing w:after="0"/>
              <w:rPr>
                <w:sz w:val="18"/>
                <w:szCs w:val="18"/>
                <w:color w:val="auto"/>
              </w:rPr>
            </w:pPr>
          </w:p>
        </w:tc>
      </w:tr>
      <w:tr>
        <w:trPr>
          <w:trHeight w:val="207"/>
        </w:trPr>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Non-IFRS adjusted net loss for the year/period</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(337,794</w:t>
            </w:r>
          </w:p>
        </w:tc>
        <w:tc>
          <w:tcPr>
            <w:tcW w:w="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(423,278)</w:t>
            </w:r>
          </w:p>
        </w:tc>
        <w:tc>
          <w:tcPr>
            <w:tcW w:w="200" w:type="dxa"/>
            <w:vAlign w:val="bottom"/>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(63,194)</w:t>
            </w:r>
          </w:p>
        </w:tc>
        <w:tc>
          <w:tcPr>
            <w:tcW w:w="200" w:type="dxa"/>
            <w:vAlign w:val="bottom"/>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(175,278)</w:t>
            </w:r>
          </w:p>
        </w:tc>
        <w:tc>
          <w:tcPr>
            <w:tcW w:w="220" w:type="dxa"/>
            <w:vAlign w:val="bottom"/>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(234,650)</w:t>
            </w: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(35,032)</w:t>
            </w:r>
          </w:p>
        </w:tc>
        <w:tc>
          <w:tcPr>
            <w:tcW w:w="120" w:type="dxa"/>
            <w:vAlign w:val="bottom"/>
          </w:tcPr>
          <w:p>
            <w:pPr>
              <w:spacing w:after="0"/>
              <w:rPr>
                <w:sz w:val="17"/>
                <w:szCs w:val="17"/>
                <w:color w:val="auto"/>
              </w:rPr>
            </w:pPr>
          </w:p>
        </w:tc>
      </w:tr>
      <w:tr>
        <w:trPr>
          <w:trHeight w:val="20"/>
        </w:trPr>
        <w:tc>
          <w:tcPr>
            <w:tcW w:w="57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flows and working capital</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Before June 30, 2022, we have financed our operating and investing activities mainly through historical equity financing activities.</w:t>
      </w:r>
    </w:p>
    <w:p>
      <w:pPr>
        <w:spacing w:after="0" w:line="225"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As of December 31, 2020, 2021 and June 30, 2022, our cash and cash equivalents were RMB212.6 million, RMB2.7 billion (US$406.9 million) and RMB3.5 billion (US$519.4 million), respectively. Our cash and cash equivalents primarily consist of cash at bank and on hand, demand deposits with banks and other financial institutions, and short-term, highly liquid investments that are readily convertible into known amounts of cash and which are subject to an insignificant risk of changes in value, having been within three months of maturity at acquisition. As of December 31, 2020, 2021 and June 30, 2022, our time deposits were nil, nil and RMB346.7 million, respectively. As of December 31, 2020, 2021 and June 30, 2022, our financial assets measured at FVTPL was RMB608.0 million, RMB53.9 million and RMB48.5 million, respectively. Our financial assets measured at FVTPL primarily represents our investments in wealth management products.</w:t>
      </w:r>
    </w:p>
    <w:p>
      <w:pPr>
        <w:spacing w:after="0" w:line="18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believe our current cash and cash equivalents will be sufficient to meet our current and anticipated working capital requirements and capital expenditures for at least the next 12 months. We may, however, need additional cash resources in the future to satisfy capital requirements, respond to adverse developments or changes in our circumstances or unforeseen events or conditions, or fund organic or inorganic growth. If we determine that our cash requirements exceed the amount of cash we have on hand, we may seek to issue equity or equity linked securities or obtain debt financing. The issuance and sale of additional equity would result in further dilution to our shareholders. The incurrence of indebtedness could expose us to additional obligations and restrictions with respect to our operations. In the event that we are unable to secure sufficient financing resources in amounts or on terms acceptable to us, our business, financial condition and results of operations may be materially and adversely affected.</w:t>
      </w:r>
    </w:p>
    <w:p>
      <w:pPr>
        <w:spacing w:after="0" w:line="189"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As of June 30, 2022, 17.0% and 83.0% of our cash and cash equivalents were held in mainland China and outside mainland China, respectively, and 10.2% and 89.8% were denominated in Renminbi and U.S. dollars, respectively. As of June 30, 2022, 7.2% of our cash and cash equivalents were held by the VIE and its</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140"/>
          </w:cols>
          <w:pgMar w:left="320" w:top="455" w:right="4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500"/>
        <w:spacing w:after="0" w:line="266" w:lineRule="auto"/>
        <w:rPr>
          <w:sz w:val="20"/>
          <w:szCs w:val="20"/>
          <w:color w:val="auto"/>
        </w:rPr>
      </w:pPr>
      <w:r>
        <w:rPr>
          <w:rFonts w:ascii="Times New Roman" w:cs="Times New Roman" w:eastAsia="Times New Roman" w:hAnsi="Times New Roman"/>
          <w:sz w:val="18"/>
          <w:szCs w:val="18"/>
          <w:color w:val="auto"/>
        </w:rPr>
        <w:t>shareholders. Although we consolidate the results of the VIE and its shareholders, we only have access to the assets or earnings of the VIE and its shareholders through our contractual arrangements with the VIE and its shareholders (as applicable). See “Corporate History and Structure.” For restrictions and limitations on liquidity and capital resources as a result of our corporate structure, see “—Holding Company Structure.”</w:t>
      </w:r>
    </w:p>
    <w:p>
      <w:pPr>
        <w:spacing w:after="0" w:line="176"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Almost all of our revenue has been denominated in RMB for the six months ended June 30, 2022. Under existing PRC foreign exchange regulations, payments of current account items, including profit distributions, interest payments and trade and service-related foreign exchange transactions, can be made in foreign currencies without prior SAFE approval as long as certain procedural requirements are fulfilled. Therefore, our mainland China subsidiaries are allowed to pay dividends in foreign currencies to us without prior SAFE approval by following the applicable procedural requirements. However, current PRC regulations permit our mainland China subsidiaries to pay dividends to us only out of their accumulated profits, if any, determined in accordance with Chinese accounting standards and regulations. Our mainland China subsidiaries are required to set aside at least 10% of their after-tax profits after making up previous years’ accumulated losses each year, if any, to fund certain statutory reserve funds until the total amount set aside reaches 50% of their registered capital. These reserves are not distributable as cash dividends. Historically, our mainland China subsidiaries have not paid dividends to us, and they will not be able to pay dividends until they generate accumulated profits. Furthermore, approval from or registration with competent government authorities is required where the Renminbi is to be converted into foreign currency and remitted out of mainland China to pay capital expenses such as the repayment of loans denominated in foreign currencies. The PRC government may at its discretion restrict access to foreign currencies for current account transactions in the future. If the foreign exchange control system prevents us from obtaining sufficient foreign currencies to satisfy our foreign currency demands, we may not be able to pay dividends in foreign currencies to our shareholders, including holders of our ADSs.</w:t>
      </w:r>
    </w:p>
    <w:p>
      <w:pPr>
        <w:spacing w:after="0" w:line="19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a Cayman Islands exempted company and offshore holding company, we are permitted under PRC laws and regulations to provide funding</w:t>
      </w:r>
    </w:p>
    <w:p>
      <w:pPr>
        <w:spacing w:after="0" w:line="27" w:lineRule="exact"/>
        <w:rPr>
          <w:sz w:val="20"/>
          <w:szCs w:val="20"/>
          <w:color w:val="auto"/>
        </w:rPr>
      </w:pPr>
    </w:p>
    <w:p>
      <w:pPr>
        <w:ind w:left="120" w:right="60" w:hanging="4"/>
        <w:spacing w:after="0" w:line="251" w:lineRule="auto"/>
        <w:tabs>
          <w:tab w:leader="none" w:pos="33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our mainland China subsidiaries only through loans or capital contributions, and (ii) to the VIE in mainland China only through loans, subject to relevant approval, filing and/or reporting with respect to government authorities and limits on the amount of capital contributions and loans. This may delay us from using the proceeds from this offering to make loans or capital contributions to our mainland China subsidiaries and the VIE. We expect to invest a portion of the proceeds from this offering into our PRC operations for general corporate purposes within the business scopes of our mainland China subsidiaries and the VIE. See “Risk Factors—Risks Relating to Doing Business in Mainland China—PRC regulation of loans to and direct investment in PRC entities by offshore holding companies and governmental control of currency conversion may delay or prevent us from using the proceeds of this offering to make loans or additional capital contributions to our mainland China subsidiaries and the VIE in mainland China, which could materially and adversely affect our liquidity and our ability to fund and expand our business.”</w:t>
      </w:r>
    </w:p>
    <w:p>
      <w:pPr>
        <w:spacing w:after="0" w:line="194" w:lineRule="exact"/>
        <w:rPr>
          <w:sz w:val="20"/>
          <w:szCs w:val="20"/>
          <w:color w:val="auto"/>
        </w:rPr>
      </w:pPr>
    </w:p>
    <w:p>
      <w:pPr>
        <w:jc w:val="both"/>
        <w:ind w:left="120" w:right="60" w:firstLine="440"/>
        <w:spacing w:after="0" w:line="281" w:lineRule="auto"/>
        <w:rPr>
          <w:sz w:val="20"/>
          <w:szCs w:val="20"/>
          <w:color w:val="auto"/>
        </w:rPr>
      </w:pPr>
      <w:r>
        <w:rPr>
          <w:rFonts w:ascii="Times New Roman" w:cs="Times New Roman" w:eastAsia="Times New Roman" w:hAnsi="Times New Roman"/>
          <w:sz w:val="17"/>
          <w:szCs w:val="17"/>
          <w:color w:val="auto"/>
        </w:rPr>
        <w:t>In July 2020, we entered into a credit agreement with East West Bank (China) Limited with a line of credit in the amount of US$15 million with a term of 18 months. To facilitate each borrowing, a RMB restricted cash of no less than 105% of the drawdown amount is required to be deposited to the bank. In July 2020, we borrowed US$6.5 million at an annual interest rate of 5% with a term of one year. We made restricted cash deposits of RMB46.6 million to the bank to facilitate the borrowing. The loan has been repaid and the related restricted cash was released as of December 31, 2021.</w:t>
      </w:r>
    </w:p>
    <w:p>
      <w:pPr>
        <w:spacing w:after="0" w:line="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120"/>
          </w:cols>
          <w:pgMar w:left="320" w:top="455" w:right="4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the movements of our cash flows for the periods presented:</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060" w:type="dxa"/>
            <w:vAlign w:val="bottom"/>
          </w:tcPr>
          <w:p>
            <w:pPr>
              <w:spacing w:after="0"/>
              <w:rPr>
                <w:sz w:val="15"/>
                <w:szCs w:val="15"/>
                <w:color w:val="auto"/>
              </w:rPr>
            </w:pPr>
          </w:p>
        </w:tc>
        <w:tc>
          <w:tcPr>
            <w:tcW w:w="294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302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142"/>
        </w:trPr>
        <w:tc>
          <w:tcPr>
            <w:tcW w:w="506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top w:val="single" w:sz="8" w:color="auto"/>
            </w:tcBorders>
          </w:tcPr>
          <w:p>
            <w:pPr>
              <w:spacing w:after="0"/>
              <w:rPr>
                <w:sz w:val="12"/>
                <w:szCs w:val="12"/>
                <w:color w:val="auto"/>
              </w:rPr>
            </w:pPr>
          </w:p>
        </w:tc>
        <w:tc>
          <w:tcPr>
            <w:tcW w:w="104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70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top w:val="single" w:sz="8" w:color="auto"/>
            </w:tcBorders>
          </w:tcPr>
          <w:p>
            <w:pPr>
              <w:spacing w:after="0"/>
              <w:rPr>
                <w:sz w:val="12"/>
                <w:szCs w:val="12"/>
                <w:color w:val="auto"/>
              </w:rPr>
            </w:pPr>
          </w:p>
        </w:tc>
        <w:tc>
          <w:tcPr>
            <w:tcW w:w="110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720" w:type="dxa"/>
            <w:vAlign w:val="bottom"/>
            <w:tcBorders>
              <w:top w:val="single" w:sz="8" w:color="auto"/>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42"/>
        </w:trPr>
        <w:tc>
          <w:tcPr>
            <w:tcW w:w="5060" w:type="dxa"/>
            <w:vAlign w:val="bottom"/>
          </w:tcPr>
          <w:p>
            <w:pPr>
              <w:spacing w:after="0"/>
              <w:rPr>
                <w:sz w:val="12"/>
                <w:szCs w:val="12"/>
                <w:color w:val="auto"/>
              </w:rPr>
            </w:pPr>
          </w:p>
        </w:tc>
        <w:tc>
          <w:tcPr>
            <w:tcW w:w="760" w:type="dxa"/>
            <w:vAlign w:val="bottom"/>
            <w:tcBorders>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700" w:type="dxa"/>
            <w:vAlign w:val="bottom"/>
            <w:tcBorders>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jc w:val="right"/>
              <w:ind w:right="50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720" w:type="dxa"/>
            <w:vAlign w:val="bottom"/>
            <w:tcBorders>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spacing w:after="0"/>
              <w:rPr>
                <w:sz w:val="12"/>
                <w:szCs w:val="12"/>
                <w:color w:val="auto"/>
              </w:rPr>
            </w:pPr>
          </w:p>
        </w:tc>
      </w:tr>
      <w:tr>
        <w:trPr>
          <w:trHeight w:val="142"/>
        </w:trPr>
        <w:tc>
          <w:tcPr>
            <w:tcW w:w="50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80" w:type="dxa"/>
            <w:vAlign w:val="bottom"/>
            <w:gridSpan w:val="4"/>
          </w:tcPr>
          <w:p>
            <w:pPr>
              <w:jc w:val="right"/>
              <w:ind w:right="66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(213,830)</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(506,667)</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(75,643)</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(298,483)</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(392,070)</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(58,535)</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in)/generated from investing activities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(509,401)</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460,903</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68,811</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261,866</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(368,358)</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(54,994)</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generated from financing activities</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736,964</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2,603,053</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388,626</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2,532,530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1,364,149</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203,662</w:t>
            </w:r>
          </w:p>
        </w:tc>
      </w:tr>
      <w:tr>
        <w:trPr>
          <w:trHeight w:val="223"/>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13,733</w:t>
            </w:r>
          </w:p>
        </w:tc>
        <w:tc>
          <w:tcPr>
            <w:tcW w:w="2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2,557,289</w:t>
            </w:r>
          </w:p>
        </w:tc>
        <w:tc>
          <w:tcPr>
            <w:tcW w:w="2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381,793</w:t>
            </w:r>
          </w:p>
        </w:tc>
        <w:tc>
          <w:tcPr>
            <w:tcW w:w="2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2,495,913</w:t>
            </w:r>
          </w:p>
        </w:tc>
        <w:tc>
          <w:tcPr>
            <w:tcW w:w="2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603,721</w:t>
            </w:r>
          </w:p>
        </w:tc>
        <w:tc>
          <w:tcPr>
            <w:tcW w:w="2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90,133</w:t>
            </w:r>
          </w:p>
        </w:tc>
        <w:tc>
          <w:tcPr>
            <w:tcW w:w="140" w:type="dxa"/>
            <w:vAlign w:val="bottom"/>
          </w:tcPr>
          <w:p>
            <w:pPr>
              <w:spacing w:after="0"/>
              <w:rPr>
                <w:sz w:val="19"/>
                <w:szCs w:val="19"/>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year/period</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209,260</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212,622</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31,744</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212,622</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2,725,568</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406,917</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exchange rate changes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(10,371)</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(44,343)</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(6,620)</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(13,617)</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149,370</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22,300</w:t>
            </w:r>
          </w:p>
        </w:tc>
      </w:tr>
      <w:tr>
        <w:trPr>
          <w:trHeight w:val="27"/>
        </w:trPr>
        <w:tc>
          <w:tcPr>
            <w:tcW w:w="50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year/period</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212,622</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2,725,568</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406,917</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2,694,918</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3,478,659</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519,350</w:t>
            </w:r>
          </w:p>
        </w:tc>
      </w:tr>
      <w:tr>
        <w:trPr>
          <w:trHeight w:val="20"/>
        </w:trPr>
        <w:tc>
          <w:tcPr>
            <w:tcW w:w="50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3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in the six months ended June 30, 2022 was RMB392.1 million (US$58.5 million). The difference between the loss for the period of RMB657.9 million (US$98.2 million) and operating cash outflow was primarily the result of (i) the adjustment of non-cash items of RMB464.7 million (US$69.4 million), mainly consisted of changes in the carrying amounts of preferred shares and other financial instruments subject to redemption and other preferential rights of RMB232.0 million (US$34.6 million), inducement charges of warrants of RMB120.8 million (US$18.0 million) and share-based compensation expenses of RMB81.7 million (US$12.2 million), and (ii) partially offset by a net increase in working capital by RMB198.9 million (US$29.7 million). The net increase in working capital was primarily attributable to (i) an increase in trade receivables and contract assets of RMB115.1 million (US$17.2 million) driven by the increase in the sales of our L4 autonomous driving vehicles and provision of ADAS services and (ii) an increase in inventories of RMB63.6 million (US$9.5 million) due to the need to stock up on vehicles and production supplies amid a global supply shortage, and partially offset by a decrease in prepayments, deposits and other receivables by RMB23.4 million (US$3.5 million).</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Net cash used in operating activities in 2021 was RMB506.7 million (US$75.6 million). The difference between the loss for the year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RMB1,007.3 million (US$150.4 million) and operating cash outflow was primarily the result of (i) the adjustment of non-cash items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RMB653.4 million (US$97.6 million), mainly consisted of changes in the carrying amounts of preferred shares and other financial instruments subject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redemption and other preferential rights of RMB268.1 million (US$40.0 million), fair value changes of financial liabilities measured at FVTPL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RMB259.9 million (US$38.8 million) and share-based compensation expenses of RMB56.0 million (US$8.4 million); and (ii) a net increase in working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capital by RMB152.9 million (US$22.8 million). The net increase in working capital was primarily attributable to (i) an increase of RMB92.4 million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(US$13.8 million) in inventories driven by the increase in the sales and orders of our robobus and robotaxi and the need to stock up on vehicles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production supplies amid a global supply shortage, (ii) an increase in prepayments, deposits and other receivables of RMB49.4 million (US$7.4 million)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due to the significant amount of prepayments we made in 2021 to secure the supply of chips and LiDAR sensors amid a global supply shortage, (iii) an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increase in trade receivables of RMB22.5 million (US$3.4 million) and (iv) a decrease of RMB12.7 million (US$1.9 million) in other payables, deposits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received and accrued expense.</w:t>
      </w:r>
    </w:p>
    <w:p>
      <w:pPr>
        <w:spacing w:after="0" w:line="207"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in 2020 was RMB213.8 million. The difference between the loss for the year of RMB694.9 million and operating cash outflow was primarily the result of the adjustment of non-cash</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140"/>
          </w:cols>
          <w:pgMar w:left="320" w:top="455" w:right="4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700"/>
        <w:spacing w:after="0" w:line="282" w:lineRule="auto"/>
        <w:rPr>
          <w:sz w:val="20"/>
          <w:szCs w:val="20"/>
          <w:color w:val="auto"/>
        </w:rPr>
      </w:pPr>
      <w:r>
        <w:rPr>
          <w:rFonts w:ascii="Times New Roman" w:cs="Times New Roman" w:eastAsia="Times New Roman" w:hAnsi="Times New Roman"/>
          <w:sz w:val="18"/>
          <w:szCs w:val="18"/>
          <w:color w:val="auto"/>
        </w:rPr>
        <w:t>items of RMB423.4 million, mainly consisted of inducement charges of warrants of RMB211.0 million, share-based compensation expenses of RMB129.9 million and depreciation of property and equipment of RMB39.2 million.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in the six months ended June 30, 2022 was RMB368.4 million (US$55.0 million), consisting primarily of purchase of time deposits of RMB345.6 million (US$51.6 million).</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Cash generated from investing activities in 2021 was RMB460.9 million (US$68.8 million), consisting primarily of proceeds from sales of wealth management products of RMB1,075.0 million (US$160.5 million), partially offset by payments for purchase of wealth managements products of RMB520.3 million (US$77.7 million).</w:t>
      </w:r>
    </w:p>
    <w:p>
      <w:pPr>
        <w:spacing w:after="0" w:line="176"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in 2020 was RMB509.4 million, consisting primarily of payments for purchase of wealth management products of RMB1,207.5 million, partially offset by proceeds from sales of wealth management products of RMB700.9 million.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left="120" w:right="700" w:firstLine="440"/>
        <w:spacing w:after="0" w:line="266" w:lineRule="auto"/>
        <w:rPr>
          <w:sz w:val="20"/>
          <w:szCs w:val="20"/>
          <w:color w:val="auto"/>
        </w:rPr>
      </w:pPr>
      <w:r>
        <w:rPr>
          <w:rFonts w:ascii="Times New Roman" w:cs="Times New Roman" w:eastAsia="Times New Roman" w:hAnsi="Times New Roman"/>
          <w:sz w:val="18"/>
          <w:szCs w:val="18"/>
          <w:color w:val="auto"/>
        </w:rPr>
        <w:t>Cash generated from financing activities in the six months ended June 30, 2022 was RMB1,364.1 million (US$203.7 million), consisting primarily of proceeds from issuance of preferred shares and other financial instruments subject to redemption and other preferential rights of RMB1,376.6 million (US$205.5million).</w:t>
      </w:r>
    </w:p>
    <w:p>
      <w:pPr>
        <w:spacing w:after="0" w:line="17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Cash generated from financing activities in 2021 was RMB2,603.1 million (US$388.6 million), consisting primarily of proceeds from issuance of preferred shares and other financial instruments subject to redemption and other preferential rights of RMB2,683.3 million (US$400.6 million) and proceeds from issuance of financial liabilities measured at FVTPL of RMB107.1 million (US$16.0 million), partially offset by the payment for repurchase of ordinary shares and non-redeemable preferred shares of RMB181.2 million (US$27.1 million).</w:t>
      </w:r>
    </w:p>
    <w:p>
      <w:pPr>
        <w:spacing w:after="0" w:line="180"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Cash generated from financing activities in 2020 was RMB737.0 million, consisting primarily of proceeds from issuance of preferred shares and other financial instruments subject to redemption and other preferential rights of RMB653.6 million and proceeds from issuance of financial liabilities measured at FVTPL of RMB140.3 million.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capital expenditures were RMB3.4 million, RMB25.7 million (US$3.9 million) and RMB34.8 million (US$5.2 million) in 2020, 2021 and the six months ended June 30, 2022, respectively. Capital expenditures primarily represent expenditures on payments for purchase of intangible assets, property and equipment. We expect our capital expenditures to continue to be significant in the foreseeable future as we expand our business and continue to invest in technological development. We intend to fund our future capital expenditures with our existing cash balance and proceeds from this offering.</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Our contractual obligations as of June 30, 2022 primarily include (i) our operating lease obligations, and (ii) our obligations to repurchase equity interest of and make payment to certain investors in one of our subsidiaries if certain agreed performance condition is not satisfied.</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operating lease obligations primarily related to the rentals for office premises, staff accommodations and garage in mainland China and outside mainland China. Our leasing expense was RMB19.3 million, RMB23.0 million (US$3.4 million) and RMB16.0 million (US$2.4 million) for the years ended December 31, 2020, 2021 and the six months ended June 30, 2022, respectively.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120"/>
          </w:cols>
          <w:pgMar w:left="320" w:top="455" w:right="4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our operating lease obligations as of June 30, 2022:</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100" w:type="dxa"/>
            <w:vAlign w:val="bottom"/>
            <w:gridSpan w:val="2"/>
          </w:tcPr>
          <w:p>
            <w:pPr>
              <w:ind w:left="640"/>
              <w:spacing w:after="0"/>
              <w:rPr>
                <w:sz w:val="20"/>
                <w:szCs w:val="20"/>
                <w:color w:val="auto"/>
              </w:rPr>
            </w:pPr>
            <w:r>
              <w:rPr>
                <w:rFonts w:ascii="Times New Roman" w:cs="Times New Roman" w:eastAsia="Times New Roman" w:hAnsi="Times New Roman"/>
                <w:sz w:val="14"/>
                <w:szCs w:val="14"/>
                <w:b w:val="1"/>
                <w:bCs w:val="1"/>
                <w:color w:val="auto"/>
              </w:rPr>
              <w:t>Payment Due by Period</w:t>
            </w:r>
          </w:p>
        </w:tc>
        <w:tc>
          <w:tcPr>
            <w:tcW w:w="520" w:type="dxa"/>
            <w:vAlign w:val="bottom"/>
            <w:vMerge w:val="restart"/>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680" w:type="dxa"/>
            <w:vAlign w:val="bottom"/>
          </w:tcPr>
          <w:p>
            <w:pPr>
              <w:spacing w:after="0"/>
              <w:rPr>
                <w:sz w:val="12"/>
                <w:szCs w:val="12"/>
                <w:color w:val="auto"/>
              </w:rPr>
            </w:pPr>
          </w:p>
        </w:tc>
        <w:tc>
          <w:tcPr>
            <w:tcW w:w="760" w:type="dxa"/>
            <w:vAlign w:val="bottom"/>
            <w:vMerge w:val="restart"/>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2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1080" w:type="dxa"/>
            <w:vAlign w:val="bottom"/>
          </w:tcPr>
          <w:p>
            <w:pPr>
              <w:jc w:val="right"/>
              <w:ind w:right="522"/>
              <w:spacing w:after="0" w:line="149" w:lineRule="exact"/>
              <w:rPr>
                <w:sz w:val="20"/>
                <w:szCs w:val="20"/>
                <w:color w:val="auto"/>
              </w:rPr>
            </w:pPr>
            <w:r>
              <w:rPr>
                <w:rFonts w:ascii="Times New Roman" w:cs="Times New Roman" w:eastAsia="Times New Roman" w:hAnsi="Times New Roman"/>
                <w:sz w:val="14"/>
                <w:szCs w:val="14"/>
                <w:b w:val="1"/>
                <w:bCs w:val="1"/>
                <w:color w:val="auto"/>
              </w:rPr>
              <w:t>1-2</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6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20" w:type="dxa"/>
            <w:vAlign w:val="bottom"/>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0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142"/>
        </w:trPr>
        <w:tc>
          <w:tcPr>
            <w:tcW w:w="66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100" w:type="dxa"/>
            <w:vAlign w:val="bottom"/>
            <w:tcBorders>
              <w:top w:val="single" w:sz="8" w:color="auto"/>
            </w:tcBorders>
            <w:gridSpan w:val="2"/>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(RMB in thousands)</w:t>
            </w:r>
          </w:p>
        </w:tc>
        <w:tc>
          <w:tcPr>
            <w:tcW w:w="5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commitment</w:t>
            </w: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82,655</w:t>
            </w:r>
          </w:p>
        </w:tc>
        <w:tc>
          <w:tcPr>
            <w:tcW w:w="1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34,175</w:t>
            </w:r>
          </w:p>
        </w:tc>
        <w:tc>
          <w:tcPr>
            <w:tcW w:w="1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26,150</w:t>
            </w:r>
          </w:p>
        </w:tc>
        <w:tc>
          <w:tcPr>
            <w:tcW w:w="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22,330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In addition, WeRide HK, the VIE and two investors jointly established Wenyuan Yuexing and entered into a shareholders agreement in respect thereto. The investors injected capital of RMB36.0 million and 28.8 million in exchange for 20% and 16% equity interest of Wenyuan Yuexing, respectively. Pursuant to the terms of the shareholders agreement, the investors have the right to require us to repurchase all or a part of their equity interests in Wenyuan Yuexing and to require us to pay any shortfall if their investment return falls below 10% of the original injection amount, if certain agreed performance condition is not satisfied. As of June 30, 2022, our total liabilities under the aforesaid obligations were estimated to be approximately RMB40 million.</w:t>
      </w:r>
    </w:p>
    <w:p>
      <w:pPr>
        <w:spacing w:after="0" w:line="187"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We intend to fund our existing and future material cash requirements with our existing cash balance. Other than as discussed above, we did not have any significant capital and other commitments, long-term obligations or guarantees as of June 30, 2022.</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IFRS as issued by the IASB. Preparing these consolidated financial statements in conformity with IFRS as issued by the IASB requires us to exercise estimates that affect the reported amounts of assets, liabilities and disclosures of contingent assets and liabilities at the balance sheet dates, as well as the reported amounts of revenue and expenses during the reporting periods. To the extent that there are material differences between these estimates and actual results, our financial condition or results of operations would be affected. We base our estimates on our own historical experience and other assumptions that we believe are reasonable after taking account of our circumstances and expectations for the future based on available information. We evaluate these estimates on an ongoing basis.</w:t>
      </w:r>
    </w:p>
    <w:p>
      <w:pPr>
        <w:spacing w:after="0" w:line="187"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We consider an accounting estimate to be critical if: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or results of operations. There are other items within our consolidated financial statements that require estimation but are not deemed critical, as defined above. Changes in estimates used in these and other items could have a material impact on our consolidated financial statements. For a detailed discussion of our significant accounting estimates and judgments, see “Notes to Consolidated Financial Statements—Note 3 Accounting Estimates and Judgments”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critical accounting estimates that we believe to have the most significant impact on our consolidated financial statements are described below.</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Impairments of non-current assets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considering the impairment losses that may be required for certain goodwill, intangible assets, property, equipment and right-of-use assets, recoverable amount of these assets needs to be determined. The recoverable amount is the greater of the fair value less costs of disposal and the value in use. It involves significant estimation uncertainty to determine the fair value when quoted market prices for these assets are not readily available. In determining the value in use, expected cash flows generated by the asset are discounted to their present value, which requires significant judgment relating to projections of items such as revenue and operating costs. We use all readily available information in determining an amount that is reasonable approximation of recoverable amount, including estimates based on reasonable and supportable assumptions and projections of items.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20"/>
          </w:cols>
          <w:pgMar w:left="320" w:top="455" w:right="45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value of convertible notes and warrants</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We measure the convertible notes and the warrant liabilities at fair value. There are no quoted prices in an active market, the fair value of convertible notes and warrant liabilities are established with the assistance of an independent valuer using generally accepted valuation techniques. The assumptions adopted by the independent valuer in the valuation models make maximum use of market inputs. However, it should be noted that some inputs, such as the estimated probability of the occurrence of triggering events, require our estimates. Our estimates and assumptions are reviewed periodically and are adjusted if necessary. Should any of the estimates and assumptions change, it may lead to a change in the fair value of the financial liabilities.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Recognition of deferred tax assets</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Deferred tax assets in respect of tax losses and other deductible temporary differences carried forward are recognized and measured based on the expected manner of realization or settlement of the carrying amount of the assets, using tax rates enacted or substantively enacted at the end of the periods presented. In determining the carrying amounts of deferred tax assets, expected taxable profits are estimated which involves a number of assumptions relating to the operating environment and requires significant level of judgement exercised by us. Any change in such assumptions and judgement would affect the carrying amounts of deferred tax assets to be recognized and hence profit or loss in future years.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measure the cost of equity-settled transactions with employees by reference to the fair value of the equity instruments at the date at which they are granted and at the end of each period presented, respectively. The fair value is estimated using a model which requires the determination of the appropriate inputs. We have to estimate the forfeiture rate in order to determine the amount of share-based compensation expenses charged to the statement of profit or loss. We also have to estimate the vesting periods of the share awards which is variable and subject to an estimate of when a qualified initial public offering will occur</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value of our ordinary shares</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We are a private company with no quoted market prices for our ordinary shares. We therefore make estimates of the fair value of our ordinary shares on various dates for the following purposes:</w:t>
      </w:r>
    </w:p>
    <w:p>
      <w:pPr>
        <w:spacing w:after="0" w:line="67" w:lineRule="exact"/>
        <w:rPr>
          <w:sz w:val="20"/>
          <w:szCs w:val="20"/>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fair value of our share-based compensation to our employees at each grant date;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fair value of our financial liabilities for the convertible notes and warrants at the issuance date and each period end.</w:t>
      </w:r>
    </w:p>
    <w:p>
      <w:pPr>
        <w:spacing w:after="0" w:line="33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Fair value of our ordinary shares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of Valuation</w:t>
            </w:r>
          </w:p>
        </w:tc>
        <w:tc>
          <w:tcPr>
            <w:tcW w:w="6280" w:type="dxa"/>
            <w:vAlign w:val="bottom"/>
            <w:vMerge w:val="restart"/>
          </w:tcPr>
          <w:p>
            <w:pPr>
              <w:spacing w:after="0"/>
              <w:rPr>
                <w:sz w:val="13"/>
                <w:szCs w:val="13"/>
                <w:color w:val="auto"/>
              </w:rPr>
            </w:pPr>
          </w:p>
        </w:tc>
        <w:tc>
          <w:tcPr>
            <w:tcW w:w="160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w w:val="99"/>
              </w:rPr>
              <w:t>Fair Value Per</w:t>
            </w:r>
          </w:p>
        </w:tc>
        <w:tc>
          <w:tcPr>
            <w:tcW w:w="140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w w:val="98"/>
              </w:rPr>
              <w:t>Discount</w:t>
            </w: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6"/>
              </w:rPr>
              <w:t>DLOM</w:t>
            </w:r>
          </w:p>
        </w:tc>
        <w:tc>
          <w:tcPr>
            <w:tcW w:w="0" w:type="dxa"/>
            <w:vAlign w:val="bottom"/>
          </w:tcPr>
          <w:p>
            <w:pPr>
              <w:spacing w:after="0"/>
              <w:rPr>
                <w:sz w:val="1"/>
                <w:szCs w:val="1"/>
                <w:color w:val="auto"/>
              </w:rPr>
            </w:pPr>
          </w:p>
        </w:tc>
      </w:tr>
      <w:tr>
        <w:trPr>
          <w:trHeight w:val="165"/>
        </w:trPr>
        <w:tc>
          <w:tcPr>
            <w:tcW w:w="1080" w:type="dxa"/>
            <w:vAlign w:val="bottom"/>
            <w:tcBorders>
              <w:bottom w:val="single" w:sz="8" w:color="auto"/>
            </w:tcBorders>
            <w:vMerge w:val="continue"/>
          </w:tcPr>
          <w:p>
            <w:pPr>
              <w:spacing w:after="0"/>
              <w:rPr>
                <w:sz w:val="13"/>
                <w:szCs w:val="13"/>
                <w:color w:val="auto"/>
              </w:rPr>
            </w:pPr>
          </w:p>
        </w:tc>
        <w:tc>
          <w:tcPr>
            <w:tcW w:w="6280" w:type="dxa"/>
            <w:vAlign w:val="bottom"/>
            <w:vMerge w:val="continue"/>
          </w:tcPr>
          <w:p>
            <w:pPr>
              <w:spacing w:after="0"/>
              <w:rPr>
                <w:sz w:val="13"/>
                <w:szCs w:val="13"/>
                <w:color w:val="auto"/>
              </w:rPr>
            </w:pPr>
          </w:p>
        </w:tc>
        <w:tc>
          <w:tcPr>
            <w:tcW w:w="1600" w:type="dxa"/>
            <w:vAlign w:val="bottom"/>
            <w:gridSpan w:val="2"/>
          </w:tcPr>
          <w:p>
            <w:pPr>
              <w:ind w:left="260"/>
              <w:spacing w:after="0" w:line="160" w:lineRule="exact"/>
              <w:rPr>
                <w:sz w:val="20"/>
                <w:szCs w:val="20"/>
                <w:color w:val="auto"/>
              </w:rPr>
            </w:pPr>
            <w:r>
              <w:rPr>
                <w:rFonts w:ascii="Times New Roman" w:cs="Times New Roman" w:eastAsia="Times New Roman" w:hAnsi="Times New Roman"/>
                <w:sz w:val="14"/>
                <w:szCs w:val="14"/>
                <w:b w:val="1"/>
                <w:bCs w:val="1"/>
                <w:color w:val="auto"/>
              </w:rPr>
              <w:t>Share</w:t>
            </w:r>
          </w:p>
        </w:tc>
        <w:tc>
          <w:tcPr>
            <w:tcW w:w="1400" w:type="dxa"/>
            <w:vAlign w:val="bottom"/>
            <w:gridSpan w:val="2"/>
          </w:tcPr>
          <w:p>
            <w:pPr>
              <w:jc w:val="right"/>
              <w:ind w:right="980"/>
              <w:spacing w:after="0" w:line="160" w:lineRule="exact"/>
              <w:rPr>
                <w:sz w:val="20"/>
                <w:szCs w:val="20"/>
                <w:color w:val="auto"/>
              </w:rPr>
            </w:pPr>
            <w:r>
              <w:rPr>
                <w:rFonts w:ascii="Times New Roman" w:cs="Times New Roman" w:eastAsia="Times New Roman" w:hAnsi="Times New Roman"/>
                <w:sz w:val="14"/>
                <w:szCs w:val="14"/>
                <w:b w:val="1"/>
                <w:bCs w:val="1"/>
                <w:color w:val="auto"/>
              </w:rPr>
              <w:t>Rate</w:t>
            </w:r>
          </w:p>
        </w:tc>
        <w:tc>
          <w:tcPr>
            <w:tcW w:w="6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3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2020</w:t>
            </w:r>
          </w:p>
        </w:tc>
        <w:tc>
          <w:tcPr>
            <w:tcW w:w="90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360" w:type="dxa"/>
            <w:vAlign w:val="bottom"/>
            <w:gridSpan w:val="2"/>
            <w:vMerge w:val="continue"/>
            <w:shd w:val="clear" w:color="auto" w:fill="CCEEFF"/>
          </w:tcPr>
          <w:p>
            <w:pPr>
              <w:spacing w:after="0"/>
              <w:rPr>
                <w:sz w:val="17"/>
                <w:szCs w:val="17"/>
                <w:color w:val="auto"/>
              </w:rPr>
            </w:pPr>
          </w:p>
        </w:tc>
        <w:tc>
          <w:tcPr>
            <w:tcW w:w="9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1.04</w:t>
            </w:r>
          </w:p>
        </w:tc>
        <w:tc>
          <w:tcPr>
            <w:tcW w:w="700" w:type="dxa"/>
            <w:vAlign w:val="bottom"/>
            <w:vMerge w:val="continue"/>
            <w:shd w:val="clear" w:color="auto" w:fill="CCEEFF"/>
          </w:tcPr>
          <w:p>
            <w:pPr>
              <w:spacing w:after="0"/>
              <w:rPr>
                <w:sz w:val="17"/>
                <w:szCs w:val="17"/>
                <w:color w:val="auto"/>
              </w:rPr>
            </w:pPr>
          </w:p>
        </w:tc>
        <w:tc>
          <w:tcPr>
            <w:tcW w:w="1400" w:type="dxa"/>
            <w:vAlign w:val="bottom"/>
            <w:gridSpan w:val="2"/>
            <w:shd w:val="clear" w:color="auto" w:fill="CCEEFF"/>
          </w:tcPr>
          <w:p>
            <w:pPr>
              <w:jc w:val="right"/>
              <w:ind w:right="700"/>
              <w:spacing w:after="0" w:line="203" w:lineRule="exact"/>
              <w:rPr>
                <w:sz w:val="20"/>
                <w:szCs w:val="20"/>
                <w:color w:val="auto"/>
              </w:rPr>
            </w:pPr>
            <w:r>
              <w:rPr>
                <w:rFonts w:ascii="Times New Roman" w:cs="Times New Roman" w:eastAsia="Times New Roman" w:hAnsi="Times New Roman"/>
                <w:sz w:val="18"/>
                <w:szCs w:val="18"/>
                <w:color w:val="auto"/>
              </w:rPr>
              <w:t>23%</w:t>
            </w:r>
          </w:p>
        </w:tc>
        <w:tc>
          <w:tcPr>
            <w:tcW w:w="66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31, 2021</w:t>
            </w:r>
          </w:p>
        </w:tc>
        <w:tc>
          <w:tcPr>
            <w:tcW w:w="16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1.16</w:t>
            </w:r>
          </w:p>
        </w:tc>
        <w:tc>
          <w:tcPr>
            <w:tcW w:w="14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23%</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2021</w:t>
            </w:r>
          </w:p>
        </w:tc>
        <w:tc>
          <w:tcPr>
            <w:tcW w:w="16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2.04</w:t>
            </w:r>
          </w:p>
        </w:tc>
        <w:tc>
          <w:tcPr>
            <w:tcW w:w="14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20%</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16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2.16</w:t>
            </w:r>
          </w:p>
        </w:tc>
        <w:tc>
          <w:tcPr>
            <w:tcW w:w="14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20%</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2022</w:t>
            </w:r>
          </w:p>
        </w:tc>
        <w:tc>
          <w:tcPr>
            <w:tcW w:w="16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2.88</w:t>
            </w:r>
          </w:p>
        </w:tc>
        <w:tc>
          <w:tcPr>
            <w:tcW w:w="14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20%</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utilized discounted cash flow (“DCF”) valuation model to determine the fair value of our ordinary shares.</w:t>
      </w:r>
    </w:p>
    <w:p>
      <w:pPr>
        <w:spacing w:after="0" w:line="225"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With the assistance of an independent valuation firm, we applied an income approach, specifically a DCF analysis based on our projected cash flows using management’s best estimates as of the valuation date to</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140"/>
          </w:cols>
          <w:pgMar w:left="320" w:top="455" w:right="4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determine the fair value of our ordinary shares. The income approach involves applying appropriate discount rates to estimated cash flows that are based on earnings forecasts. However, these fair values are inherently uncertain and highly subjective. The major assumptions used in calculating the fair value of our ordinary shares using income approach include:</w:t>
      </w:r>
    </w:p>
    <w:p>
      <w:pPr>
        <w:spacing w:after="0" w:line="79" w:lineRule="exact"/>
        <w:rPr>
          <w:sz w:val="20"/>
          <w:szCs w:val="20"/>
          <w:color w:val="auto"/>
        </w:rPr>
      </w:pPr>
    </w:p>
    <w:p>
      <w:pPr>
        <w:ind w:left="1080" w:right="120" w:hanging="424"/>
        <w:spacing w:after="0" w:line="267"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Discount Rates</w:t>
      </w:r>
      <w:r>
        <w:rPr>
          <w:rFonts w:ascii="Times New Roman" w:cs="Times New Roman" w:eastAsia="Times New Roman" w:hAnsi="Times New Roman"/>
          <w:sz w:val="18"/>
          <w:szCs w:val="18"/>
          <w:color w:val="auto"/>
        </w:rPr>
        <w:t>. The discount rates listed out in the table were based on the weighted average cost of capital, which was determined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 number of factors including risk-free rate, comparative industry risk, equity risk premium, company size and non-systemic risk factors.</w:t>
      </w:r>
    </w:p>
    <w:p>
      <w:pPr>
        <w:spacing w:after="0" w:line="78" w:lineRule="exact"/>
        <w:rPr>
          <w:rFonts w:ascii="Times New Roman" w:cs="Times New Roman" w:eastAsia="Times New Roman" w:hAnsi="Times New Roman"/>
          <w:sz w:val="18"/>
          <w:szCs w:val="18"/>
          <w:color w:val="auto"/>
        </w:rPr>
      </w:pPr>
    </w:p>
    <w:p>
      <w:pPr>
        <w:ind w:left="1080" w:right="140" w:hanging="424"/>
        <w:spacing w:after="0" w:line="257"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Discount for Lack of Marketability, or DLOM</w:t>
      </w:r>
      <w:r>
        <w:rPr>
          <w:rFonts w:ascii="Times New Roman" w:cs="Times New Roman" w:eastAsia="Times New Roman" w:hAnsi="Times New Roman"/>
          <w:sz w:val="18"/>
          <w:szCs w:val="18"/>
          <w:color w:val="auto"/>
        </w:rPr>
        <w:t>. DLOM was quantified by the Black-Scholes option pricing model and Finnerty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model. Under this option-pricing method, the cost of the put option, which could be used to hedge the price change before the privately held shares can be sold, was considered as a basis to determine the DLOM. The key assumptions of such model include risk-free rate, timing of a liquidity event (such as an initial public offering), and estimated volatility of our shares. The further the valuation date is from an expected liquidity event, the higher the put option value and thus the higher the implied DLOM. The lower DLOM is used for the valuation, the higher is the determined fair value of the ordinary shares.</w:t>
      </w:r>
    </w:p>
    <w:p>
      <w:pPr>
        <w:spacing w:after="0" w:line="184" w:lineRule="exact"/>
        <w:rPr>
          <w:sz w:val="20"/>
          <w:szCs w:val="20"/>
          <w:color w:val="auto"/>
        </w:rPr>
      </w:pPr>
    </w:p>
    <w:p>
      <w:pPr>
        <w:ind w:left="120" w:right="40" w:firstLine="440"/>
        <w:spacing w:after="0" w:line="312" w:lineRule="auto"/>
        <w:rPr>
          <w:sz w:val="20"/>
          <w:szCs w:val="20"/>
          <w:color w:val="auto"/>
        </w:rPr>
      </w:pPr>
      <w:r>
        <w:rPr>
          <w:rFonts w:ascii="Times New Roman" w:cs="Times New Roman" w:eastAsia="Times New Roman" w:hAnsi="Times New Roman"/>
          <w:sz w:val="17"/>
          <w:szCs w:val="17"/>
          <w:color w:val="auto"/>
        </w:rPr>
        <w:t>The determination of the fair value of our ordinary shares requires complex and subjective judgments to be made regarding our projected financial and operating results, our unique business risks, the liquidity of our ordinary shares and our operating history and prospects at the date of valuation.</w:t>
      </w:r>
    </w:p>
    <w:p>
      <w:pPr>
        <w:spacing w:after="0" w:line="14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fair value of our ordinary shares increased from US$1.04 per share as of December 31, 2020 to US$2.88 per share as of June 30, 2022, which was primarily due to the organic growth of our business and the continuous improvement in our financial performance and an updated business outlook based on a review of our actual financial performance. We completed a series of private financings in 2021 and 2022 where we issued preferred shares to certain financial and strategic investors, which provided us with additional capital for business expansion and contributed to the increase in fair value of our ordinary shares during the period.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Off-Balance Sheet Commitments and Arrangements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have not entered into any financial guarantees or other commitments to guarantee the payment obligations of any third parties.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product development services with us.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Prior to this offering, we have been a private company with limited accounting personnel and other resources with which to address our internal control over financial reporting. We have identified and our independent registered public accounting firm, in connection with their audits, identified a material weakness in our internal control over financial reporting. As defined in the standards established by the U.S. Public Company Accounting Oversight Board, or PCAOB,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187"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material weakness identified is that we lack sufficient financial reporting and accounting personnel with appropriate knowledge of IFRS and the SEC reporting requirements to properly address complex IFRS accounting issues and related disclosures in accordance with IFRS and financial reporting requirements set forth by the SEC. The material weakness, if not remediated timely, may lead to material misstatements in our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140"/>
          </w:cols>
          <w:pgMar w:left="320" w:top="455" w:right="4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consolidated financial statements in the future. Neither we nor our independent registered public accounting firm undertook a comprehensive assessment of our internal control for purposes of identifying and reporting material weaknesses and other control deficiencies in our internal control over financial reporting. Had we performed a formal assessment of our internal control over financial reporting or had our independent registered public accounting firm performed an audit of our internal control over financial reporting, additional deficiencies may have been identified.</w:t>
      </w:r>
    </w:p>
    <w:p>
      <w:pPr>
        <w:spacing w:after="0" w:line="180"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We have implemented and plan to implement a number of measures to address the material weakness that has been identified in connection with the audit of our consolidated financial statements as of and for the year ended December 31, 2021. We have taken measures and plan to continue to take measures to remediate these deficiencies. We have hired a finance director with IFRS financial reporting experience. We plan to hire more accounting personnel to strengthen the financial reporting function and enhance our period end financial reporting policies and procedures. However, we cannot assure you that all these measures will be sufficient to remediate our material weakness in time, or at all. See “Risk Factors — Risks Related to Our Business and Industry — If we fail to develop and maintain an effective system of internal control over financial reporting, we may be unable to accurately report our financial results or prevent fraud.”</w:t>
      </w:r>
    </w:p>
    <w:p>
      <w:pPr>
        <w:spacing w:after="0" w:line="189"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As a company with less than US$1.235 billion in revenue for fiscal year of 2021,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in the assessment of the emerging growth company’s internal control over financial reporting.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Holding Company Structure</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WeRide Inc. is a holding company with no material operations of its own. We conduct our business primarily through our subsidiaries, the VIE and its subsidiaries in mainland China. As a result, our ability to pay dividends depends upon dividends paid by our mainland China subsidiaries. If our existing mainland China subsidiaries or any newly formed ones incur debt on their own behalf in the future, the instruments governing their debt may restrict their ability to pay dividends to us. In addition, our wholly foreign-owned subsidiaries in mainland China are permitted to pay dividends to us only out of its retained earnings, if any, as determined in accordance with PRC accounting standards and regulations. Under PRC law, each of our subsidiaries in mainland China is required to set aside at least 10% of its after-tax profits each year, if any, to fund certain statutory reserve funds until such reserve funds reach 50% of their registered capital. In addition, our wholly foreign-owned subsidiaries in mainland China may allocate a portion of their after-tax profits based on PRC accounting standards to enterprise expansion funds and staff bonus and welfare funds at their discretion. The statutory reserve funds and the discretionary funds are not distributable as cash dividends. Remittance of dividends by a wholly foreign-owned company out of mainland China is subject to examination by the banks designated by SAFE. Our mainland China subsidiaries have not paid dividends and will not be able to pay dividends until they generate accumulated profits and meet the requirements for statutory reserve funds.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Risk</w:t>
      </w:r>
    </w:p>
    <w:p>
      <w:pPr>
        <w:spacing w:after="0" w:line="121"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We are exposed to currency risk primarily through sales and purchases which give rise to receivables, payables and cash balances that are denominated in a currency other than the respective functional currencies of our companies. Foreign exchange rate risks exist primarily for the U.S. dollar.</w:t>
      </w:r>
    </w:p>
    <w:p>
      <w:pPr>
        <w:spacing w:after="0" w:line="176"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As of June 30, 2022, we had cash and cash equivalents denominated in U.S. dollar amounting to US$35.1 million. A 10% depreciation of Renminbi against the U.S. dollar based on the foreign exchange rate on June 30, 2022 would result in a decrease of RMB23.6 million in cash and cash equivalents. A 10% appreciation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120"/>
          </w:cols>
          <w:pgMar w:left="320" w:top="455" w:right="45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00"/>
        <w:spacing w:after="0" w:line="261" w:lineRule="auto"/>
        <w:rPr>
          <w:sz w:val="20"/>
          <w:szCs w:val="20"/>
          <w:color w:val="auto"/>
        </w:rPr>
      </w:pPr>
      <w:r>
        <w:rPr>
          <w:rFonts w:ascii="Times New Roman" w:cs="Times New Roman" w:eastAsia="Times New Roman" w:hAnsi="Times New Roman"/>
          <w:sz w:val="18"/>
          <w:szCs w:val="18"/>
          <w:color w:val="auto"/>
        </w:rPr>
        <w:t>of Renminbi against the U.S. dollar based on the foreign exchange rate on June 30, 2022 would result in an increase of RMB23.6 million in cash and cash equivalents. We have not used any derivative financial instruments to hedge exposure to foreign exchange risk. We monitor our currency risk exposure by periodically reviewing foreign currency exchange rates and will consider hedging significant foreign currency exposure should the need arise.</w:t>
      </w:r>
    </w:p>
    <w:p>
      <w:pPr>
        <w:spacing w:after="0" w:line="180"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In addition, the value of your investment in our ADSs will be affected by the exchange rate between the U.S. dollar and Renminbi because the value of our business is effectively denominated in Renminbi, while our ADSs will be traded in U.S. dollars.</w:t>
      </w:r>
    </w:p>
    <w:p>
      <w:pPr>
        <w:spacing w:after="0" w:line="162" w:lineRule="exact"/>
        <w:rPr>
          <w:sz w:val="20"/>
          <w:szCs w:val="20"/>
          <w:color w:val="auto"/>
        </w:rPr>
      </w:pPr>
    </w:p>
    <w:p>
      <w:pPr>
        <w:jc w:val="both"/>
        <w:ind w:left="120" w:right="140" w:firstLine="440"/>
        <w:spacing w:after="0" w:line="257" w:lineRule="auto"/>
        <w:rPr>
          <w:sz w:val="20"/>
          <w:szCs w:val="20"/>
          <w:color w:val="auto"/>
        </w:rPr>
      </w:pPr>
      <w:r>
        <w:rPr>
          <w:rFonts w:ascii="Times New Roman" w:cs="Times New Roman" w:eastAsia="Times New Roman" w:hAnsi="Times New Roman"/>
          <w:sz w:val="18"/>
          <w:szCs w:val="18"/>
          <w:color w:val="auto"/>
        </w:rPr>
        <w:t>We estimate that we will receive net proceeds of approximately US$ million from this offering if the underwriters do not exercise their option to purchase additional ADSs, after deducting underwriting discounts and commissions and the estimated offering expenses payable by us, based on the midpoint of the price range shown on the front page of this prospectus. Assuming that we convert the full amount of the net proceeds from this</w:t>
      </w:r>
    </w:p>
    <w:p>
      <w:pPr>
        <w:spacing w:after="0" w:line="1" w:lineRule="exact"/>
        <w:rPr>
          <w:sz w:val="20"/>
          <w:szCs w:val="20"/>
          <w:color w:val="auto"/>
        </w:rPr>
      </w:pPr>
    </w:p>
    <w:p>
      <w:pPr>
        <w:ind w:left="120" w:right="220"/>
        <w:spacing w:after="0" w:line="255" w:lineRule="auto"/>
        <w:rPr>
          <w:sz w:val="20"/>
          <w:szCs w:val="20"/>
          <w:color w:val="auto"/>
        </w:rPr>
      </w:pPr>
      <w:r>
        <w:rPr>
          <w:rFonts w:ascii="Times New Roman" w:cs="Times New Roman" w:eastAsia="Times New Roman" w:hAnsi="Times New Roman"/>
          <w:sz w:val="18"/>
          <w:szCs w:val="18"/>
          <w:color w:val="auto"/>
        </w:rPr>
        <w:t>offering into Renminbi, a 10% appreciation of U.S. dollars against Renminbi would result in an increase of RMB million in our net proceeds from this offering. Conversely, a 10% depreciation of U.S. dollars against Renminbi would result in a decrease of RMB million in our net proceeds from this offering.</w:t>
      </w:r>
    </w:p>
    <w:p>
      <w:pPr>
        <w:spacing w:after="0" w:line="186"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The conversion of Renminbi into foreign currencies, including U.S. dollars, is based on rates set by the People’s Bank of China. The Renminbi has fluctuated against the U.S. dollar, at times significantly and unpredictably. It is difficult to predict how market forces or PRC or U.S. government policy may impact the exchange rate between Renminbi and the U.S. dollar in the future. To the extent that we need to convert U.S. dollars into Renminbi for our operations, appreciation of the Renminbi against the U.S. dollar would have an adverse effect on the RMB amount we receive from the conversion. Conversely, if we decide to convert Renminbi into U.S. dollars for the purpose of making payments for dividends on our ordinary shares or ADSs or for other business purposes, appreciation of the U.S. dollar against the Renminbi would have a negative effect on the U.S. dollar amounts available to us.</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left="120" w:right="120" w:firstLine="440"/>
        <w:spacing w:after="0" w:line="281" w:lineRule="auto"/>
        <w:rPr>
          <w:sz w:val="20"/>
          <w:szCs w:val="20"/>
          <w:color w:val="auto"/>
        </w:rPr>
      </w:pPr>
      <w:r>
        <w:rPr>
          <w:rFonts w:ascii="Times New Roman" w:cs="Times New Roman" w:eastAsia="Times New Roman" w:hAnsi="Times New Roman"/>
          <w:sz w:val="17"/>
          <w:szCs w:val="17"/>
          <w:color w:val="auto"/>
        </w:rPr>
        <w:t>Interest-bearing financial instruments at variable rates and at fixed rates expose us to cash flow interest rate risk and fair value interest risk, respectively. We determine the appropriate weight of the fixed and floating rate interest-bearing instruments based on the current market conditions and performs regular reviews and monitoring to achieve an appropriate mix of fixed and floating rate exposure. We have not been exposed to, nor do we anticipate being exposed to, material risks due to changes in market interest rates. We do not enter into financial derivatives to hedge interest rate risk.</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A list of recently issued accounting pronouncements that are relevant to us is included in Note 1(c) “Basis of preparation” of our consolidated financial statements included elsewhere in this prospectus.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140"/>
          </w:cols>
          <w:pgMar w:left="320" w:top="455" w:right="4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INDUSTRY</w:t>
      </w:r>
    </w:p>
    <w:p>
      <w:pPr>
        <w:spacing w:after="0" w:line="22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The information presented in this section has been derived from an industry report dated February 23, 2023 and commissioned by us and prepared by China Insights Consultancy (“CIC”), an independent research firm, to provide information regarding our industry and the regions in which we operate, including our general expectations, market position, market size, market opportunity, market share, competitive landscape, market rankings, capabilities of market participants and other management estimates. Neither we nor any other party involved in this offering has independently verified such information, and neither we nor any other party involved in this offering makes any representation as to the accuracy or completeness of such information. Investors are cautioned not to place any undue reliance on the information, including statistics and estimates, set forth in this section or similar information included elsewhere in this prospectus.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 of Autonomous Driving Industry</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Autonomous driving is expected to fundamentally change our way of life. It has been transforming, and is expected to continue to transform automotive, mobility services, freight transportation industries and various industrial and public service use cases.</w:t>
      </w:r>
    </w:p>
    <w:p>
      <w:pPr>
        <w:spacing w:after="0" w:line="162"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The Society of Automotive Engineers (“SAE”) categorized vehicle automation into six levels by the degree of driving automation. Vehicles at Level 2, or L2, can perform intelligent driving functions, such as auto lane centering and adaptive cruise control at the same time, while human drivers are still in charge of driving activities. Vehicles at Level 3, or L3, are capable of driving themselves under limited conditions, such as highways and parking lots, while human drivers are only primarily responsible for driving activities when prompted. The most fundamental transformation occurs at L4 and above, when vehicles become truly driverless, allowing human to be completely free of the task of driving and the vehicles are capable of performing all driving functions under common weather conditions.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below chart summarizes the six levels of vehicle automation as defined by the SAE: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20"/>
          </w:cols>
          <w:pgMar w:left="320" w:top="455" w:right="45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Autonomous driving is expected to undergo a tremendous upswing. The market sizes of global and mainland China’s autonomous driving market in 2021 were US$4 billion and US$1 billion, respectively. By 2030, the market sizes of global and mainland China’s autonomous driving market will reach US$1,724 billion and US$634 billion, respectively. In particular, L4 and above autonomous driving market is expected to outgrow the average growth rate for the overall autonomous driving market at a much faster pace during the same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142875</wp:posOffset>
            </wp:positionV>
            <wp:extent cx="5109210" cy="43116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09210" cy="4311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Key Benefits of Autonomous Driving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key benefits of the autonomous driving include the following:</w:t>
      </w:r>
    </w:p>
    <w:p>
      <w:pPr>
        <w:spacing w:after="0" w:line="221"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Reducing human error and road accidents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Approximately 43.2 million and 8.6 million traffic accidents occurred globally and in mainland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China in 2021, respectively. Autonomous driving can significantly reduce and may eliminate the impact of human error, which was the cause of around 90% of traffic accidents. An NEV OEM’s self-reported data showed that autonomous driving technology has been proven to reduce the number of crashes by approximately 70%. While human attention can only be kept for a relatively short period of time, machine attention can maintain at a high level constantly, which significantly alleviates the risks of road accidents due to loss of attention.</w:t>
      </w:r>
    </w:p>
    <w:p>
      <w:pPr>
        <w:spacing w:after="0" w:line="179" w:lineRule="exact"/>
        <w:rPr>
          <w:sz w:val="20"/>
          <w:szCs w:val="20"/>
          <w:color w:val="auto"/>
        </w:rPr>
      </w:pPr>
    </w:p>
    <w:p>
      <w:pPr>
        <w:ind w:left="120" w:right="3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Enhancing operational efficiency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Higher level of autonomous driving will lead to significant reduction in operating costs, including labor,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energy and other costs. Labor cost stands as the largest cost component in the</w:t>
      </w:r>
    </w:p>
    <w:p>
      <w:pPr>
        <w:spacing w:after="0" w:line="9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020"/>
          </w:cols>
          <w:pgMar w:left="320" w:top="455" w:right="55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mobility and transportation industry, and is expected to further increase. For example, in mainland China’s mobility industry, labor cost accounts for approximately 59% of the fares paid by riders. Autonomous driving can substantially reduce the labor cost after achieving driverless. Moreover, autonomous driving vehicles can operate for an extended period of time every day, improving operational efficiency remarkably.</w:t>
      </w:r>
    </w:p>
    <w:p>
      <w:pPr>
        <w:spacing w:after="0" w:line="172"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Unlocking hours spent on driving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average commuter in top tier cities in mainland China and globally spends 60-80 minutes per day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commuting. Time spent on driving is estimated to equal 4.3 years of a driver’s lifetime on average. Autonomous driving technologies and functionalities liberate drivers from the task of driving and unlock these hours spent behind the wheel, which can be devoted to other productive endeavors or in-vehicle entertainment.</w:t>
      </w:r>
    </w:p>
    <w:p>
      <w:pPr>
        <w:spacing w:after="0" w:line="176" w:lineRule="exact"/>
        <w:rPr>
          <w:sz w:val="20"/>
          <w:szCs w:val="20"/>
          <w:color w:val="auto"/>
        </w:rPr>
      </w:pPr>
    </w:p>
    <w:p>
      <w:pPr>
        <w:ind w:left="120" w:right="16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Creating environmental and social benefits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Unlike traditional vehicles operated by human drivers who inevitably need to rest, autonomous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driving vehicles can operate round the clock, achieving the same level of productivity with smaller fleet size and thus smaller carbon footprints. Autonomous driving vehicles respond more precisely when accelerating and braking, which can reduce energy consumption by 15% and therefore potentially reduce greenhouse gas emissions by up to 300 million tons a year. In addition, autonomous driving reduces social costs by reducing human errors and road accidents, while bringing social benefits by creating new forms of job opportunities.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Regulatory and Market Environment of Autonomous Driving</w:t>
      </w:r>
    </w:p>
    <w:p>
      <w:pPr>
        <w:spacing w:after="0" w:line="121" w:lineRule="exact"/>
        <w:rPr>
          <w:sz w:val="20"/>
          <w:szCs w:val="20"/>
          <w:color w:val="auto"/>
        </w:rPr>
      </w:pPr>
    </w:p>
    <w:p>
      <w:pPr>
        <w:ind w:left="120" w:right="20" w:firstLine="440"/>
        <w:spacing w:after="0" w:line="241" w:lineRule="auto"/>
        <w:rPr>
          <w:sz w:val="20"/>
          <w:szCs w:val="20"/>
          <w:color w:val="auto"/>
        </w:rPr>
      </w:pPr>
      <w:r>
        <w:rPr>
          <w:rFonts w:ascii="Times New Roman" w:cs="Times New Roman" w:eastAsia="Times New Roman" w:hAnsi="Times New Roman"/>
          <w:sz w:val="18"/>
          <w:szCs w:val="18"/>
          <w:color w:val="auto"/>
        </w:rPr>
        <w:t>The increasing awareness of the various benefits of autonomous driving has also accelerated the making of favorable governmental policies relating to the autonomous driving technology and industry development around the globe. As early as in 2017, regulations were issued in Beijing to regulate the road testing of autonomous driving vehicles. In 2020, the Guangzhou Municipal Government issued the first driverless test permit in mainland China. In 2020, 11 central level Chinese governmental departments jointly proposed to raise autonomous driving to the national strategy level, setting forth a blueprint for development and commercialization of autonomous driving vehicles up to 2035. In December 2021, the State Council of the PRC issued the “14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Five-Year” plan, which encourages the development of autonomous driving technologies. In June 2022, the first draft of regulations in mainland China on overall autonomous driving industry was released by Shenzhen government for public comment, which defined the term of autonomous driving and responsibilities and liabilities arising from autonomous driving vehicle operations. The overall regulatory regime for autonomous driving vehicles in mainland China have been advancing in tandem with road testing and commercial operation.</w:t>
      </w:r>
    </w:p>
    <w:p>
      <w:pPr>
        <w:spacing w:after="0" w:line="197"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U.S. government has been making legislative efforts to boost the development and paving the way for large-scale commercialization of self-driving vehicles as well. As early as 2016, the U.S. National Economic Council and the U.S. Department of Transportation released standards that describe how the vehicle should react if the autonomous system fails. After that, the U.S. Department of Transportation has released several updates to facilitate and stimulate the research, testing and implementation of autonomous driving technologies. In 2018, the government of California issued the first driverless test permit in the U.S. Furthermore, in March 2022, the U.S. National Highway Traffic Safety Administration issued new safety regulations to allow the elimination of controls such as steering wheels and brakes in fully-autonomous driving vehicles.</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Mainland China has a number of unique advantages that make it the beachhead for autonomous driving, creating an environment in which industry participants in mainland China can grow into global leaders. Mainland China’s autonomous driving market is expected to see a combined CAGR of 87% from 2025 to 2030, with L2 and L3 autonomous driving growing at a CAGR of 36%, and L4 and above autonomous driving growing at a CAGR of 106%, respectively. The complex road conditions in mainland China contribute to the rapid iteration of autonomous driving algorithms. Meanwhile, the more advanced technology infrastructure in mainland China such as 5G and smart city devices further accelerates the commercialization of autonomous driving. Furthermore, Chinese consumers have shown strong demand for intelligent features in automobiles, which encourages automakers to develop autonomous driving technology that offers advanced connectivity features.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100"/>
          </w:cols>
          <w:pgMar w:left="320" w:top="455" w:right="47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Commercialization of Autonomous Driving</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Commercialization of L4 and above Autonomous Driving</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commercialization of L4 and above autonomous driving is expected to take shape in various use cases. By 2030, the market sizes of global and mainland China’s L4 and above autonomous driving are expected to reach US$1,523 billion and US$577 billion, respectively. Over the next decade, L4 and above autonomous driving technology will commercialize through robotaxi, robobus, intra-city and inter-city robo logistics vehicle, robosweeper, other industrial and urban service vehicles and other passenger vehicles. Use cases in public utilities and industrial settings such as robobus and robosweeper are expected to commercialize on a large scale starting from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145415</wp:posOffset>
            </wp:positionV>
            <wp:extent cx="4560570" cy="35915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560570" cy="3591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1"/>
          <w:szCs w:val="11"/>
          <w:i w:val="1"/>
          <w:iCs w:val="1"/>
          <w:color w:val="auto"/>
        </w:rPr>
        <w:t>Note: Others mainly include applications in factories, mines, ports, last-mile delivery scenarios and L4 and above passenger vehicles.</w:t>
      </w:r>
    </w:p>
    <w:p>
      <w:pPr>
        <w:spacing w:after="0" w:line="20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key areas of application of L4 and above autonomous driving technology are as follows:</w:t>
      </w:r>
    </w:p>
    <w:p>
      <w:pPr>
        <w:spacing w:after="0" w:line="223" w:lineRule="exact"/>
        <w:rPr>
          <w:sz w:val="20"/>
          <w:szCs w:val="20"/>
          <w:color w:val="auto"/>
        </w:rPr>
      </w:pPr>
    </w:p>
    <w:p>
      <w:pPr>
        <w:jc w:val="both"/>
        <w:ind w:left="120" w:right="6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Robotaxi. </w:t>
      </w:r>
      <w:r>
        <w:rPr>
          <w:rFonts w:ascii="Times New Roman" w:cs="Times New Roman" w:eastAsia="Times New Roman" w:hAnsi="Times New Roman"/>
          <w:sz w:val="18"/>
          <w:szCs w:val="18"/>
          <w:color w:val="auto"/>
        </w:rPr>
        <w:t>The robotaxi pilot started in 2019, and is still in early stage. The huge leap is expected to occur in 2024 when commercial production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robotaxi begins. Global and mainland China’s market sizes of robotaxi are expected to reach US$15 billion and US$5 billion in 2025, respectively, and US$544 billion and US$201 billion in 2030, respectively, with a CAGR of 105% and 111% from 2025 to 2030, respectively.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120"/>
          </w:cols>
          <w:pgMar w:left="320" w:top="455" w:right="45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208280</wp:posOffset>
            </wp:positionV>
            <wp:extent cx="5100320" cy="180022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0032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Robotaxi represents superior unit economics and higher profitability as compared to traditional taxi due to the reduction of labor costs associated with human drivers. Robotaxi platforms are estimated to have an extra gross margin headroom of at least to 43% compared to traditional shared mobility platforms by 2027 in mainland China. Such gross margin headroom may reach up to 70% in developed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140335</wp:posOffset>
            </wp:positionV>
            <wp:extent cx="5177790" cy="353187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77790" cy="3531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Robobus. </w:t>
      </w:r>
      <w:r>
        <w:rPr>
          <w:rFonts w:ascii="Times New Roman" w:cs="Times New Roman" w:eastAsia="Times New Roman" w:hAnsi="Times New Roman"/>
          <w:sz w:val="18"/>
          <w:szCs w:val="18"/>
          <w:color w:val="auto"/>
        </w:rPr>
        <w:t>As bus routes are largely pre-determined, robobus is expected to be one of the earliest commercial adoptions of autonomous driving.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deployment of robobus started as early as in 2018 in closed road environment, in 2020 in open road environment and achieved driverless in 2021. The market sizes of global and mainland China’s robobus market are expected to reach US$8 billion and US$4 billion in 2025, and further to increase to US$75 billion and US$31 billion in 2030, respectively.</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120"/>
          </w:cols>
          <w:pgMar w:left="320" w:top="455" w:right="45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208280</wp:posOffset>
            </wp:positionV>
            <wp:extent cx="5100320" cy="180022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0032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Robobus eases the shortage of bus drivers, which has become an imminent challenge to the public transportation system globally in recent years. Buses are an important option for city dwellers in their daily public commute. However, the shortage of drivers and the aging of the workforce in this public service sector are slowing down the development of bus service in major cities. In Europe, 7% of bus and coach driver positions were unfilled in 2021. Robobus, which can operate safely without human driver and operate for extended hours in any given day, is an ideal solution to such pain points.</w:t>
      </w:r>
    </w:p>
    <w:p>
      <w:pPr>
        <w:spacing w:after="0" w:line="162"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Robo Logistics Vehicles. </w:t>
      </w:r>
      <w:r>
        <w:rPr>
          <w:rFonts w:ascii="Times New Roman" w:cs="Times New Roman" w:eastAsia="Times New Roman" w:hAnsi="Times New Roman"/>
          <w:sz w:val="18"/>
          <w:szCs w:val="18"/>
          <w:color w:val="auto"/>
        </w:rPr>
        <w:t>Intra-city freight transportation typically refers to transportation within 100 km between large distribution centers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located in the same province or city. Inter-city transportation refers to transportation between cities whereby travel range exceeds 100 km. The market sizes of global and mainland China’s robo logistics vehicles are expected to reach US$13 billion and US$3 billion in 2025, and US$784 billion and US$294 billion in 2030, respectively.</w:t>
      </w:r>
    </w:p>
    <w:p>
      <w:pPr>
        <w:spacing w:after="0" w:line="18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technical similarity with robotaxis and robobus, readiness of hardware and favorable regulations allowed robo logistics vehicles to commercialize in the intra-city setting before the inter-city setting. Commercialization of robo logistics vehicles for intra-city transportation took place in 2022, initially on largely pre-determined routes from distribution centers to sub-centers. In terms of intra-city transportation, global and mainland China’s market sizes are expected to reach US$285 billion and US$118 billion in 2030,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142875</wp:posOffset>
            </wp:positionV>
            <wp:extent cx="5100320" cy="180022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0032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adoption of L4 intra-city robo logistics vehicles is expected to lower the overall operating cost by approximately 40% from approximately US$34,000 per year for a traditional intra-city logistics vehicle to approximately US$20,000 per year for an intra-city robo logistics vehicle in 2025 in mainland China.</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080"/>
          </w:cols>
          <w:pgMar w:left="320" w:top="455" w:right="49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208280</wp:posOffset>
            </wp:positionV>
            <wp:extent cx="4603115" cy="29057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603115" cy="2905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i w:val="1"/>
          <w:iCs w:val="1"/>
          <w:color w:val="auto"/>
        </w:rPr>
        <w:t>Robosweepers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Robosweepers can replace human labors for city sanitation, capable of performing sanitation services all day, under all weather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and with higher efficiency and reduced costs. The market sizes of global and mainland China’s robosweepers in 2021 were less than US$0.04 billion and less than US$0.02 billion, respectively. The market sizes of global and mainland China’s robosweepers are expected to grow to US$57 billion and US$25 billion in 2030, from US$4 billion and US$2 billion in 2025,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143510</wp:posOffset>
            </wp:positionV>
            <wp:extent cx="5126355" cy="18345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26355" cy="183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Street sanitation is a labor-intensive job with inherent health and safety risks. Workers in the urban street sanitation sector are required to work long hours, often in dangerous environment and sometimes in extreme weather conditions. In addition, the job needs them to stand on motorways, expressways and other complex sections of traffic, where fatal accidents frequently occur. Robosweepers can address the shortage of street sanitation workers.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100"/>
          </w:cols>
          <w:pgMar w:left="320" w:top="455" w:right="47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autonomous driving applications. </w:t>
      </w:r>
      <w:r>
        <w:rPr>
          <w:rFonts w:ascii="Times New Roman" w:cs="Times New Roman" w:eastAsia="Times New Roman" w:hAnsi="Times New Roman"/>
          <w:sz w:val="18"/>
          <w:szCs w:val="18"/>
          <w:color w:val="auto"/>
        </w:rPr>
        <w:t>Autonomous driving vehicles can also be used in use cases in utilities and industrial services, such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factory and port logistics, airport transportations, mining and last-mile delivery, and their technology can be implemented on passenger vehicles as well. The market size of these end markets, globally and in mainland China, is expected to grow from US$4 billion and US$2 billion in 2025 to US$63 billion and US$26 billion in 2030, respectively, at CAGR of 71% and 67%.</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Commercialization of ADAS</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number of new vehicles equipped with L2-L3 capabilities, globally and in mainland China, is expected to increase from 15 million units and 4 million units in 2021, respectively, to 58 million units and 19 million units in 2025, respectively, indicating significant market opportunities for autonomous driving companies. An increased number of new energy vehicle OEMs have made ADAS functionality standard across their models, and the OTA-based ADAS functions have become a new focus for revenue growth for some OEMs. With the increasingly common adoption of ADAS, traditional OEMs and Tier 1s recognize the value of autonomous driving functionalities on their products. Providers of ADAS solutions can achieve commercialization by licensing software and technology to OEMs for mass production vehicles, which helps OEMs achieve higher safety standards and bring enhanced driving experience to consumers.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148590</wp:posOffset>
            </wp:positionV>
            <wp:extent cx="4894580" cy="27349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894580" cy="2734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Competitive Advantages of Early Movers</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Early movers in the market possess significant advantages over new entrants. The autonomous driving industry has a number of significant entry barriers which protect the early movers:</w:t>
      </w:r>
    </w:p>
    <w:p>
      <w:pPr>
        <w:spacing w:after="0" w:line="158" w:lineRule="exact"/>
        <w:rPr>
          <w:sz w:val="20"/>
          <w:szCs w:val="20"/>
          <w:color w:val="auto"/>
        </w:rPr>
      </w:pPr>
    </w:p>
    <w:p>
      <w:pPr>
        <w:ind w:left="120" w:right="6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High technological barrier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 of autonomous driving technology would require extensive time, resources and superior knowledge.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addition, the intellectual properties that are at the core of major players’ businesses in the autonomous driving industry are usually held in the form of proprietary trade secrets rather than patents, making it difficult for new entrants to benefit from early movers’ industry know-how. There is no shortcut in the autonomous driving industry for new entrants. Moreover, the inherent shortage in top technology leaders and R&amp;D engineers means only a handful of leading industry participants will have the human resources required to achieve success.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120"/>
          </w:cols>
          <w:pgMar w:left="320" w:top="455" w:right="45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16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Accumulation of massive data and operation mileage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L4 autonomous driving vehicles must be operated under real road conditions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accumulate meaningful data for training and upgrading of the system. Sufficient driving hours and mileage are required for corner cases to take place, the resolution of which helps avoid potentially serious accidents. The massive amount of multi-sensor fusion data and mileage accumulated by early movers create a formidable competitive moat.</w:t>
      </w:r>
    </w:p>
    <w:p>
      <w:pPr>
        <w:spacing w:after="0" w:line="176" w:lineRule="exact"/>
        <w:rPr>
          <w:sz w:val="20"/>
          <w:szCs w:val="20"/>
          <w:color w:val="auto"/>
        </w:rPr>
      </w:pPr>
    </w:p>
    <w:p>
      <w:pPr>
        <w:jc w:val="both"/>
        <w:ind w:left="120" w:right="10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Economies of scale. </w:t>
      </w:r>
      <w:r>
        <w:rPr>
          <w:rFonts w:ascii="Times New Roman" w:cs="Times New Roman" w:eastAsia="Times New Roman" w:hAnsi="Times New Roman"/>
          <w:sz w:val="18"/>
          <w:szCs w:val="18"/>
          <w:color w:val="auto"/>
        </w:rPr>
        <w:t>Leveraging their extensive industry know-how, early movers are more likely to be able to establish a universal and scalable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technology platform that can be quickly adapted to different use cases. Therefore, early movers can develop and deploy new products much faster and with much lower software and hardware costs, which in turn allows them to offer more matured products at competitive pricing.</w:t>
      </w:r>
    </w:p>
    <w:p>
      <w:pPr>
        <w:spacing w:after="0" w:line="171" w:lineRule="exact"/>
        <w:rPr>
          <w:sz w:val="20"/>
          <w:szCs w:val="20"/>
          <w:color w:val="auto"/>
        </w:rPr>
      </w:pPr>
    </w:p>
    <w:p>
      <w:pPr>
        <w:ind w:left="120" w:right="6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Ecosystem partners and local expertise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Successful commercialization would require close cooperation with OEMs, Tier 1 suppliers and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partners. Early movers can establish and benefit from these important partnerships early on, whereas new entrants will find it more difficult to replicate the success of earlier entrants.</w:t>
      </w:r>
    </w:p>
    <w:p>
      <w:pPr>
        <w:spacing w:after="0" w:line="17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These entry barriers are inter-related and together formed a self-reinforcing cycle. As a result, the competitive advantages of the industry pioneers are expected to become even stronger, continuing to bolster their market positions in technology and commercialization.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-22225</wp:posOffset>
            </wp:positionV>
            <wp:extent cx="5117465" cy="39776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17465" cy="3977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060"/>
          </w:cols>
          <w:pgMar w:left="320" w:top="455" w:right="51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1"/>
          <w:szCs w:val="11"/>
          <w:i w:val="1"/>
          <w:iCs w:val="1"/>
          <w:color w:val="auto"/>
        </w:rPr>
        <w:t>Note: As of December 31, 2022</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1"/>
          <w:szCs w:val="11"/>
          <w:i w:val="1"/>
          <w:iCs w:val="1"/>
          <w:color w:val="auto"/>
        </w:rPr>
        <w:t>* WeRide focuses on intra-city logistics, and Company W and Company A focus on inter-city logistics.</w:t>
      </w:r>
    </w:p>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0"/>
          <w:szCs w:val="10"/>
          <w:color w:val="auto"/>
        </w:rPr>
        <w:t>C</w:t>
      </w:r>
      <w:r>
        <w:rPr>
          <w:rFonts w:ascii="Times New Roman" w:cs="Times New Roman" w:eastAsia="Times New Roman" w:hAnsi="Times New Roman"/>
          <w:sz w:val="10"/>
          <w:szCs w:val="10"/>
          <w:i w:val="1"/>
          <w:iCs w:val="1"/>
          <w:color w:val="auto"/>
        </w:rPr>
        <w:t>ompany W is an autonomous driving technology company headquartered in California, wholly owned by a multinational technology conglomerate holding company listed on the Nasdaq Stock Market.</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1"/>
          <w:szCs w:val="11"/>
          <w:i w:val="1"/>
          <w:iCs w:val="1"/>
          <w:color w:val="auto"/>
        </w:rPr>
        <w:t>Company C is a self-driving car company headquartered in California, wholly owned by an automotive manufacturing company listed on the New York Stock Exchange.</w:t>
      </w:r>
    </w:p>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1"/>
          <w:szCs w:val="11"/>
          <w:i w:val="1"/>
          <w:iCs w:val="1"/>
          <w:color w:val="auto"/>
        </w:rPr>
        <w:t>Company B is a mainland China-based technology company that is listed on the Nasdaq Stock Exchange and Hong Kong Stock Exchange.</w:t>
      </w:r>
    </w:p>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1"/>
          <w:szCs w:val="11"/>
          <w:i w:val="1"/>
          <w:iCs w:val="1"/>
          <w:color w:val="auto"/>
        </w:rPr>
        <w:t>Company A is a self-driving vehicle technology company that is listed on the Nasdaq Stock Market.</w:t>
      </w:r>
    </w:p>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1"/>
          <w:szCs w:val="11"/>
          <w:i w:val="1"/>
          <w:iCs w:val="1"/>
          <w:color w:val="auto"/>
        </w:rPr>
        <w:t>Company D is an autonomous driving technology company, wholly-owned by a mainland China-based company operating an online car-hailing platform.</w:t>
      </w:r>
    </w:p>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1"/>
          <w:szCs w:val="11"/>
          <w:i w:val="1"/>
          <w:iCs w:val="1"/>
          <w:color w:val="auto"/>
        </w:rPr>
        <w:t>Source: CIC report</w:t>
      </w:r>
    </w:p>
    <w:p>
      <w:pPr>
        <w:spacing w:after="0" w:line="14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0139"/>
          </w:cols>
          <w:pgMar w:left="320" w:top="455" w:right="1440"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Unless otherwise indicated, information contained in this prospectus concerning our industry and the regions in which we operate, including our general expectations, market position, market size, market opportunity, market share, competitive landscape, market rankings, capabilities of market participants and other management estimates, is based on an industry report dated February 23, 2023 and commissioned by us and prepared by CIC, to provide information regarding our industry and our market position. Neither we nor any other party involved in this offering has independently verified such information, and neither we nor any other party involved in this offering makes any representation as to the accuracy or completeness of such information. Investors are cautioned not to place any undue reliance on the information, including statistics and estimates, set forth in this section or similar information included elsewhere in this prospectus.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Mission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To transform urban living with autonomous driving.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the most commercially successful L4 autonomous driving company globally as measured by our commercialization revenue in 2021 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2022.</w:t>
      </w:r>
    </w:p>
    <w:p>
      <w:pPr>
        <w:spacing w:after="0" w:line="207"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believe our autonomous driving technology, designed primarily for vehicles that operate in urban environments, is among the most advanced and commercially proven in the world. We provide autonomous driving products and services across the widest range of use cases on open road, including in mobility, logistics, and sanitation industries.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a global leader and a first mover in the autonomous driving industry. We have achieved many first-of-its-kind milestones:</w:t>
      </w:r>
    </w:p>
    <w:p>
      <w:pPr>
        <w:spacing w:after="0" w:line="131" w:lineRule="exact"/>
        <w:rPr>
          <w:sz w:val="20"/>
          <w:szCs w:val="20"/>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company to offer paid L4 robotaxi services to the public in the world, which we launched in 2019;</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company in the world to develop a purpose-built L4 robobus designed for open road, as well as the first to launch driverless robobus services on open road to the public;</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company in the world to develop an L4 robovan dedicated to intra-city delivery of goods;</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company in the world to develop a purpose-built L4 robosweeper designed for open road as well as the first to launch driverless robosweeper urban cleaning services;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autonomous driving company in the world to accumulate 10,000 purpose-built L4 autonomous driving vehicle orders;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and only pure-play autonomous driving company in the world to obtain driverless test permits in China and the United States;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autonomous driving company to secure an official license for online ride hailing operations in China.</w:t>
      </w:r>
    </w:p>
    <w:p>
      <w:pPr>
        <w:spacing w:after="0" w:line="225"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From day one, we decided to tackle the challenges of commercial viability, practicability and scalability of autonomous driving. We believe innovation does not flourish in a vacuum, but rather must be applied in real world settings. Therefore, we embarked on a relentless pursuit of product and service offerings that are deployable, rather than experimental, commercializable, rather than conceptual, with the commitment to delivering premium products and services for our customers in various industries. This was not an easy path, but has been proven to be the right one.</w:t>
      </w:r>
    </w:p>
    <w:p>
      <w:pPr>
        <w:spacing w:after="0" w:line="180"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Today, we operate one of the world’s largest autonomous driving fleets, with over 500 vehicles and cumulative autonomous mileage of over 15 million kilometers. Our L4 autonomous driving vehicles are capable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100"/>
          </w:cols>
          <w:pgMar w:left="320" w:top="455" w:right="47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of navigating dense urban environments, operating all day and under all weather conditions. We have commenced trial and commercial operations of our autonomous driving vehicles which have been deployed to run testing and commercial pilots in 25 cities and five countries across Asia, the Middle East and North America. We are offering driverless robotaxis rides in three cities globally. Our leadership in L4 autonomous driving technology has also positioned us well for the development of cutting-edge ADAS solutions. We formed a strategic partnership with the largest Tier 1 supplier, and the partnership is expected to bring a state-of-the-art ADAS solution to the market in 2023.</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achieved revenue of RMB138.2 million (US$20.6 million) in 2021, representing a 659.3% increase compared to 2020. For the six months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ended June 30, 2022, our revenue was RMB139.7 million (US$20.9 million), representing a 463.3% increase compared to the same period in 2021. We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generate revenue primarily from (i) the sales of our L4 autonomous driving vehicles, primarily including our robobuses and robotaxis, and related sensor</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suites, and (ii) the provision of L4 autonomous driving and ADAS services, including the provision of L4 autonomous driving operational and technical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support services as well as ADAS research and development services. Our loss for the year/period was RMB694.9 million, RMB1,007.3 million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(US$150.4 million) and RMB657.9 million (US$98.2 million) in 2020, 2021 and the six months ended June 30, 2022, respectively. We had the smallest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net loss among publicly-listed L4 companies globally in 2021. Our non-IFRS adjusted net loss was RMB337.8 million, RMB423.3 million (US$63.2</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million) and RMB234.7 million (US$35.0 million) in 2020, 2021 and the six months ended June 30, 2022, respectively. For discussions of our adjusted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net loss and reconciliation of adjusted net loss to loss for the year/period, see “Management’s Discussion and Analysis of Financial Condition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Results of Operations—Non-IFRS Financial Measures” for details.</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Below are our major achievements to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171450</wp:posOffset>
            </wp:positionV>
            <wp:extent cx="5194935" cy="22199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94935" cy="221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1"/>
          <w:szCs w:val="11"/>
          <w:color w:val="auto"/>
        </w:rPr>
        <w:t>Source: CIC</w:t>
      </w:r>
    </w:p>
    <w:p>
      <w:pPr>
        <w:spacing w:after="0" w:line="1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1"/>
          <w:szCs w:val="11"/>
          <w:color w:val="auto"/>
        </w:rPr>
        <w:t>Notes:</w:t>
      </w:r>
    </w:p>
    <w:p>
      <w:pPr>
        <w:spacing w:after="0" w:line="2" w:lineRule="exact"/>
        <w:rPr>
          <w:sz w:val="20"/>
          <w:szCs w:val="20"/>
          <w:color w:val="auto"/>
        </w:rPr>
      </w:pPr>
    </w:p>
    <w:p>
      <w:pPr>
        <w:ind w:left="440" w:hanging="324"/>
        <w:spacing w:after="0"/>
        <w:tabs>
          <w:tab w:leader="none" w:pos="440" w:val="left"/>
        </w:tabs>
        <w:numPr>
          <w:ilvl w:val="0"/>
          <w:numId w:val="5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As of February 2023</w:t>
      </w:r>
    </w:p>
    <w:p>
      <w:pPr>
        <w:ind w:left="440" w:hanging="324"/>
        <w:spacing w:after="0"/>
        <w:tabs>
          <w:tab w:leader="none" w:pos="440" w:val="left"/>
        </w:tabs>
        <w:numPr>
          <w:ilvl w:val="0"/>
          <w:numId w:val="5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Subject to conditions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Market Opportunity</w:t>
      </w:r>
    </w:p>
    <w:p>
      <w:pPr>
        <w:spacing w:after="0" w:line="121" w:lineRule="exact"/>
        <w:rPr>
          <w:sz w:val="20"/>
          <w:szCs w:val="20"/>
          <w:color w:val="auto"/>
        </w:rPr>
      </w:pPr>
    </w:p>
    <w:p>
      <w:pPr>
        <w:ind w:left="120" w:right="240" w:firstLine="440"/>
        <w:spacing w:after="0" w:line="289" w:lineRule="auto"/>
        <w:rPr>
          <w:sz w:val="20"/>
          <w:szCs w:val="20"/>
          <w:color w:val="auto"/>
        </w:rPr>
      </w:pPr>
      <w:r>
        <w:rPr>
          <w:rFonts w:ascii="Times New Roman" w:cs="Times New Roman" w:eastAsia="Times New Roman" w:hAnsi="Times New Roman"/>
          <w:sz w:val="17"/>
          <w:szCs w:val="17"/>
          <w:color w:val="auto"/>
        </w:rPr>
        <w:t>Aging populations, rising labor costs, and increasing use cases in cities around the world present vast opportunities for participants in the autonomous driving industry. Autonomous driving is expected to see tremendous growth. Autonomous driving technology effectively reduces human errors and road accidents, and substantially enhances operational efficiency by reducing labor costs and maximizing the operating hours of each</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120"/>
          </w:cols>
          <w:pgMar w:left="320" w:top="455" w:right="45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vehicle. In addition, autonomous driving technology helps reduce energy consumption and greenhouse gas emissions, empowers people that are troubled with mobility difficulties and creates new forms of job opportunities, all contributing to immense environmental and social benefits. By 2030, the size of the global and mainland China’s autonomous driving market will reach US$1,724 billion and US$634 billion, respectively, representing CAGRs of 98% and 108% from 2021 to 2030, respectively. In particular, L4 autonomous driving is expected to gradually dominate the market worldwide and in mainland China, and is expected to account for 88% and 91% of the overall autonomous driving market globally and in mainland China, respectively, in terms of revenue in 2030.</w:t>
      </w:r>
    </w:p>
    <w:p>
      <w:pPr>
        <w:spacing w:after="0" w:line="187"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In addition, given mainland China’s greater market size and higher growth potential, technological advancement galvanized by its more complex road conditions, higher level of consumer acceptance and more comprehensive technology infrastructure, industry participants with significant local presence in mainland China possess unique advantages that position them to become global leaders in the field.</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L4 autonomous driving technology is believed to improve safety, enhance travel experience and reduce operating costs, and has tremendous potential to be applied in many urban use cases. The most prominent areas of application include robotaxi services, robo logistics services and other services such as robobus and robo sanitation services. The commercialization of L4 and above autonomous driving use cases is projected to reach a total of US$1,523 billion globally and US$577 billion in mainland China, representing CAGRs of 150% and 150% from 2021 to 2030, respectively. Several of these use cases are already in the early stages of commercialization and are expected to see accelerated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145415</wp:posOffset>
            </wp:positionV>
            <wp:extent cx="5160645" cy="2057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60645"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1"/>
          <w:szCs w:val="11"/>
          <w:color w:val="auto"/>
        </w:rPr>
        <w:t>Source: CIC</w:t>
      </w:r>
    </w:p>
    <w:p>
      <w:pPr>
        <w:spacing w:after="0" w:line="1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1"/>
          <w:szCs w:val="11"/>
          <w:color w:val="auto"/>
        </w:rPr>
        <w:t>Notes:</w:t>
      </w:r>
    </w:p>
    <w:p>
      <w:pPr>
        <w:spacing w:after="0" w:line="117" w:lineRule="exact"/>
        <w:rPr>
          <w:sz w:val="20"/>
          <w:szCs w:val="20"/>
          <w:color w:val="auto"/>
        </w:rPr>
      </w:pPr>
    </w:p>
    <w:p>
      <w:pPr>
        <w:ind w:left="440" w:hanging="324"/>
        <w:spacing w:after="0"/>
        <w:tabs>
          <w:tab w:leader="none" w:pos="440" w:val="left"/>
        </w:tabs>
        <w:numPr>
          <w:ilvl w:val="0"/>
          <w:numId w:val="5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Market size including all automation levels</w:t>
      </w:r>
    </w:p>
    <w:p>
      <w:pPr>
        <w:spacing w:after="0" w:line="116" w:lineRule="exact"/>
        <w:rPr>
          <w:rFonts w:ascii="Times New Roman" w:cs="Times New Roman" w:eastAsia="Times New Roman" w:hAnsi="Times New Roman"/>
          <w:sz w:val="11"/>
          <w:szCs w:val="11"/>
          <w:color w:val="auto"/>
        </w:rPr>
      </w:pPr>
    </w:p>
    <w:p>
      <w:pPr>
        <w:ind w:left="440" w:hanging="324"/>
        <w:spacing w:after="0"/>
        <w:tabs>
          <w:tab w:leader="none" w:pos="440" w:val="left"/>
        </w:tabs>
        <w:numPr>
          <w:ilvl w:val="0"/>
          <w:numId w:val="5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Including robosweeper and other applications</w:t>
      </w:r>
    </w:p>
    <w:p>
      <w:pPr>
        <w:spacing w:after="0" w:line="116" w:lineRule="exact"/>
        <w:rPr>
          <w:rFonts w:ascii="Times New Roman" w:cs="Times New Roman" w:eastAsia="Times New Roman" w:hAnsi="Times New Roman"/>
          <w:sz w:val="11"/>
          <w:szCs w:val="11"/>
          <w:color w:val="auto"/>
        </w:rPr>
      </w:pPr>
    </w:p>
    <w:p>
      <w:pPr>
        <w:ind w:left="440" w:hanging="324"/>
        <w:spacing w:after="0"/>
        <w:tabs>
          <w:tab w:leader="none" w:pos="440" w:val="left"/>
        </w:tabs>
        <w:numPr>
          <w:ilvl w:val="0"/>
          <w:numId w:val="5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Including robotaxis and robobuses</w:t>
      </w:r>
    </w:p>
    <w:p>
      <w:pPr>
        <w:spacing w:after="0" w:line="3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Value Proposition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autonomous driving products and services address the most pressing concerns that are challenging the movement of people and things:</w:t>
      </w:r>
    </w:p>
    <w:p>
      <w:pPr>
        <w:spacing w:after="0" w:line="127" w:lineRule="exact"/>
        <w:rPr>
          <w:sz w:val="20"/>
          <w:szCs w:val="20"/>
          <w:color w:val="auto"/>
        </w:rPr>
      </w:pPr>
    </w:p>
    <w:p>
      <w:pPr>
        <w:ind w:left="1080" w:right="120" w:hanging="424"/>
        <w:spacing w:after="0" w:line="268"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Safety</w:t>
      </w:r>
      <w:r>
        <w:rPr>
          <w:rFonts w:ascii="Times New Roman" w:cs="Times New Roman" w:eastAsia="Times New Roman" w:hAnsi="Times New Roman"/>
          <w:sz w:val="18"/>
          <w:szCs w:val="18"/>
          <w:color w:val="auto"/>
        </w:rPr>
        <w:t>. We believe our autonomous driving technologies can meaningfully improve transportation safety. Approximately 43.2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traffic accidents occur per year globally with over 90% attributable to human error. According to the Department of Motor Vehicles of the United States, L4 companies</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140"/>
          </w:cols>
          <w:pgMar w:left="320" w:top="455" w:right="4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line="266" w:lineRule="auto"/>
        <w:rPr>
          <w:sz w:val="20"/>
          <w:szCs w:val="20"/>
          <w:color w:val="auto"/>
        </w:rPr>
      </w:pPr>
      <w:r>
        <w:rPr>
          <w:rFonts w:ascii="Times New Roman" w:cs="Times New Roman" w:eastAsia="Times New Roman" w:hAnsi="Times New Roman"/>
          <w:sz w:val="18"/>
          <w:szCs w:val="18"/>
          <w:color w:val="auto"/>
        </w:rPr>
        <w:t>reported an average of less than 100 crashes per 100 million miles driven in 2021 compared with more than 500 crashes per 100 million miles for human drivers. Our autonomous driving vehicles have not caused any safety incidents as of the date of this prospectus after more than 1,100 days of commercial operations on open road.</w:t>
      </w:r>
    </w:p>
    <w:p>
      <w:pPr>
        <w:spacing w:after="0" w:line="77" w:lineRule="exact"/>
        <w:rPr>
          <w:sz w:val="20"/>
          <w:szCs w:val="20"/>
          <w:color w:val="auto"/>
        </w:rPr>
      </w:pPr>
    </w:p>
    <w:p>
      <w:pPr>
        <w:ind w:left="1080" w:right="20" w:hanging="424"/>
        <w:spacing w:after="0" w:line="26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Cost efficiency</w:t>
      </w:r>
      <w:r>
        <w:rPr>
          <w:rFonts w:ascii="Times New Roman" w:cs="Times New Roman" w:eastAsia="Times New Roman" w:hAnsi="Times New Roman"/>
          <w:sz w:val="18"/>
          <w:szCs w:val="18"/>
          <w:color w:val="auto"/>
        </w:rPr>
        <w:t>. Autonomous driving can reshape urban living and significantly improve unit economics through cost savings.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example, robotaxi platforms are estimated to have an extra gross margin headroom of at least 43% compared to traditional shared mobility platforms by 2027; robovans are estimated to have approximately 40% lower annual operating cost compared with traditional vans by 2025, each in mainland China.</w:t>
      </w:r>
    </w:p>
    <w:p>
      <w:pPr>
        <w:spacing w:after="0" w:line="81" w:lineRule="exact"/>
        <w:rPr>
          <w:rFonts w:ascii="Times New Roman" w:cs="Times New Roman" w:eastAsia="Times New Roman" w:hAnsi="Times New Roman"/>
          <w:sz w:val="18"/>
          <w:szCs w:val="18"/>
          <w:color w:val="auto"/>
        </w:rPr>
      </w:pPr>
    </w:p>
    <w:p>
      <w:pPr>
        <w:ind w:left="1080" w:right="40" w:hanging="424"/>
        <w:spacing w:after="0" w:line="259"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Environmental and social impact</w:t>
      </w:r>
      <w:r>
        <w:rPr>
          <w:rFonts w:ascii="Times New Roman" w:cs="Times New Roman" w:eastAsia="Times New Roman" w:hAnsi="Times New Roman"/>
          <w:sz w:val="18"/>
          <w:szCs w:val="18"/>
          <w:color w:val="auto"/>
        </w:rPr>
        <w:t>. We are committed to building a more sustainable future and bringing positive changes to communities.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autonomous driving technologies enable a more efficient transportation network with higher vehicle utilization and less congestion and alleviate any shortage of human drivers. Compared to human operations, L4 autonomous driving can deliver over 15% better fuel efficiency through optimized control which then leads to a measurable reduction in carbon emissions. Autonomous driving vehicles also render transportation more accessible to certain individuals, particularly people with mobility difficulties.</w:t>
      </w:r>
    </w:p>
    <w:p>
      <w:pPr>
        <w:spacing w:after="0" w:line="84" w:lineRule="exact"/>
        <w:rPr>
          <w:rFonts w:ascii="Times New Roman" w:cs="Times New Roman" w:eastAsia="Times New Roman" w:hAnsi="Times New Roman"/>
          <w:sz w:val="18"/>
          <w:szCs w:val="18"/>
          <w:color w:val="auto"/>
        </w:rPr>
      </w:pPr>
    </w:p>
    <w:p>
      <w:pPr>
        <w:ind w:left="1080" w:right="80" w:hanging="424"/>
        <w:spacing w:after="0" w:line="259"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Quality of life</w:t>
      </w:r>
      <w:r>
        <w:rPr>
          <w:rFonts w:ascii="Times New Roman" w:cs="Times New Roman" w:eastAsia="Times New Roman" w:hAnsi="Times New Roman"/>
          <w:sz w:val="18"/>
          <w:szCs w:val="18"/>
          <w:color w:val="auto"/>
        </w:rPr>
        <w:t>. Our autonomous driving technologies breathe life into the time spent in transit by removing the hours spent behind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wheels, which is estimated to equal 4.3 years of each driver’s lifetime on average, and enabling avenues for improved productivity and in-vehicle experience. Consumers are also expected to save around 20% to 30% of travel time as a result of L4 or above road automation. Brand new vehicle designs are made possible in the absence of driver seats, steering wheels and pedals and a driverless ride offers the greatest privacy on board.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WeRide One</w:t>
      </w:r>
    </w:p>
    <w:p>
      <w:pPr>
        <w:spacing w:after="0" w:line="119" w:lineRule="exact"/>
        <w:rPr>
          <w:sz w:val="20"/>
          <w:szCs w:val="20"/>
          <w:color w:val="auto"/>
        </w:rPr>
      </w:pPr>
    </w:p>
    <w:p>
      <w:pPr>
        <w:ind w:left="120" w:right="100" w:firstLine="440"/>
        <w:spacing w:after="0" w:line="267" w:lineRule="auto"/>
        <w:rPr>
          <w:sz w:val="20"/>
          <w:szCs w:val="20"/>
          <w:color w:val="auto"/>
        </w:rPr>
      </w:pPr>
      <w:r>
        <w:rPr>
          <w:rFonts w:ascii="Times New Roman" w:cs="Times New Roman" w:eastAsia="Times New Roman" w:hAnsi="Times New Roman"/>
          <w:sz w:val="18"/>
          <w:szCs w:val="18"/>
          <w:color w:val="auto"/>
        </w:rPr>
        <w:t xml:space="preserve">We are the first to develop a universal autonomous driving technology platform,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 which can be directly applied in a wide range of urban-centered use cases integrating full-stack software algorithms, modularized hardware solutions and a cloud-based infrastructure platform. </w:t>
      </w:r>
      <w:r>
        <w:rPr>
          <w:rFonts w:ascii="Times New Roman" w:cs="Times New Roman" w:eastAsia="Times New Roman" w:hAnsi="Times New Roman"/>
          <w:sz w:val="18"/>
          <w:szCs w:val="18"/>
          <w:i w:val="1"/>
          <w:iCs w:val="1"/>
          <w:color w:val="auto"/>
        </w:rPr>
        <w:t>WeRide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One </w:t>
      </w:r>
      <w:r>
        <w:rPr>
          <w:rFonts w:ascii="Times New Roman" w:cs="Times New Roman" w:eastAsia="Times New Roman" w:hAnsi="Times New Roman"/>
          <w:sz w:val="18"/>
          <w:szCs w:val="18"/>
          <w:color w:val="auto"/>
        </w:rPr>
        <w:t>applies to the largest number of proven use cases on open road and gives us a foundational advantage as compared with our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140335</wp:posOffset>
            </wp:positionV>
            <wp:extent cx="5194935" cy="29146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94935" cy="291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080"/>
          </w:cols>
          <w:pgMar w:left="320" w:top="455" w:right="49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Below are the key features of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ind w:left="1080" w:hanging="424"/>
        <w:spacing w:after="0" w:line="254"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Universal Platform</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a one-for-all and all-for-one platform for urban autonomous driving. The universality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manifested on both the software and hardware levels. Our vehicles are powered by substantially the same algorithms which enable vehicles with different sensor configurations to autonomously navigate in an urban environment. Specifically,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s perception model is trained to adapt to a wide range of sensor configurations and vehicle types, and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’s planning algorithms target general urban driving scenarios and can be flexibly deployed to suit multiple use cases.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s control algorithms are also applicable to many use cases. On the hardware level, the sensor suite can be easily configured for different vehicle types in a modular form while sharing more than 90% of their parts. The result is our algorithms and underlying infrastructure can self-improve faster based on feedback data from all of our existing autonomous driving use cases. It also allows our technology to easily adapt to new vehicle types and explore new applications.</w:t>
      </w:r>
    </w:p>
    <w:p>
      <w:pPr>
        <w:spacing w:after="0" w:line="93" w:lineRule="exact"/>
        <w:rPr>
          <w:rFonts w:ascii="Times New Roman" w:cs="Times New Roman" w:eastAsia="Times New Roman" w:hAnsi="Times New Roman"/>
          <w:sz w:val="18"/>
          <w:szCs w:val="18"/>
          <w:color w:val="auto"/>
        </w:rPr>
      </w:pPr>
    </w:p>
    <w:p>
      <w:pPr>
        <w:ind w:left="1080" w:hanging="424"/>
        <w:spacing w:after="0" w:line="257"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Self-Improving Algorithms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employs deep learning models designed in-house for perception, prediction, planning and control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modules. Unlike algorithms based on predefined rules, these models are built to be able to self-improve based on input of driving data. We have also built a cloud-based data platform covering the full data feedback loop including the different stages of data processing, distributed model training, model verification, and model deployment systems. We have accumulated over 15 million kilometers of autonomous driving mileage. The models are automatically refreshed with new data and trained over a cloud-based distributed platform. The trained models are then verified and deployed to the whole fleet.</w:t>
      </w:r>
    </w:p>
    <w:p>
      <w:pPr>
        <w:spacing w:after="0" w:line="87" w:lineRule="exact"/>
        <w:rPr>
          <w:rFonts w:ascii="Times New Roman" w:cs="Times New Roman" w:eastAsia="Times New Roman" w:hAnsi="Times New Roman"/>
          <w:sz w:val="18"/>
          <w:szCs w:val="18"/>
          <w:color w:val="auto"/>
        </w:rPr>
      </w:pPr>
    </w:p>
    <w:p>
      <w:pPr>
        <w:ind w:left="1080" w:right="140" w:hanging="424"/>
        <w:spacing w:after="0" w:line="273" w:lineRule="auto"/>
        <w:tabs>
          <w:tab w:leader="none" w:pos="108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Fully Redundant System</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WeRide One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has full redundancy to ensure safety in both the software and hardware layers as well as on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operation level. We provide redundancy for sensors, computing units, communication networks, power supply units and drive-by-wire systems. The software system is safety-redundant not only at a system level – where a redundant software system runs on a redundant computing unit – but also at an algorithm level, significantly improving the reliability of </w:t>
      </w:r>
      <w:r>
        <w:rPr>
          <w:rFonts w:ascii="Times New Roman" w:cs="Times New Roman" w:eastAsia="Times New Roman" w:hAnsi="Times New Roman"/>
          <w:sz w:val="17"/>
          <w:szCs w:val="17"/>
          <w:i w:val="1"/>
          <w:iCs w:val="1"/>
          <w:color w:val="auto"/>
        </w:rPr>
        <w:t>WeRide One</w:t>
      </w:r>
      <w:r>
        <w:rPr>
          <w:rFonts w:ascii="Times New Roman" w:cs="Times New Roman" w:eastAsia="Times New Roman" w:hAnsi="Times New Roman"/>
          <w:sz w:val="17"/>
          <w:szCs w:val="17"/>
          <w:color w:val="auto"/>
        </w:rPr>
        <w:t>. We adopt causal prediction models and planning models which always ensure worst case handling capability while interacting with other road participants. Meanwhile, our remote assistance platform offers additional support to our autonomous driving vehicles amid complex road conditions. In addition to the uncompromising focus on safety benefits, our redundancy design also delivers an optimal level of comfort for people onboard.</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Below are the key benefits of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 and our universal autonomous driving technology platform approach:</w:t>
      </w:r>
    </w:p>
    <w:p>
      <w:pPr>
        <w:spacing w:after="0" w:line="129" w:lineRule="exact"/>
        <w:rPr>
          <w:sz w:val="20"/>
          <w:szCs w:val="20"/>
          <w:color w:val="auto"/>
        </w:rPr>
      </w:pPr>
    </w:p>
    <w:p>
      <w:pPr>
        <w:ind w:left="1080" w:hanging="424"/>
        <w:spacing w:after="0" w:line="262"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Technological Leadership</w:t>
      </w:r>
      <w:r>
        <w:rPr>
          <w:rFonts w:ascii="Times New Roman" w:cs="Times New Roman" w:eastAsia="Times New Roman" w:hAnsi="Times New Roman"/>
          <w:sz w:val="18"/>
          <w:szCs w:val="18"/>
          <w:color w:val="auto"/>
        </w:rPr>
        <w:t>. We have developed an industry-leading technology framework across all algorithm stacks. Our self-improving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algorithms can be trained by data collected across all use cases on our platform and their evolution is further accelerated by the universality of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This forms a virtuous cycle where the more data we collect from these different use cases, the better our algorithms become, which in turn enables us to expand our operations in existing and new use cases.</w:t>
      </w:r>
    </w:p>
    <w:p>
      <w:pPr>
        <w:spacing w:after="0" w:line="81" w:lineRule="exact"/>
        <w:rPr>
          <w:rFonts w:ascii="Times New Roman" w:cs="Times New Roman" w:eastAsia="Times New Roman" w:hAnsi="Times New Roman"/>
          <w:sz w:val="18"/>
          <w:szCs w:val="18"/>
          <w:color w:val="auto"/>
        </w:rPr>
      </w:pPr>
    </w:p>
    <w:p>
      <w:pPr>
        <w:ind w:left="1080" w:right="20" w:hanging="424"/>
        <w:spacing w:after="0" w:line="256"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Faster Commercialization</w:t>
      </w:r>
      <w:r>
        <w:rPr>
          <w:rFonts w:ascii="Times New Roman" w:cs="Times New Roman" w:eastAsia="Times New Roman" w:hAnsi="Times New Roman"/>
          <w:sz w:val="18"/>
          <w:szCs w:val="18"/>
          <w:color w:val="auto"/>
        </w:rPr>
        <w:t>. We have taken advantage of the similarity in the operating requirements of robobuses, robovans,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robosweepers as compared with robotaxis to be able to commercialize our products faster than other L4 players. We benefit from the economies of scale, operating experience, brand reputation, income, business and other relationships as well as the technical improvement that we have acquired from these early commercialized use cases while remaining focused on improving our robotaxi product. As an example, we secured the first commercial project for our robobus and robosweeper four months after their respective launches and quickly became a leading player in the global market. We believe our technology and product advantages enable us to achieve commercially viable operations ahead of our peers.</w:t>
      </w:r>
    </w:p>
    <w:p>
      <w:pPr>
        <w:spacing w:after="0" w:line="88" w:lineRule="exact"/>
        <w:rPr>
          <w:rFonts w:ascii="Times New Roman" w:cs="Times New Roman" w:eastAsia="Times New Roman" w:hAnsi="Times New Roman"/>
          <w:sz w:val="18"/>
          <w:szCs w:val="18"/>
          <w:color w:val="auto"/>
        </w:rPr>
      </w:pPr>
    </w:p>
    <w:p>
      <w:pPr>
        <w:ind w:left="1080" w:right="120" w:hanging="424"/>
        <w:spacing w:after="0" w:line="286"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Cost Efficiency Across Multiple Use Cases.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developed to handle a vast range of urban use cases including urban mobility,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logistics and other urban services. The technical capability we have</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120"/>
          </w:cols>
          <w:pgMar w:left="320" w:top="455" w:right="45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100"/>
        <w:spacing w:after="0" w:line="261" w:lineRule="auto"/>
        <w:rPr>
          <w:sz w:val="20"/>
          <w:szCs w:val="20"/>
          <w:color w:val="auto"/>
        </w:rPr>
      </w:pPr>
      <w:r>
        <w:rPr>
          <w:rFonts w:ascii="Times New Roman" w:cs="Times New Roman" w:eastAsia="Times New Roman" w:hAnsi="Times New Roman"/>
          <w:sz w:val="18"/>
          <w:szCs w:val="18"/>
          <w:color w:val="auto"/>
        </w:rPr>
        <w:t>acquired in urban use cases allows us to explore applications that come with different operating environments and has enabled us to make a foray into ADAS solutions. Our investment in building a universal autonomous driving technology platform has also helped us achieve a high level of commonality in software and hardware across our products, which in turn allows us to enjoy higher supply chain efficiencies and expand into new use cases with lowered R&amp;D, operating and production costs in the long run.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Wide-ranging Products and Services</w:t>
      </w:r>
    </w:p>
    <w:p>
      <w:pPr>
        <w:spacing w:after="0" w:line="119" w:lineRule="exact"/>
        <w:rPr>
          <w:sz w:val="20"/>
          <w:szCs w:val="20"/>
          <w:color w:val="auto"/>
        </w:rPr>
      </w:pPr>
    </w:p>
    <w:p>
      <w:pPr>
        <w:jc w:val="both"/>
        <w:ind w:left="120" w:right="180" w:firstLine="440"/>
        <w:spacing w:after="0" w:line="315" w:lineRule="auto"/>
        <w:rPr>
          <w:sz w:val="20"/>
          <w:szCs w:val="20"/>
          <w:color w:val="auto"/>
        </w:rPr>
      </w:pPr>
      <w:r>
        <w:rPr>
          <w:rFonts w:ascii="Times New Roman" w:cs="Times New Roman" w:eastAsia="Times New Roman" w:hAnsi="Times New Roman"/>
          <w:sz w:val="17"/>
          <w:szCs w:val="17"/>
          <w:color w:val="auto"/>
        </w:rPr>
        <w:t xml:space="preserve">The adaptability of </w:t>
      </w:r>
      <w:r>
        <w:rPr>
          <w:rFonts w:ascii="Times New Roman" w:cs="Times New Roman" w:eastAsia="Times New Roman" w:hAnsi="Times New Roman"/>
          <w:sz w:val="17"/>
          <w:szCs w:val="17"/>
          <w:i w:val="1"/>
          <w:iCs w:val="1"/>
          <w:color w:val="auto"/>
        </w:rPr>
        <w:t>WeRide One</w:t>
      </w:r>
      <w:r>
        <w:rPr>
          <w:rFonts w:ascii="Times New Roman" w:cs="Times New Roman" w:eastAsia="Times New Roman" w:hAnsi="Times New Roman"/>
          <w:sz w:val="17"/>
          <w:szCs w:val="17"/>
          <w:color w:val="auto"/>
        </w:rPr>
        <w:t xml:space="preserve"> enables us to develop a wide range of use cases, including mobility, logistics and sanitation, and commercialize our leading technology ahead of our peers. From there, we have set out on a journey that goes from development, validation, to launch and expansion.</w:t>
      </w:r>
    </w:p>
    <w:p>
      <w:pPr>
        <w:spacing w:after="0" w:line="6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100"/>
          </w:cols>
          <w:pgMar w:left="320" w:top="455" w:right="47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diagram below illustrates our product development roadmap and key commercialization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179070</wp:posOffset>
            </wp:positionV>
            <wp:extent cx="5186045" cy="65919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86045" cy="6591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0139"/>
          </w:cols>
          <w:pgMar w:left="320" w:top="455" w:right="1440"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Go-to-Market Strategy</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go-to-market strategy is rooted in a commitment to address real world problems. We follow a pragmatic and balanced approach towards product and service development and commercialization. We understand the needs of our customers and focus on building commercially viable products and services, which in turn accelerates the public adoption of autonomous driving vehicles. We intend to adopt an asset-light model across our different business lines.</w:t>
      </w:r>
    </w:p>
    <w:p>
      <w:pPr>
        <w:spacing w:after="0" w:line="81" w:lineRule="exact"/>
        <w:rPr>
          <w:sz w:val="20"/>
          <w:szCs w:val="20"/>
          <w:color w:val="auto"/>
        </w:rPr>
      </w:pPr>
    </w:p>
    <w:p>
      <w:pPr>
        <w:ind w:left="1080" w:right="40" w:hanging="424"/>
        <w:spacing w:after="0" w:line="257"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Robotaxi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Robotaxi is our debut use case. We provide robotaxi services through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WeRide Go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 our own shared mobility network.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partner with leading OEMs to develop and sell robotaxis that are operated on </w:t>
      </w:r>
      <w:r>
        <w:rPr>
          <w:rFonts w:ascii="Times New Roman" w:cs="Times New Roman" w:eastAsia="Times New Roman" w:hAnsi="Times New Roman"/>
          <w:sz w:val="18"/>
          <w:szCs w:val="18"/>
          <w:i w:val="1"/>
          <w:iCs w:val="1"/>
          <w:color w:val="auto"/>
        </w:rPr>
        <w:t>WeRide Go</w:t>
      </w:r>
      <w:r>
        <w:rPr>
          <w:rFonts w:ascii="Times New Roman" w:cs="Times New Roman" w:eastAsia="Times New Roman" w:hAnsi="Times New Roman"/>
          <w:sz w:val="18"/>
          <w:szCs w:val="18"/>
          <w:color w:val="auto"/>
        </w:rPr>
        <w:t xml:space="preserve">. In addition to our product revenue, we also generate revenue from the offering of robotaxi rides through </w:t>
      </w:r>
      <w:r>
        <w:rPr>
          <w:rFonts w:ascii="Times New Roman" w:cs="Times New Roman" w:eastAsia="Times New Roman" w:hAnsi="Times New Roman"/>
          <w:sz w:val="18"/>
          <w:szCs w:val="18"/>
          <w:i w:val="1"/>
          <w:iCs w:val="1"/>
          <w:color w:val="auto"/>
        </w:rPr>
        <w:t>WeRide Go</w:t>
      </w:r>
      <w:r>
        <w:rPr>
          <w:rFonts w:ascii="Times New Roman" w:cs="Times New Roman" w:eastAsia="Times New Roman" w:hAnsi="Times New Roman"/>
          <w:sz w:val="18"/>
          <w:szCs w:val="18"/>
          <w:color w:val="auto"/>
        </w:rPr>
        <w:t>. Today, we operate one of the world’s largest open-to-public paid robotaxi fleet. We have operated paid robotaxi services to the public in populated downtown areas in Guangzhou, China since November 2019 and our robotaxis have completed more than 1,100 days of commercial operations on open road. We aim to commence commercial production of our robotaxis and achieve readiness for large-scale commercialization in 2024 and 2025, respectively.</w:t>
      </w:r>
    </w:p>
    <w:p>
      <w:pPr>
        <w:spacing w:after="0" w:line="87" w:lineRule="exact"/>
        <w:rPr>
          <w:rFonts w:ascii="Times New Roman" w:cs="Times New Roman" w:eastAsia="Times New Roman" w:hAnsi="Times New Roman"/>
          <w:sz w:val="18"/>
          <w:szCs w:val="18"/>
          <w:color w:val="auto"/>
        </w:rPr>
      </w:pPr>
    </w:p>
    <w:p>
      <w:pPr>
        <w:ind w:left="1080" w:right="20" w:hanging="424"/>
        <w:spacing w:after="0" w:line="259"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Robobus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were the first company in the world to develop a purpose-built L4 robobus designed for open road and launch driverless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robobus service to the public. We work with Yutong to manufacture our robobus. Our business model is primarily to sell robobuses to local transportation service providers and provide them with support for the operation of these vehicles. As of December 31, 2022, we had produced over 200 robobuses in partnership with Yutong which had been deployed to run commercial pilots in 18 cities in China and the Middle East.</w:t>
      </w:r>
    </w:p>
    <w:p>
      <w:pPr>
        <w:spacing w:after="0" w:line="84" w:lineRule="exact"/>
        <w:rPr>
          <w:rFonts w:ascii="Times New Roman" w:cs="Times New Roman" w:eastAsia="Times New Roman" w:hAnsi="Times New Roman"/>
          <w:sz w:val="18"/>
          <w:szCs w:val="18"/>
          <w:color w:val="auto"/>
        </w:rPr>
      </w:pPr>
    </w:p>
    <w:p>
      <w:pPr>
        <w:ind w:left="1080" w:right="20" w:hanging="424"/>
        <w:spacing w:after="0" w:line="259"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Robovan. </w:t>
      </w:r>
      <w:r>
        <w:rPr>
          <w:rFonts w:ascii="Times New Roman" w:cs="Times New Roman" w:eastAsia="Times New Roman" w:hAnsi="Times New Roman"/>
          <w:sz w:val="18"/>
          <w:szCs w:val="18"/>
          <w:color w:val="auto"/>
        </w:rPr>
        <w:t>We launched the world’s first L4 robovan dedicated to intra-city delivery of goods in urban cities in September 2021. We partner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leading global OEMs, such as JMC-Ford Motors, in the manufacturing of our robovans. We have commenced road testing for our robovans and have reached an understanding with ZTO, a leading express delivery company, regarding future orders of our robovan. We adopt a flexible business model where we sell our robovan to our customers and also provide autonomous freight-as-a-service to them. We have received conditional orders for over 10,000 units of our robovan.</w:t>
      </w:r>
    </w:p>
    <w:p>
      <w:pPr>
        <w:spacing w:after="0" w:line="84" w:lineRule="exact"/>
        <w:rPr>
          <w:rFonts w:ascii="Times New Roman" w:cs="Times New Roman" w:eastAsia="Times New Roman" w:hAnsi="Times New Roman"/>
          <w:sz w:val="18"/>
          <w:szCs w:val="18"/>
          <w:color w:val="auto"/>
        </w:rPr>
      </w:pPr>
    </w:p>
    <w:p>
      <w:pPr>
        <w:ind w:left="1080" w:right="160" w:hanging="424"/>
        <w:spacing w:after="0" w:line="259"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Robosweeper. </w:t>
      </w:r>
      <w:r>
        <w:rPr>
          <w:rFonts w:ascii="Times New Roman" w:cs="Times New Roman" w:eastAsia="Times New Roman" w:hAnsi="Times New Roman"/>
          <w:sz w:val="18"/>
          <w:szCs w:val="18"/>
          <w:color w:val="auto"/>
        </w:rPr>
        <w:t>We have developed the world’s first purpose-built robosweeper designed for open road, featuring a fully driverless design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 large tank volume of six tons. Our business model is primarily to provide robo road cleaning services and sell our robosweepers to public cleaning service providers. Our robosweeper has entered commercial production since the first half of 2022. We have successfully rolled out fee-charging large-scale commercial pilots with a fleet of more than 50 robosweepers in Guangzhou, China since 2022, while covering a testing and operational area totaling 800 square kilometers.</w:t>
      </w:r>
    </w:p>
    <w:p>
      <w:pPr>
        <w:spacing w:after="0" w:line="84" w:lineRule="exact"/>
        <w:rPr>
          <w:rFonts w:ascii="Times New Roman" w:cs="Times New Roman" w:eastAsia="Times New Roman" w:hAnsi="Times New Roman"/>
          <w:sz w:val="18"/>
          <w:szCs w:val="18"/>
          <w:color w:val="auto"/>
        </w:rPr>
      </w:pPr>
    </w:p>
    <w:p>
      <w:pPr>
        <w:ind w:left="1080" w:hanging="424"/>
        <w:spacing w:after="0" w:line="262"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ADAS solutions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leadership in L4 autonomous driving technology has also positioned us well for the development of cutting-edge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ADAS solutions which are enjoying a booming market. We formed a strategic partnership with the largest Tier 1 supplier under which we, as a Tier 2 supplier, provide key technologies and ecosystem support. The partnership is expected to bring a state-of-the-art ADAS solution to the market in 2023.</w:t>
      </w:r>
    </w:p>
    <w:p>
      <w:pPr>
        <w:spacing w:after="0" w:line="200" w:lineRule="exact"/>
        <w:rPr>
          <w:sz w:val="20"/>
          <w:szCs w:val="20"/>
          <w:color w:val="auto"/>
        </w:rPr>
      </w:pPr>
    </w:p>
    <w:p>
      <w:pPr>
        <w:spacing w:after="0" w:line="3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Strengths</w:t>
      </w:r>
    </w:p>
    <w:p>
      <w:pPr>
        <w:spacing w:after="0" w:line="131" w:lineRule="exact"/>
        <w:rPr>
          <w:sz w:val="20"/>
          <w:szCs w:val="20"/>
          <w:color w:val="auto"/>
        </w:rPr>
      </w:pPr>
    </w:p>
    <w:p>
      <w:pPr>
        <w:ind w:left="1080" w:right="220" w:hanging="424"/>
        <w:spacing w:after="0" w:line="259"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Successful and sustainable business model. </w:t>
      </w:r>
      <w:r>
        <w:rPr>
          <w:rFonts w:ascii="Times New Roman" w:cs="Times New Roman" w:eastAsia="Times New Roman" w:hAnsi="Times New Roman"/>
          <w:sz w:val="18"/>
          <w:szCs w:val="18"/>
          <w:color w:val="auto"/>
        </w:rPr>
        <w:t>We are the most commercially successful L4 autonomous driving company globally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measured by our commercialization revenue in 2021 and 2022. We have delivered consistent growth underpinned by the maturity of our products and demonstrated our ability to continually and successfully develop autonomous driving products and services. Our revenue grew 659.3% to RMB138.2 million (US$20.6 million) in 2021 as compared with 2020. For the six months ended June 30, 2022, our revenue was RMB139.7 million (US$20.9 million), representing a 463.3%</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120"/>
          </w:cols>
          <w:pgMar w:left="320" w:top="455" w:right="45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160"/>
        <w:spacing w:after="0" w:line="282" w:lineRule="auto"/>
        <w:rPr>
          <w:sz w:val="20"/>
          <w:szCs w:val="20"/>
          <w:color w:val="auto"/>
        </w:rPr>
      </w:pPr>
      <w:r>
        <w:rPr>
          <w:rFonts w:ascii="Times New Roman" w:cs="Times New Roman" w:eastAsia="Times New Roman" w:hAnsi="Times New Roman"/>
          <w:sz w:val="18"/>
          <w:szCs w:val="18"/>
          <w:color w:val="auto"/>
        </w:rPr>
        <w:t>increase compared to the same period in 2021. Besides our growth momentum, we have also managed our resources effectively and have maintained a sustainable cash runway that will allow us to grow organically for at least the next five years.</w:t>
      </w:r>
    </w:p>
    <w:p>
      <w:pPr>
        <w:spacing w:after="0" w:line="63" w:lineRule="exact"/>
        <w:rPr>
          <w:sz w:val="20"/>
          <w:szCs w:val="20"/>
          <w:color w:val="auto"/>
        </w:rPr>
      </w:pPr>
    </w:p>
    <w:p>
      <w:pPr>
        <w:ind w:left="1080" w:right="120" w:hanging="424"/>
        <w:spacing w:after="0" w:line="259"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Leader and first mover. </w:t>
      </w:r>
      <w:r>
        <w:rPr>
          <w:rFonts w:ascii="Times New Roman" w:cs="Times New Roman" w:eastAsia="Times New Roman" w:hAnsi="Times New Roman"/>
          <w:sz w:val="18"/>
          <w:szCs w:val="18"/>
          <w:color w:val="auto"/>
        </w:rPr>
        <w:t>We are a global leader in the L4 autonomous driving industry and we have achieved many first-of-its-kind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milestones. As an early mover, we hold significant competitive advantages over new market entrants. Our technologies, talent, economies of scale, and partnerships are our strongest moat. There is simply no shortcutting the extensive amount of time and resources we have dedicated to our venture, or the mileage, training, and knowledge we have amassed along the way. As a result, we believe we will be able to maintain our advantages over other market participants and our leadership in the commercialization of autonomous driving technology.</w:t>
      </w:r>
    </w:p>
    <w:p>
      <w:pPr>
        <w:spacing w:after="0" w:line="84" w:lineRule="exact"/>
        <w:rPr>
          <w:rFonts w:ascii="Times New Roman" w:cs="Times New Roman" w:eastAsia="Times New Roman" w:hAnsi="Times New Roman"/>
          <w:sz w:val="18"/>
          <w:szCs w:val="18"/>
          <w:color w:val="auto"/>
        </w:rPr>
      </w:pPr>
    </w:p>
    <w:p>
      <w:pPr>
        <w:ind w:left="1080" w:right="20" w:hanging="424"/>
        <w:spacing w:after="0" w:line="256"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Universal and scalable technology platform.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a market-proven universal autonomous driving technology platform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development of autonomous driving vehicles that provide mobility, logistics, and other urban services. It can be widely adapted to different use cases with minimum configuration adjustments. With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we have been able to reduce the time to market needed for us to break into a new vertical and we have launched a broad variety of autonomous products for open road</w:t>
      </w:r>
      <w:r>
        <w:rPr>
          <w:rFonts w:ascii="Times New Roman" w:cs="Times New Roman" w:eastAsia="Times New Roman" w:hAnsi="Times New Roman"/>
          <w:sz w:val="18"/>
          <w:szCs w:val="18"/>
          <w:i w:val="1"/>
          <w:iCs w:val="1"/>
          <w:color w:val="auto"/>
        </w:rPr>
        <w:t>. WeRide One</w:t>
      </w:r>
      <w:r>
        <w:rPr>
          <w:rFonts w:ascii="Times New Roman" w:cs="Times New Roman" w:eastAsia="Times New Roman" w:hAnsi="Times New Roman"/>
          <w:sz w:val="18"/>
          <w:szCs w:val="18"/>
          <w:color w:val="auto"/>
        </w:rPr>
        <w:t xml:space="preserve"> creates synergies across different vehicle types, allowing us to enjoy network effects of data access and algorithm training across different use cases. This in turn enables us to maintain our technological leadership, lower research and development costs, improve operational and supply chain efficiency and achieve faster commercialization.</w:t>
      </w:r>
    </w:p>
    <w:p>
      <w:pPr>
        <w:spacing w:after="0" w:line="88"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Visionary management and world-class team</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believe talent is the foundation of our core competencies. We are led by our founder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CEO, Dr. Tony Xu Han, a world-class autonomous driving expert who has been instrumental in attracting and training global talent as well as fostering a culture of technical excellence and innovation. He was the former chief scientist of Baidu’s autonomous driving unit and a tenured professor with more than 20 years of experience in computer vision and machine learning. Our management team has a combination of deep technological expertise and market savviness, focused on delivering real-world solutions for our customers and users today. As of December 31, 2022, we have built a strong team of 639 employees, approximately 80% of whom are R&amp;D staff including top-notch engineers and autonomous driving scientists.</w:t>
      </w:r>
    </w:p>
    <w:p>
      <w:pPr>
        <w:spacing w:after="0" w:line="88" w:lineRule="exact"/>
        <w:rPr>
          <w:rFonts w:ascii="Times New Roman" w:cs="Times New Roman" w:eastAsia="Times New Roman" w:hAnsi="Times New Roman"/>
          <w:sz w:val="18"/>
          <w:szCs w:val="18"/>
          <w:color w:val="auto"/>
        </w:rPr>
      </w:pPr>
    </w:p>
    <w:p>
      <w:pPr>
        <w:ind w:left="1080" w:right="180" w:hanging="424"/>
        <w:spacing w:after="0" w:line="26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Strong partners and investors across value chain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partnerships with key ecosystem participants accelerate the commercialization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technology. We have forged strong alliances with world-class vehicle manufacturers, Tier 1 suppliers, logistics and urban service providers, and others. We are supported by blue-chip investors who provide significant business and financial resources and give us a strong financial position.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Strategies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To fulfill our mission of transforming urban living with autonomous driving, we guide the development of our technology with pragmatism so that it can be deployed to address challenges in the real world and validated through actual commercial operations. We plan to achieve this through several strategies:</w:t>
      </w:r>
    </w:p>
    <w:p>
      <w:pPr>
        <w:spacing w:after="0" w:line="77" w:lineRule="exact"/>
        <w:rPr>
          <w:sz w:val="20"/>
          <w:szCs w:val="20"/>
          <w:color w:val="auto"/>
        </w:rPr>
      </w:pPr>
    </w:p>
    <w:p>
      <w:pPr>
        <w:ind w:left="1080" w:right="140" w:hanging="424"/>
        <w:spacing w:after="0" w:line="259"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Grow business to reach large-scale commercialization. </w:t>
      </w:r>
      <w:r>
        <w:rPr>
          <w:rFonts w:ascii="Times New Roman" w:cs="Times New Roman" w:eastAsia="Times New Roman" w:hAnsi="Times New Roman"/>
          <w:sz w:val="18"/>
          <w:szCs w:val="18"/>
          <w:color w:val="auto"/>
        </w:rPr>
        <w:t>We are one of the few autonomous driving companies globally that have reached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driverless milestone, an important first step in achieving large-scale commercialization. We are offering driverless robotaxis rides in three cities globally. We have launched driverless robobus services to the public, most recently in Beijing and Shenzhen, China. We achieved driverless operations for our robosweepers. Going forward, we intend to build on our technological and business milestones as a global leader to advance towards full commercialization across all use cases.</w:t>
      </w:r>
    </w:p>
    <w:p>
      <w:pPr>
        <w:spacing w:after="0" w:line="84" w:lineRule="exact"/>
        <w:rPr>
          <w:rFonts w:ascii="Times New Roman" w:cs="Times New Roman" w:eastAsia="Times New Roman" w:hAnsi="Times New Roman"/>
          <w:sz w:val="18"/>
          <w:szCs w:val="18"/>
          <w:color w:val="auto"/>
        </w:rPr>
      </w:pPr>
    </w:p>
    <w:p>
      <w:pPr>
        <w:ind w:left="1080" w:right="240" w:hanging="424"/>
        <w:spacing w:after="0" w:line="268"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Continue to strengthen our technology. </w:t>
      </w:r>
      <w:r>
        <w:rPr>
          <w:rFonts w:ascii="Times New Roman" w:cs="Times New Roman" w:eastAsia="Times New Roman" w:hAnsi="Times New Roman"/>
          <w:sz w:val="18"/>
          <w:szCs w:val="18"/>
          <w:color w:val="auto"/>
        </w:rPr>
        <w:t>We will continue to innovate and maintain our leadership in autonomous driving technology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improving our algorithms and by refining and building up the technical maturity of our autonomous driving products. We will take advantage of our large and</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140"/>
          </w:cols>
          <w:pgMar w:left="320" w:top="455" w:right="4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160"/>
        <w:spacing w:after="0" w:line="282" w:lineRule="auto"/>
        <w:rPr>
          <w:sz w:val="20"/>
          <w:szCs w:val="20"/>
          <w:color w:val="auto"/>
        </w:rPr>
      </w:pPr>
      <w:r>
        <w:rPr>
          <w:rFonts w:ascii="Times New Roman" w:cs="Times New Roman" w:eastAsia="Times New Roman" w:hAnsi="Times New Roman"/>
          <w:sz w:val="18"/>
          <w:szCs w:val="18"/>
          <w:color w:val="auto"/>
        </w:rPr>
        <w:t xml:space="preserve">expanding fleet of autonomous driving vehicles and the significant amount of corner cases and training data collected to further enhance the software and hardware of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We plan to continue to recruit top-notch industry talent for these purposes.</w:t>
      </w:r>
    </w:p>
    <w:p>
      <w:pPr>
        <w:spacing w:after="0" w:line="63" w:lineRule="exact"/>
        <w:rPr>
          <w:sz w:val="20"/>
          <w:szCs w:val="20"/>
          <w:color w:val="auto"/>
        </w:rPr>
      </w:pPr>
    </w:p>
    <w:p>
      <w:pPr>
        <w:ind w:left="1080" w:right="80" w:hanging="424"/>
        <w:spacing w:after="0" w:line="262"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Lower cost and improve operational efficiency. </w:t>
      </w:r>
      <w:r>
        <w:rPr>
          <w:rFonts w:ascii="Times New Roman" w:cs="Times New Roman" w:eastAsia="Times New Roman" w:hAnsi="Times New Roman"/>
          <w:sz w:val="18"/>
          <w:szCs w:val="18"/>
          <w:color w:val="auto"/>
        </w:rPr>
        <w:t>The ability to lower cost and improve operational efficiency is crucial to long-term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success in our industry. We enjoy economies of scale from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 which allows us to expand in a fast and cost-efficient manner. We expect to lower our hardware and operating costs by a meaningful extent and achieve operational efficiency as we increase the volume of our autonomous driving vehicles and expand the scale of our autonomous driving services.</w:t>
      </w:r>
    </w:p>
    <w:p>
      <w:pPr>
        <w:spacing w:after="0" w:line="81" w:lineRule="exact"/>
        <w:rPr>
          <w:rFonts w:ascii="Times New Roman" w:cs="Times New Roman" w:eastAsia="Times New Roman" w:hAnsi="Times New Roman"/>
          <w:sz w:val="18"/>
          <w:szCs w:val="18"/>
          <w:color w:val="auto"/>
        </w:rPr>
      </w:pPr>
    </w:p>
    <w:p>
      <w:pPr>
        <w:ind w:left="1080" w:hanging="424"/>
        <w:spacing w:after="0" w:line="268"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 global presence. </w:t>
      </w:r>
      <w:r>
        <w:rPr>
          <w:rFonts w:ascii="Times New Roman" w:cs="Times New Roman" w:eastAsia="Times New Roman" w:hAnsi="Times New Roman"/>
          <w:sz w:val="18"/>
          <w:szCs w:val="18"/>
          <w:color w:val="auto"/>
        </w:rPr>
        <w:t>We intend to transform mobility and urban services around the world. To date, we have etched our name in Asia,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Middle East, and North America. Leveraging our success in China, we plan to establish a larger presence internationally by providing our robust autonomous driving products and services with compelling value propositions.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Products and Services</w:t>
      </w:r>
    </w:p>
    <w:p>
      <w:pPr>
        <w:spacing w:after="0" w:line="121"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We have developed best-in-class autonomous driving products and services that address the ubiquitous yet diversified need for automation in mobility, logistics and other urban services use cases. Our products and services are designed to conquer complex road conditions and navigate high population and traffic density, operating all day and under all weather conditions. Our customers depend on us to provide essential services across various industries as well as the general public in numerous settings. Our leadership is exemplified by our robotaxis, the operational environment of which presents the greatest challenges to the adoption of autonomous driving technologies, and translates into our ability to explore other vehicle categories, including robobus, robovan and robosweeper. Leveraging our technological leadership in L4 autonomous driving technology, we have also developed cutting-edge ADAS solutions.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Robotaxi</w:t>
      </w:r>
    </w:p>
    <w:p>
      <w:pPr>
        <w:spacing w:after="0" w:line="121"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Robotaxi is our debut product and a constant manifestation of our ability to deliver safe, reliable and efficient driverless mobility to end customers. Our robotaxi features industry-leading technology framework across all algorithm stacks. We are the first and only pure-play autonomous driving company in the world to obtain driverless test permits in China and the United States. We are the first company to offer paid L4 robotaxi services to the public in the world, which we launched in 2019. We are offering driverless robotaxis rides in three cities globally. Our robotaxis have completed more than 1,100 days of commercial operations on open road and have not caused any accidents.</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080"/>
          </w:cols>
          <w:pgMar w:left="320" w:top="455" w:right="49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208280</wp:posOffset>
            </wp:positionV>
            <wp:extent cx="5186045" cy="34632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86045"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believe our robotaxi service presents superior unit economics and improves efficiency and profitability as compared with traditional shared mobility platforms, particularly because the adoption of autonomous driving technologies will significantly reduce labor costs and extend the operating hours of each vehicle.</w:t>
      </w:r>
    </w:p>
    <w:p>
      <w:pPr>
        <w:spacing w:after="0" w:line="17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We operate a robotaxi fleet that provides driverless mobility services to end customers via our online ride-hailing platform, </w:t>
      </w:r>
      <w:r>
        <w:rPr>
          <w:rFonts w:ascii="Times New Roman" w:cs="Times New Roman" w:eastAsia="Times New Roman" w:hAnsi="Times New Roman"/>
          <w:sz w:val="18"/>
          <w:szCs w:val="18"/>
          <w:i w:val="1"/>
          <w:iCs w:val="1"/>
          <w:color w:val="auto"/>
        </w:rPr>
        <w:t>WeRide Go</w:t>
      </w:r>
      <w:r>
        <w:rPr>
          <w:rFonts w:ascii="Times New Roman" w:cs="Times New Roman" w:eastAsia="Times New Roman" w:hAnsi="Times New Roman"/>
          <w:sz w:val="18"/>
          <w:szCs w:val="18"/>
          <w:color w:val="auto"/>
        </w:rPr>
        <w:t>. We charge our robotaxi services by a combination of distance and time traveled. Our robotaxis had completed more than 500,000 rides as of December 31, 2022. We unveiled China’s first publicly accessible paid robotaxi services in the populous downtown areas in Guangzhou, China in November 2019. We are also the first autonomous driving company in China to secure an official license for online car hailing operations. China has recently adopted a more encouraging regulatory framework towards autonomous driving and we have been authorized to expand our commercial pilots into more locations and by a larger autonomous driving fleet. In addition to Guangzhou, we have also obtained driverless test permit in Beijing, China. Our robotaxis are cruising along a total area of more than 400 square kilometers in China in commercial operation, delivering autonomous driving experience to customers who are keen to embrace the future.</w:t>
      </w:r>
    </w:p>
    <w:p>
      <w:pPr>
        <w:spacing w:after="0" w:line="187"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We generate additional revenue from the sale of our robotaxis. We aim to commence commercial production of our robotaxis and achieve readiness for large-scale commercialization in 2024 and 2025, respectively.</w:t>
      </w:r>
    </w:p>
    <w:p>
      <w:pPr>
        <w:spacing w:after="0" w:line="162"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are also moving incrementally towards a broader launch of our robotaxi globally. In April 2021, the California DMV issued us a permit that allows us to test our autonomous driving vehicles on public roads in San Jose, California, without any human driver onboard. In 2021, we enabled our overseas partner, Bayanat (ADX: BAYANAT), a G42 company, to showcase the first commercial pilot of L4 autonomous driving vehicle in the Middle East through its TXAI app, where our robotaxis completed a total of 2,771 rides and accumulated over 16,600 kilometers of mileage during the first month of the operation. November 2022 marked the one-year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120"/>
          </w:cols>
          <w:pgMar w:left="320" w:top="455" w:right="45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anniversary of our partnership with Bayanat and we have signed the second phase engagement with an extended operating area including Saadiyat island and a cross-island highway.</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partner with multiple world-class OEMs on autonomous driving research and development projects as well as the manufacturing of L4 autonomous driving vehicles that make up our robotaxi fleet. For more information relating to our partnership with these OEMs, see “—Our Ecosystem Partners—Partnerships with OEMs and Tier 1 Suppliers.”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Robobus</w:t>
      </w:r>
    </w:p>
    <w:p>
      <w:pPr>
        <w:spacing w:after="0" w:line="121" w:lineRule="exact"/>
        <w:rPr>
          <w:sz w:val="20"/>
          <w:szCs w:val="20"/>
          <w:color w:val="auto"/>
        </w:rPr>
      </w:pPr>
    </w:p>
    <w:p>
      <w:pPr>
        <w:ind w:left="120" w:right="20" w:firstLine="440"/>
        <w:spacing w:after="0" w:line="312" w:lineRule="auto"/>
        <w:rPr>
          <w:sz w:val="20"/>
          <w:szCs w:val="20"/>
          <w:color w:val="auto"/>
        </w:rPr>
      </w:pPr>
      <w:r>
        <w:rPr>
          <w:rFonts w:ascii="Times New Roman" w:cs="Times New Roman" w:eastAsia="Times New Roman" w:hAnsi="Times New Roman"/>
          <w:sz w:val="17"/>
          <w:szCs w:val="17"/>
          <w:color w:val="auto"/>
        </w:rPr>
        <w:t>We became the first in China to achieve commercial production of L4 robobus designed for on open road in 2021. Our robobus commenced its public service in Guangzhou in 2022, which also made us the first company in the world to offer driverless robobus services on open road to the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117475</wp:posOffset>
            </wp:positionV>
            <wp:extent cx="5186045" cy="34632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86045"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Our robobus represents a new form of urban mobility which can be flexibly deployed in various public and private transportation use cases. In contrast to the robobuses of our peers, whose operations are mainly limited to confined areas such as airports, ports, industrial parks and resorts, our robobus is architected to be also capable of handling open road in an urban setting for public transport services under all weather conditions. Our robobus is designed for a fully autonomous driving experience with no steering wheel or driver cabin with a top speed of 40km/h. Our robobus won the Red Dot Design Award in 2021 and have passed all automotive-level testing.</w:t>
      </w:r>
    </w:p>
    <w:p>
      <w:pPr>
        <w:spacing w:after="0" w:line="183"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Our robobuses have also been deployed for pilot testing on open road in several major cities in China, including Beijing, Shanghai, Guangzhou, and Shenzhen as well as in Saudi Arabia, UAE, and Qatar, since January 2021. In November 2022, we were permitted to conduct road test and trial operation in Shenzhen, China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the first to achieve zero disengagement during thousand-kilometer evaluations of both enclosed environment and open road conducted by the local authority. In January 2023, our robobus was the first to be officially</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060"/>
          </w:cols>
          <w:pgMar w:left="320" w:top="455" w:right="51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permitted to conduct driverless road test in Beijing. As of December 31, 2022, our robobuses had been deployed in 18 cities in China and the Middle East, and our robobuses had offered transportation services for over 500 days.</w:t>
      </w:r>
    </w:p>
    <w:p>
      <w:pPr>
        <w:spacing w:after="0" w:line="16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have successfully commercialized our robobuses, and we are supplying to local transport service providers. As of December 31, 2022, we had produced over 200 robobuses in partnership with Yutong. In connection with the sale of our robobuses, we are also offering a bundle of technical supports and services relating to the operation of our robobuses, including system upgrades, maintenance and repair, fleet management, as well as remote assistance services on an as-needed basis. These services are charged separately to our customers for an ongoing fee payable on an annual basis.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Robovan</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addition to passenger vehicles, we have also developed L4 robovans to capture the high growth intra-city logistics opportunity. We launched the world’s first L4 robovan dedicated to intra-city delivery of goods in September 2021. Our robovan provides a more efficient alternative to traditional logistics vehicle by reducing labor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140335</wp:posOffset>
            </wp:positionV>
            <wp:extent cx="4928870" cy="32829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928870" cy="3282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are determined to make road freight autonomous with our robovan. We provide robovan products and services to match varied business needs, so that more customers are able to utilize the autonomous freight capacity offered by our robovans.</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sell our robovans to customers who prefer to retain ownership over their fleet. The sale is complemented with ongoing operational and technical support services. These services are charged on a recurring basis. As a less capital-intensive alternative for our customers, we also plan to offer our L4 autonomous freight capacity as a service to logistics companies and companies with logistics needs.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120"/>
          </w:cols>
          <w:pgMar w:left="320" w:top="455" w:right="45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ZTO, a leading express delivery company in China, has established a strategic partnership with us. Pursuant to the terms of our strategic partnership, ZTO has indicated its interest, subject to conditions, to order our robovan after its expected commercial production. Our robovans have been piloting in ZTO’s delivery services in Guangzhou and have been deployed to fulfill pickups and deliveries and to assist with route optimization since the end of 2021.</w:t>
      </w:r>
    </w:p>
    <w:p>
      <w:pPr>
        <w:spacing w:after="0" w:line="180"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We partner with leading global OEMs, such as JMC-Ford Motors, in the manufacturing of our robovan. We rolled out our prototype B robovan in the first quarter of 2023 in collaboration with JMC-Ford Motors, taking an important step towards the large-scale commercialization of robovans.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Robosweepers</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We are the first in the world to develop a purpose-built L4 robosweeper designed for open road. Our robosweeper is undergoing large scale trial operations and has entered commercial production since the first half of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131445</wp:posOffset>
            </wp:positionV>
            <wp:extent cx="5186045" cy="34632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86045"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0" w:right="20" w:firstLine="440"/>
        <w:spacing w:after="0" w:line="236" w:lineRule="auto"/>
        <w:rPr>
          <w:sz w:val="20"/>
          <w:szCs w:val="20"/>
          <w:color w:val="auto"/>
        </w:rPr>
      </w:pPr>
      <w:r>
        <w:rPr>
          <w:rFonts w:ascii="Times New Roman" w:cs="Times New Roman" w:eastAsia="Times New Roman" w:hAnsi="Times New Roman"/>
          <w:sz w:val="18"/>
          <w:szCs w:val="18"/>
          <w:color w:val="auto"/>
        </w:rPr>
        <w:t>Our robosweeper can travel up to 40km/h and features a cockpit-free design for fully autonomous operations. Because there is no driver cabin on board, our robosweeper boasts a large tank volume of six tons with 3.5m</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water capacity and New European Driving Cycle range of 300 kilometers. It is designed to operate all day, under all weather conditions, and can handle various urban cleaning needs such as standard road washing and sweeping, road edge cleaning, dust suppression, and high-pressure water jetting. Robosweeper is estimated to have a daily cleaning capacity equivalent to five to eight cleaning professionals working on eight-hour shifts. We are partnering with Yutong in manufacturing our robosweeper and we are working with Hyundai to promote the adoption of hydrogen fuel cell battery for robosweepers.</w:t>
      </w:r>
    </w:p>
    <w:p>
      <w:pPr>
        <w:spacing w:after="0" w:line="200"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Our business model is primarily to dispatch our robosweeper fleet to provide city cleaning services. We also plan to sell robosweepers to public cleaning service providers and charge recurring fees for technical supports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140"/>
          </w:cols>
          <w:pgMar w:left="320" w:top="455" w:right="4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and services. We have successfully rolled out fee-charging large-scale commercial pilots with a fleet of more than 50 robosweepers in Guangzhou, China since 2022, while covering a testing and operational area totaling 800 square kilometers. We will continue to expand our footprint in mainland China and introduce our robosweepers overseas.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ADAS Solutions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Leveraging the full-stack algorithms, multi-sensor fusion technology, infrastructure, tool chain, and data we have built for our L4 autonomous driving products and service over the years, we have and are well positioned to develop cutting-edge ADAS solutions that enable advanced autonomous driving functions on passenger vehicles.</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are partnering with the largest Tier 1 supplier to provide ADAS solutions, covering application scenarios including urban and highway. We, as a Tier 2 supplier, provide the key technologies and ecosystem support. Leveraging our partner’s solid hardware foundation, manufacturing capacities, and strong OEM customer network, the partnership aims to bring a state-of-the-art ADAS solution to the market. Our technologies secure the coverage of all-weather operating conditions, a future-proof and scalable architecture, as well as system-level safety designs. The ADAS solution is expected to commence commercial production in 2023 and be delivered to a major OEM in 2023. We collect development fees and royalties in respect of the services we deliver under this partnership.</w:t>
      </w:r>
    </w:p>
    <w:p>
      <w:pPr>
        <w:spacing w:after="0" w:line="187"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Experience in ADAS solutions will in turn enhance our engineering capability, enriches our data pool, provides valuable feedback for our model optimization and speeds up our corner case collection.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Core Technology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WeRide One – Our universal autonomous driving platform</w:t>
      </w:r>
    </w:p>
    <w:p>
      <w:pPr>
        <w:spacing w:after="0" w:line="119" w:lineRule="exact"/>
        <w:rPr>
          <w:sz w:val="20"/>
          <w:szCs w:val="20"/>
          <w:color w:val="auto"/>
        </w:rPr>
      </w:pPr>
    </w:p>
    <w:p>
      <w:pPr>
        <w:ind w:left="120" w:right="140" w:firstLine="440"/>
        <w:spacing w:after="0" w:line="284" w:lineRule="auto"/>
        <w:rPr>
          <w:sz w:val="20"/>
          <w:szCs w:val="20"/>
          <w:color w:val="auto"/>
        </w:rPr>
      </w:pPr>
      <w:r>
        <w:rPr>
          <w:rFonts w:ascii="Times New Roman" w:cs="Times New Roman" w:eastAsia="Times New Roman" w:hAnsi="Times New Roman"/>
          <w:sz w:val="18"/>
          <w:szCs w:val="18"/>
          <w:color w:val="auto"/>
        </w:rPr>
        <w:t xml:space="preserve">We believe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 is the most advanced, cost-effective, and adaptable autonomous driving vehicle development platform that is capable of addressing a comprehensive range of use cases.</w:t>
      </w:r>
    </w:p>
    <w:p>
      <w:pPr>
        <w:spacing w:after="0" w:line="158" w:lineRule="exact"/>
        <w:rPr>
          <w:sz w:val="20"/>
          <w:szCs w:val="20"/>
          <w:color w:val="auto"/>
        </w:rPr>
      </w:pPr>
    </w:p>
    <w:p>
      <w:pPr>
        <w:ind w:left="120" w:right="1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WeRide One </w:t>
      </w:r>
      <w:r>
        <w:rPr>
          <w:rFonts w:ascii="Times New Roman" w:cs="Times New Roman" w:eastAsia="Times New Roman" w:hAnsi="Times New Roman"/>
          <w:sz w:val="18"/>
          <w:szCs w:val="18"/>
          <w:color w:val="auto"/>
        </w:rPr>
        <w:t>is a one-for-all and all-for-one platform for urban autonomous driving and its universality is manifested on both the software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hardware levels.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 is designed with safety at its heart and features full redundancy on both the system level and algorithm level. It employs deep learning models that enable our algorithms to improve on its own.</w:t>
      </w:r>
    </w:p>
    <w:p>
      <w:pPr>
        <w:spacing w:after="0" w:line="173" w:lineRule="exact"/>
        <w:rPr>
          <w:sz w:val="20"/>
          <w:szCs w:val="20"/>
          <w:color w:val="auto"/>
        </w:rPr>
      </w:pPr>
    </w:p>
    <w:p>
      <w:pPr>
        <w:ind w:left="120" w:right="4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WeRide One </w:t>
      </w:r>
      <w:r>
        <w:rPr>
          <w:rFonts w:ascii="Times New Roman" w:cs="Times New Roman" w:eastAsia="Times New Roman" w:hAnsi="Times New Roman"/>
          <w:sz w:val="18"/>
          <w:szCs w:val="18"/>
          <w:color w:val="auto"/>
        </w:rPr>
        <w:t>comprises both software and hardware components and is complemented by a system of powerful cloud infrastructure. It is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industry-leading full stack autonomous driving framework including localization, perception, prediction, planning, and control modules, with a proprietary underlying middleware </w:t>
      </w:r>
      <w:r>
        <w:rPr>
          <w:rFonts w:ascii="Times New Roman" w:cs="Times New Roman" w:eastAsia="Times New Roman" w:hAnsi="Times New Roman"/>
          <w:sz w:val="18"/>
          <w:szCs w:val="18"/>
          <w:i w:val="1"/>
          <w:iCs w:val="1"/>
          <w:color w:val="auto"/>
        </w:rPr>
        <w:t>Mariana</w:t>
      </w:r>
      <w:r>
        <w:rPr>
          <w:rFonts w:ascii="Times New Roman" w:cs="Times New Roman" w:eastAsia="Times New Roman" w:hAnsi="Times New Roman"/>
          <w:sz w:val="18"/>
          <w:szCs w:val="18"/>
          <w:color w:val="auto"/>
        </w:rPr>
        <w:t xml:space="preserve">. We have also deployed innovative and customized hardware to support our algorithms, including our onboard computing unit and sensor suite. A comprehensive cloud infrastructure, comprising our simulation platform, integrated development environment, analytics, and remote assistance platform, is also in place to enable us to unlock the full potential of </w:t>
      </w:r>
      <w:r>
        <w:rPr>
          <w:rFonts w:ascii="Times New Roman" w:cs="Times New Roman" w:eastAsia="Times New Roman" w:hAnsi="Times New Roman"/>
          <w:sz w:val="18"/>
          <w:szCs w:val="18"/>
          <w:i w:val="1"/>
          <w:iCs w:val="1"/>
          <w:color w:val="auto"/>
        </w:rPr>
        <w:t>WeRide One.</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With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we are able to push the boundary of our innovations consistently and accelerate towards full commercialization.</w:t>
      </w:r>
    </w:p>
    <w:p>
      <w:pPr>
        <w:spacing w:after="0" w:line="16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080"/>
          </w:cols>
          <w:pgMar w:left="320" w:top="455" w:right="49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208280</wp:posOffset>
            </wp:positionV>
            <wp:extent cx="5203190" cy="22199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203190" cy="221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Software</w:t>
      </w:r>
    </w:p>
    <w:p>
      <w:pPr>
        <w:spacing w:after="0" w:line="119" w:lineRule="exact"/>
        <w:rPr>
          <w:sz w:val="20"/>
          <w:szCs w:val="20"/>
          <w:color w:val="auto"/>
        </w:rPr>
      </w:pPr>
    </w:p>
    <w:p>
      <w:pPr>
        <w:ind w:left="120" w:right="200" w:firstLine="440"/>
        <w:spacing w:after="0" w:line="284" w:lineRule="auto"/>
        <w:rPr>
          <w:sz w:val="20"/>
          <w:szCs w:val="20"/>
          <w:color w:val="auto"/>
        </w:rPr>
      </w:pPr>
      <w:r>
        <w:rPr>
          <w:rFonts w:ascii="Times New Roman" w:cs="Times New Roman" w:eastAsia="Times New Roman" w:hAnsi="Times New Roman"/>
          <w:sz w:val="18"/>
          <w:szCs w:val="18"/>
          <w:color w:val="auto"/>
        </w:rPr>
        <w:t xml:space="preserve">The technical prowess of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 is anchored on our proprietary and industry-leading algorithms that underpin the localization, perception, prediction, planning and control functionalities of our various autonomous driving vehicles.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Localization</w:t>
      </w:r>
    </w:p>
    <w:p>
      <w:pPr>
        <w:spacing w:after="0" w:line="11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Our industry-leading positioning technology allows us to pin-point the whereabouts of our autonomous driving vehicles with high accuracy in real-time.</w:t>
      </w:r>
    </w:p>
    <w:p>
      <w:pPr>
        <w:spacing w:after="0" w:line="16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Our multi-sensor fusion approach, complemented by 3D high-definition maps, ensures that we can rely on multiple sources of positioning and are therefore able to realize full-scenario localization. Leveraging the strength of our sensor suite, we are able to achieve sufficient level of positioning accuracy for safe autonomous driving in various environments including tunnels, bridges, multi-layer interchanges and while encircled by a dense forest of skyscrapers.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Perception</w:t>
      </w:r>
    </w:p>
    <w:p>
      <w:pPr>
        <w:spacing w:after="0" w:line="119"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To ensure redundancy and accuracy, we have adopted a sophisticated deep learning-based perception framework with dual early fusion pipelines – LiDAR-centric and vision-centric paths. With two pre-fusion paths, the perception function can still work normally even if one type of sensors fails. The output of the two paths is post-fusioned again at the end of the process to ensure better accuracy. The combination or “fusion” of camera, LiDAR and radar also enables a 360-degree sensing coverage for our autonomous driving vehicles and eliminates blind spot, irrespective of visibility conditions.</w:t>
      </w:r>
    </w:p>
    <w:p>
      <w:pPr>
        <w:spacing w:after="0" w:line="164"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Our perception model is optimized by state-of-the-art optimization algorithms such as mixed precision training, parameter quantization and multi-task learning. The end result is that our model can maintain high level of accuracy, as well as super low latency. We also have the coverage of a huge amount of long-tail scenarios that are discovered through online-triggering and offline data mining. This enhances the ability of our autonomous driving vehicles to manage outlier scenarios.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Prediction</w:t>
      </w:r>
    </w:p>
    <w:p>
      <w:pPr>
        <w:spacing w:after="0" w:line="119"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Our deep learning-based prediction model is designed to learn the causality of road participant interactions and output different possible general behavioral modes as multiple trajectories with probabilities. It is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100"/>
          </w:cols>
          <w:pgMar w:left="320" w:top="455" w:right="47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automatically trained with vast amount of real-world traffic data. Such design enables our vehicles to interact with other road participants smoothly while reducing the chance of being stuck in heavy traffic scenarios.</w:t>
      </w:r>
    </w:p>
    <w:p>
      <w:pPr>
        <w:spacing w:after="0" w:line="162"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Our prediction algorithms feature high accuracy and low displacement error. It can predict obstacles on both structured and unstructured road in one uniform model and forecast long-tail behaviors, such as three-point turn, vehicles driving in the wrong way and reckless driving.</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Planning</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planning algorithms are based on a “search and optimization” approach. We are capable of leveraging neutral network to reduce search complexity; meanwhile merging game theory into the decision and planning process to enable more human-like driving behaviors. Specifically, a large number of possible ego-car trajectories are generated by a neural network model and an optimization based planner, and ultimately the system comes up with a dozen most likely proposals. This proposal generating model examines all possible behaviors of other road participants generated by our prediction model. An optimization model then selects the optimal choice from these proposals, after factoring in account safety, comfort and progress metrics. By doing so, the optimization model guarantees safety redundancy for the worst case scenarios given by the prediction model while maintaining the maximum level of comfort and progress. The models are trained with large amount of human driving data and are capable of handling complex interaction with other road participants much better and more efficiently than rule-based methods.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Control</w:t>
      </w:r>
    </w:p>
    <w:p>
      <w:pPr>
        <w:spacing w:after="0" w:line="119"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We have spent a lot of engineering efforts on parameter search and control system fine-tuning. As a result, our control module is capable of performing precise autonomous driving vehicle maneuvers with high accuracy to put into action a safe and efficient driving trajectory. Our control system demonstrates great stability in road testing. Depending on the specific vehicle features and road conditions, vehicle-specific calibration to the control system is completed automatically via the cloud. We have also defined a general drive-by-wire control interface that makes the adaptation of different vehicle chassis easier and more transparent for our software stack.</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Mariana – the WeRide Middleware</w:t>
      </w:r>
    </w:p>
    <w:p>
      <w:pPr>
        <w:spacing w:after="0" w:line="117"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color w:val="auto"/>
        </w:rPr>
        <w:t xml:space="preserve">We are one of the very few L4 companies in the world that has developed a proprietary middleware, </w:t>
      </w:r>
      <w:r>
        <w:rPr>
          <w:rFonts w:ascii="Times New Roman" w:cs="Times New Roman" w:eastAsia="Times New Roman" w:hAnsi="Times New Roman"/>
          <w:sz w:val="18"/>
          <w:szCs w:val="18"/>
          <w:i w:val="1"/>
          <w:iCs w:val="1"/>
          <w:color w:val="auto"/>
        </w:rPr>
        <w:t>Mariana</w:t>
      </w:r>
      <w:r>
        <w:rPr>
          <w:rFonts w:ascii="Times New Roman" w:cs="Times New Roman" w:eastAsia="Times New Roman" w:hAnsi="Times New Roman"/>
          <w:sz w:val="18"/>
          <w:szCs w:val="18"/>
          <w:color w:val="auto"/>
        </w:rPr>
        <w:t xml:space="preserve">, to ensure our algorithms produce consistent output and support their evolution. We have built customized features to enable better efficiency, safety and performance of </w:t>
      </w:r>
      <w:r>
        <w:rPr>
          <w:rFonts w:ascii="Times New Roman" w:cs="Times New Roman" w:eastAsia="Times New Roman" w:hAnsi="Times New Roman"/>
          <w:sz w:val="18"/>
          <w:szCs w:val="18"/>
          <w:i w:val="1"/>
          <w:iCs w:val="1"/>
          <w:color w:val="auto"/>
        </w:rPr>
        <w:t>Mariana</w:t>
      </w:r>
      <w:r>
        <w:rPr>
          <w:rFonts w:ascii="Times New Roman" w:cs="Times New Roman" w:eastAsia="Times New Roman" w:hAnsi="Times New Roman"/>
          <w:sz w:val="18"/>
          <w:szCs w:val="18"/>
          <w:color w:val="auto"/>
        </w:rPr>
        <w:t xml:space="preserve"> based on the Linux kernel.</w:t>
      </w:r>
    </w:p>
    <w:p>
      <w:pPr>
        <w:spacing w:after="0" w:line="17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Mariana adopts a decentralized and distributed design to eliminate the central node. Using a Directed Acyclic Graph-based onboard task scheduler, it supports the deployment on multi-machine heterogeneous platforms to improve safety redundancy. It adopts a unified logging framework to accommodate instrumentation, binary, error and sensor logs. It provides a holistic tool for data collection, uploading, labelling, curation, analytics, triage, model training and deployment.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Hardware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algorithm-based technologies are empowered by our innovative hardware infrastructure.</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Integrated Onboard Computing Unit</w:t>
      </w:r>
    </w:p>
    <w:p>
      <w:pPr>
        <w:spacing w:after="0" w:line="11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have designed and manufactured our own onboard computing unit. Its heterogeneous computing architecture also includes co-processing units specifically designed to handle large data I/O (input/output) of all the LiDAR and camera sensors so that the main processing units (CPU/GPU) can focus on the computing tasks. The integrated computing unit is fully sealed by a liquid cooling case which greatly improves the reliability of the computing units in all different weather and working conditions. Its working temperature range is between -40°C to 85°C.</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120"/>
          </w:cols>
          <w:pgMar w:left="320" w:top="455" w:right="45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main computing unit is accompanied with a redundant computing unit which is running side-by-side and will kick in within milliseconds when the main unit malfunctions.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Modular Sensor-Suite</w:t>
      </w:r>
    </w:p>
    <w:p>
      <w:pPr>
        <w:spacing w:after="0" w:line="11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have implemented a modular design approach with respect to the sensor suite installed on each of our autonomous driving vehicles, using homogenous modules as a means of building up their senses. Our sensor suite comprises a universal set of exchangeable components including GNSS, IMU, LiDARs, radars, cameras, as well as a self-developed sensor board. These sensors can be easily assembled into different form factors to provide long-range, peripheral and perimeter sensing, catering to the differences in dimensions and other specifications of our different autonomous driving vehicles. We have configured and customized our sensor suite for each category of our autonomous driving vehicles to deliver the level of precision and functionality required for each specific use case. Overall, there is a more than 90% overlap in terms of hardware components across all our product lines. This effectively allows us to use substantially the same software for all of our autonomous driving vehicles.</w:t>
      </w:r>
    </w:p>
    <w:p>
      <w:pPr>
        <w:spacing w:after="0" w:line="18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adopt a fast iterative design for our sensor suite and have successfully developed multiple generations of products. Our sensor suites meet the commercial production requirements with each generation being further optimized in terms of size, integration, power consumption, and cost, improving towards automotive-grade while maintaining our industry-leading autonomous driving performance and full safety redundancy.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120"/>
          </w:cols>
          <w:pgMar w:left="320" w:top="455" w:right="45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208280</wp:posOffset>
            </wp:positionV>
            <wp:extent cx="5186045" cy="523748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86045" cy="5237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Early generations of our sensor suites use mechanically rotating LiDAR, cameras, and other sensors which can be directly installed on the roof or the sides of the vehicle and therefore speed up the assembling and validation process.</w:t>
      </w:r>
    </w:p>
    <w:p>
      <w:pPr>
        <w:spacing w:after="0" w:line="16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We released </w:t>
      </w:r>
      <w:r>
        <w:rPr>
          <w:rFonts w:ascii="Times New Roman" w:cs="Times New Roman" w:eastAsia="Times New Roman" w:hAnsi="Times New Roman"/>
          <w:sz w:val="18"/>
          <w:szCs w:val="18"/>
          <w:i w:val="1"/>
          <w:iCs w:val="1"/>
          <w:color w:val="auto"/>
        </w:rPr>
        <w:t>WeRide Sensor Suite 3.0</w:t>
      </w:r>
      <w:r>
        <w:rPr>
          <w:rFonts w:ascii="Times New Roman" w:cs="Times New Roman" w:eastAsia="Times New Roman" w:hAnsi="Times New Roman"/>
          <w:sz w:val="18"/>
          <w:szCs w:val="18"/>
          <w:color w:val="auto"/>
        </w:rPr>
        <w:t xml:space="preserve"> in 2019 for robotaxis. Such </w:t>
      </w:r>
      <w:r>
        <w:rPr>
          <w:rFonts w:ascii="Times New Roman" w:cs="Times New Roman" w:eastAsia="Times New Roman" w:hAnsi="Times New Roman"/>
          <w:sz w:val="18"/>
          <w:szCs w:val="18"/>
          <w:i w:val="1"/>
          <w:iCs w:val="1"/>
          <w:color w:val="auto"/>
        </w:rPr>
        <w:t>WeRide Sensor Suite 3.0</w:t>
      </w:r>
      <w:r>
        <w:rPr>
          <w:rFonts w:ascii="Times New Roman" w:cs="Times New Roman" w:eastAsia="Times New Roman" w:hAnsi="Times New Roman"/>
          <w:sz w:val="18"/>
          <w:szCs w:val="18"/>
          <w:color w:val="auto"/>
        </w:rPr>
        <w:t xml:space="preserve"> comprises various number of long range LiDAR, blind spot LiDAR, peripheral mid range and long range cameras which can be used for different vehicle platforms. All these sensors can be synchronized with precision sub-milliseconds. The long-range high definition lidar can detect small objects within 200 meters with centimeter level resolution. The all-round cameras provide a 360-degree field of view and seamless redundancy coverage detection for best possible safety.</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100"/>
          </w:cols>
          <w:pgMar w:left="320" w:top="455" w:right="47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right="340" w:firstLine="440"/>
        <w:spacing w:after="0" w:line="298" w:lineRule="auto"/>
        <w:rPr>
          <w:sz w:val="20"/>
          <w:szCs w:val="20"/>
          <w:color w:val="auto"/>
        </w:rPr>
      </w:pPr>
      <w:r>
        <w:rPr>
          <w:rFonts w:ascii="Times New Roman" w:cs="Times New Roman" w:eastAsia="Times New Roman" w:hAnsi="Times New Roman"/>
          <w:sz w:val="18"/>
          <w:szCs w:val="18"/>
          <w:color w:val="auto"/>
        </w:rPr>
        <w:t xml:space="preserve">We launched the industry’s first small-sized lightweight sensor suite, </w:t>
      </w:r>
      <w:r>
        <w:rPr>
          <w:rFonts w:ascii="Times New Roman" w:cs="Times New Roman" w:eastAsia="Times New Roman" w:hAnsi="Times New Roman"/>
          <w:sz w:val="18"/>
          <w:szCs w:val="18"/>
          <w:i w:val="1"/>
          <w:iCs w:val="1"/>
          <w:color w:val="auto"/>
        </w:rPr>
        <w:t>WeRide Sensor Suite 4.0</w:t>
      </w:r>
      <w:r>
        <w:rPr>
          <w:rFonts w:ascii="Times New Roman" w:cs="Times New Roman" w:eastAsia="Times New Roman" w:hAnsi="Times New Roman"/>
          <w:sz w:val="18"/>
          <w:szCs w:val="18"/>
          <w:color w:val="auto"/>
        </w:rPr>
        <w:t>, in 2021. The suite has a net weight of 15kg and occupies less than 0.4m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of vehicle roof area.</w:t>
      </w:r>
    </w:p>
    <w:p>
      <w:pPr>
        <w:spacing w:after="0" w:line="20" w:lineRule="exact"/>
        <w:rPr>
          <w:sz w:val="20"/>
          <w:szCs w:val="20"/>
          <w:color w:val="auto"/>
        </w:rPr>
      </w:pPr>
    </w:p>
    <w:p>
      <w:pPr>
        <w:jc w:val="both"/>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We released </w:t>
      </w:r>
      <w:r>
        <w:rPr>
          <w:rFonts w:ascii="Times New Roman" w:cs="Times New Roman" w:eastAsia="Times New Roman" w:hAnsi="Times New Roman"/>
          <w:sz w:val="18"/>
          <w:szCs w:val="18"/>
          <w:i w:val="1"/>
          <w:iCs w:val="1"/>
          <w:color w:val="auto"/>
        </w:rPr>
        <w:t>WeRide Sensor Suite 5.0</w:t>
      </w:r>
      <w:r>
        <w:rPr>
          <w:rFonts w:ascii="Times New Roman" w:cs="Times New Roman" w:eastAsia="Times New Roman" w:hAnsi="Times New Roman"/>
          <w:sz w:val="18"/>
          <w:szCs w:val="18"/>
          <w:color w:val="auto"/>
        </w:rPr>
        <w:t xml:space="preserve"> in June 2022. Integrating powerful performance and cutting-edge design, </w:t>
      </w:r>
      <w:r>
        <w:rPr>
          <w:rFonts w:ascii="Times New Roman" w:cs="Times New Roman" w:eastAsia="Times New Roman" w:hAnsi="Times New Roman"/>
          <w:sz w:val="18"/>
          <w:szCs w:val="18"/>
          <w:i w:val="1"/>
          <w:iCs w:val="1"/>
          <w:color w:val="auto"/>
        </w:rPr>
        <w:t>WeRide Sensor Suite 5.0</w:t>
      </w:r>
      <w:r>
        <w:rPr>
          <w:rFonts w:ascii="Times New Roman" w:cs="Times New Roman" w:eastAsia="Times New Roman" w:hAnsi="Times New Roman"/>
          <w:sz w:val="18"/>
          <w:szCs w:val="18"/>
          <w:color w:val="auto"/>
        </w:rPr>
        <w:t xml:space="preserve"> can be fitted to different vehicle models with higher efficiency and at lower cost. It encompasses 12 cameras and seven solid-state LiDARs, which constitute six sensor sets. Compared with </w:t>
      </w:r>
      <w:r>
        <w:rPr>
          <w:rFonts w:ascii="Times New Roman" w:cs="Times New Roman" w:eastAsia="Times New Roman" w:hAnsi="Times New Roman"/>
          <w:sz w:val="18"/>
          <w:szCs w:val="18"/>
          <w:i w:val="1"/>
          <w:iCs w:val="1"/>
          <w:color w:val="auto"/>
        </w:rPr>
        <w:t>WeRide Sensor Suite 4.0</w:t>
      </w:r>
      <w:r>
        <w:rPr>
          <w:rFonts w:ascii="Times New Roman" w:cs="Times New Roman" w:eastAsia="Times New Roman" w:hAnsi="Times New Roman"/>
          <w:sz w:val="18"/>
          <w:szCs w:val="18"/>
          <w:color w:val="auto"/>
        </w:rPr>
        <w:t xml:space="preserve">, the height of the roof front sensor set is shortened by 66% and the overall weight is lightened by 17%. </w:t>
      </w:r>
      <w:r>
        <w:rPr>
          <w:rFonts w:ascii="Times New Roman" w:cs="Times New Roman" w:eastAsia="Times New Roman" w:hAnsi="Times New Roman"/>
          <w:sz w:val="18"/>
          <w:szCs w:val="18"/>
          <w:i w:val="1"/>
          <w:iCs w:val="1"/>
          <w:color w:val="auto"/>
        </w:rPr>
        <w:t>WeRide Sensor Suite 5.0</w:t>
      </w:r>
      <w:r>
        <w:rPr>
          <w:rFonts w:ascii="Times New Roman" w:cs="Times New Roman" w:eastAsia="Times New Roman" w:hAnsi="Times New Roman"/>
          <w:sz w:val="18"/>
          <w:szCs w:val="18"/>
          <w:color w:val="auto"/>
        </w:rPr>
        <w:t xml:space="preserve"> has been deployed on a large scale.</w:t>
      </w:r>
    </w:p>
    <w:p>
      <w:pPr>
        <w:spacing w:after="0" w:line="180"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We recently launched our fully automotive-grade and commercial production-ready </w:t>
      </w:r>
      <w:r>
        <w:rPr>
          <w:rFonts w:ascii="Times New Roman" w:cs="Times New Roman" w:eastAsia="Times New Roman" w:hAnsi="Times New Roman"/>
          <w:sz w:val="18"/>
          <w:szCs w:val="18"/>
          <w:i w:val="1"/>
          <w:iCs w:val="1"/>
          <w:color w:val="auto"/>
        </w:rPr>
        <w:t>WeRide Sensor Suite 5.1</w:t>
      </w:r>
      <w:r>
        <w:rPr>
          <w:rFonts w:ascii="Times New Roman" w:cs="Times New Roman" w:eastAsia="Times New Roman" w:hAnsi="Times New Roman"/>
          <w:sz w:val="18"/>
          <w:szCs w:val="18"/>
          <w:color w:val="auto"/>
        </w:rPr>
        <w:t xml:space="preserve"> compatible with both ADAS and L4 applications. This latest iteration is highly cost-efficient, while continue to embody the full spectrum of our technological strength and deliver similar functions. </w:t>
      </w:r>
      <w:r>
        <w:rPr>
          <w:rFonts w:ascii="Times New Roman" w:cs="Times New Roman" w:eastAsia="Times New Roman" w:hAnsi="Times New Roman"/>
          <w:sz w:val="18"/>
          <w:szCs w:val="18"/>
          <w:i w:val="1"/>
          <w:iCs w:val="1"/>
          <w:color w:val="auto"/>
        </w:rPr>
        <w:t>WeRide Sensor Suite 5.1</w:t>
      </w:r>
      <w:r>
        <w:rPr>
          <w:rFonts w:ascii="Times New Roman" w:cs="Times New Roman" w:eastAsia="Times New Roman" w:hAnsi="Times New Roman"/>
          <w:sz w:val="18"/>
          <w:szCs w:val="18"/>
          <w:color w:val="auto"/>
        </w:rPr>
        <w:t xml:space="preserve"> integrates high-resolution semi-solid LiDAR, blind spot LiDAR, and high-definition cameras. It adopts the same distributed design concept as all of our existing sensor suites, and goes a step further towards miniaturization, compactness and better integration.</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Cloud Infrastructure</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Simulation Platform</w:t>
      </w:r>
    </w:p>
    <w:p>
      <w:pPr>
        <w:spacing w:after="0" w:line="119"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Our simulator uses high-fidelity and physically accurate simulation to create a safe, scalable, and cost-effective way to prepare our autonomous driving vehicle for the real world. It supports flexible specification of digital assets (such as urban layouts, buildings, vehicles, and traffic lights), traffic scenario and environmental conditions. It is capable of generating a wide range of real-world scenarios for the development and validation of our automatous fleet. Our simulation platform utilizes a semi-automated crowdsourcing triage system, and is accessible through a distributed system. Training efficiency is over 200 times higher on our simulation platform than in real road tests, delivering clear cost advantages. It is supported by our proprietary analytics platform and complex event processing computing platform using an IDE.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Analytics Platform</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All road test and simulation data are organized through our analytics platform. New incidents and scenarios are reported during road tests and their summary data are uploaded to the analytics platform in real-time and become accessible to our engineers within a few minutes. Our engineers are able to view all vehicles’ real-time data in a single user interface remotely. All videos, system logs and raw data are also indexed and ready for efficient offline searches. New data are labeled and added to our training dataset on a weekly basis and our models are automatically and periodically refreshed with new data on our cloud platform.</w:t>
      </w:r>
    </w:p>
    <w:p>
      <w:pPr>
        <w:spacing w:after="0" w:line="183"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Our analytics platform contains a data masking component which automatically anonymizes sensitive data such as license plate number and human face from the data visualization at the time when it is uploaded to the cloud-based data platform.</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Cloud Integrated Development Environment (IDE)</w:t>
      </w:r>
    </w:p>
    <w:p>
      <w:pPr>
        <w:spacing w:after="0" w:line="119" w:lineRule="exact"/>
        <w:rPr>
          <w:sz w:val="20"/>
          <w:szCs w:val="20"/>
          <w:color w:val="auto"/>
        </w:rPr>
      </w:pPr>
    </w:p>
    <w:p>
      <w:pPr>
        <w:ind w:left="120" w:right="340" w:firstLine="440"/>
        <w:spacing w:after="0" w:line="256" w:lineRule="auto"/>
        <w:rPr>
          <w:sz w:val="20"/>
          <w:szCs w:val="20"/>
          <w:color w:val="auto"/>
        </w:rPr>
      </w:pPr>
      <w:r>
        <w:rPr>
          <w:rFonts w:ascii="Times New Roman" w:cs="Times New Roman" w:eastAsia="Times New Roman" w:hAnsi="Times New Roman"/>
          <w:sz w:val="18"/>
          <w:szCs w:val="18"/>
          <w:color w:val="auto"/>
        </w:rPr>
        <w:t>Our engineers develop algorithms and systems using our in-house cloud IDE which is connected to the simulation platform and the analytics platform. Our engineers can log into their cloud account to access code base and edit codes. The build barn makes code building process easier and faster as compared with local development. Our engineers can easily run the code, trigger cloud simulation, visualize the results, deep dive into the results and comparing results with road tests and other simulation results from the cloud-based IDE and the whole lifetime development can be done within this IDE. This greatly simplifies engineering development process for complex autonomous driving system and significantly accelerates the iteration cycles.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140"/>
          </w:cols>
          <w:pgMar w:left="320" w:top="455" w:right="4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Remote Assistance Platform</w:t>
      </w:r>
    </w:p>
    <w:p>
      <w:pPr>
        <w:spacing w:after="0" w:line="119" w:lineRule="exact"/>
        <w:rPr>
          <w:sz w:val="20"/>
          <w:szCs w:val="20"/>
          <w:color w:val="auto"/>
        </w:rPr>
      </w:pPr>
    </w:p>
    <w:p>
      <w:pPr>
        <w:ind w:left="120" w:right="100" w:firstLine="440"/>
        <w:spacing w:after="0" w:line="277" w:lineRule="auto"/>
        <w:rPr>
          <w:sz w:val="20"/>
          <w:szCs w:val="20"/>
          <w:color w:val="auto"/>
        </w:rPr>
      </w:pPr>
      <w:r>
        <w:rPr>
          <w:rFonts w:ascii="Times New Roman" w:cs="Times New Roman" w:eastAsia="Times New Roman" w:hAnsi="Times New Roman"/>
          <w:sz w:val="17"/>
          <w:szCs w:val="17"/>
          <w:color w:val="auto"/>
        </w:rPr>
        <w:t xml:space="preserve">We have established a remote assistance center for L4 autonomous driving, which allows us to manage and monitor a large autonomous driving vehicle fleet remotely, and to intervene, if needed. Our remote assistance platform ensures reliable connectivity and sets the foundation for our multiple redundant communication mechanisms and seamless remote interaction. The built-in multiple-carrier network redundancy further reduces signal transmission delay to less than 100ms, allowing our autonomous driving vehicles to operate with low latency. We adopt a </w:t>
      </w:r>
      <w:r>
        <w:rPr>
          <w:rFonts w:ascii="Times New Roman" w:cs="Times New Roman" w:eastAsia="Times New Roman" w:hAnsi="Times New Roman"/>
          <w:sz w:val="17"/>
          <w:szCs w:val="17"/>
          <w:i w:val="1"/>
          <w:iCs w:val="1"/>
          <w:color w:val="auto"/>
        </w:rPr>
        <w:t>Remote Hint</w:t>
      </w:r>
      <w:r>
        <w:rPr>
          <w:rFonts w:ascii="Times New Roman" w:cs="Times New Roman" w:eastAsia="Times New Roman" w:hAnsi="Times New Roman"/>
          <w:sz w:val="17"/>
          <w:szCs w:val="17"/>
          <w:color w:val="auto"/>
        </w:rPr>
        <w:t xml:space="preserve"> model which allows the control center to give “hints” and guide the decision-making of our automatous vehicles when necessary to enhance operational safety.</w:t>
      </w:r>
    </w:p>
    <w:p>
      <w:pPr>
        <w:spacing w:after="0" w:line="168"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As the regulatory framework governing autonomous driving continues to evolve around the world, regulations in certain jurisdictions require or are expected to require means to engage or disengage autonomous driving vehicle remotely. Our remote assistance platform therefore also represents a critical step towards achieving driverless operations and commercialization.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Showcases of our Technological Leadership</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Navigating Urban Village</w:t>
      </w:r>
    </w:p>
    <w:p>
      <w:pPr>
        <w:spacing w:after="0" w:line="119"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Our technologies have been tested and commercially proven in urban villages in China, formerly rural areas that have been taken over by the country’s growing cities and where road conditions are extremely dense and complex.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131445</wp:posOffset>
            </wp:positionV>
            <wp:extent cx="6077585" cy="17145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077585"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robotaxi achieved safe and smooth cruising in the meandering downtown in Guangzhou in 2020, which can only be achieved with the backing of sophisticated autonomous driving algorithms. Without the need of any human intervention, our robotaxi successfully navigated the congested and unpredictable road environment in an urban village setting.</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Enduring Extreme Weather</w:t>
      </w:r>
    </w:p>
    <w:p>
      <w:pPr>
        <w:spacing w:after="0" w:line="11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One of the most critical challenges in the development of autonomous driving vehicles and driver assistance systems is their relatively poor performance under adverse weather conditions such as snow and sandstorms. Our autonomous driving fleet successfully completed their trials in Heihe, China and Abu Dhabi, UAE, operating under an external temperature range of between -25°C to 45°C in 2021.</w:t>
      </w:r>
    </w:p>
    <w:p>
      <w:pPr>
        <w:spacing w:after="0" w:line="176"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Despite the significant amount of noises challenging our sensors during heavy snow and the strong reflection coming out of the icy road surface, our robotaxi and robobus were able to maintain accurate and safe operations in their road tests in Heihe. Our autonomous driving vehicles have also braved the sandy ambiance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120"/>
          </w:cols>
          <w:pgMar w:left="320" w:top="455" w:right="45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extreme heat in Abu Dhabi where dusts and high temperatures have the potential to cause electronic and mechanical components to malfunction.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171450</wp:posOffset>
            </wp:positionV>
            <wp:extent cx="5186045" cy="146558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86045" cy="1465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Ecosystem and Partners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Ecosystem Approach</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have established a robust ecosystem consisting of world-class partners that are crucial to our success. Many of our partners have also become our shareholders and invested in our future, demonstrating their strong conviction in our technology and go-to-market strategy and providing further validation to our product and service offerings. We believe our partnership network creates a significant and sustainable competitive advantage and allows us to stay ahead in terms of our technological competency and in our effort to commercialize autonomous driving technologies.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Partnerships with OEMs and Tier 1 Suppliers</w:t>
      </w:r>
    </w:p>
    <w:p>
      <w:pPr>
        <w:spacing w:after="0" w:line="121" w:lineRule="exact"/>
        <w:rPr>
          <w:sz w:val="20"/>
          <w:szCs w:val="20"/>
          <w:color w:val="auto"/>
        </w:rPr>
      </w:pPr>
    </w:p>
    <w:p>
      <w:pPr>
        <w:ind w:left="120" w:right="260" w:firstLine="440"/>
        <w:spacing w:after="0" w:line="289" w:lineRule="auto"/>
        <w:rPr>
          <w:sz w:val="20"/>
          <w:szCs w:val="20"/>
          <w:color w:val="auto"/>
        </w:rPr>
      </w:pPr>
      <w:r>
        <w:rPr>
          <w:rFonts w:ascii="Times New Roman" w:cs="Times New Roman" w:eastAsia="Times New Roman" w:hAnsi="Times New Roman"/>
          <w:sz w:val="17"/>
          <w:szCs w:val="17"/>
          <w:color w:val="auto"/>
        </w:rPr>
        <w:t>One important layer of the ecosystem is our partnership with world-class OEMs and Tier 1 suppliers, who played an important role in the development and manufacturing of our autonomous driving vehicles. These partnerships enable us to maintain strong control over supply chain and hardware design, while remaining asset-light and focusing on developing and upgrading our proprietary autonomous driving products and services.</w:t>
      </w:r>
    </w:p>
    <w:p>
      <w:pPr>
        <w:spacing w:after="0" w:line="158"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partner with OEMs to manufacture our L4 autonomous driving vehicles, and thereafter deploy them to provide mobility, logistics and other urban services, or, on-sell these vehicles to end-customers, depending on the specific vehicle type and the applicable business model. For more information, see “–Our Go-to-Market Strategy.”</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Our Partnership with Yutong</w:t>
      </w:r>
    </w:p>
    <w:p>
      <w:pPr>
        <w:spacing w:after="0" w:line="11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Yutong is one of the largest commercial vehicle manufacturers in the world and one of our investors. We join hands with Yutong to manufacture our robobus and robosweepers.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Our Partnership with JMC-Ford Motors</w:t>
      </w:r>
    </w:p>
    <w:p>
      <w:pPr>
        <w:spacing w:after="0" w:line="11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In 2021, we announced our partnership with JMC-Ford Motors, a key player in mainland China’s commercial vehicle industry, to manufacture a purpose-built L4 autonomous robovan that will bring the next-generation of logistic service. We plan for this new vehicle to achieve commercial production in 2023.</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Our Partnership with Hyundai</w:t>
      </w:r>
    </w:p>
    <w:p>
      <w:pPr>
        <w:spacing w:after="0" w:line="11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are partnering with Hyundai, a leading global OEM, for the launch of the world’s first hydrogen-powered autonomous-driving vehicle pilot zone in Guangzhou, promoting sustainable mobility and the adoption of hydrogen fuel cell battery for autonomous driving vehicles across various vehicle categories including robosweepers.</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000"/>
          </w:cols>
          <w:pgMar w:left="320" w:top="455" w:right="57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Ecosystem Partners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also work closely with other ecosystem partners in developing our L4 autonomous technologies, products and services.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Our Partnership with Baiyun Taxi Group</w:t>
      </w:r>
    </w:p>
    <w:p>
      <w:pPr>
        <w:spacing w:after="0" w:line="11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We have entered into a joint venture with Baiyun Taxi Group, an established taxi company in South China, to pilot robotaxi operations. The joint venture represents a perfect combination of our autonomous driving technology and Baiyun Taxi Group’s exceptional operation experience. Robotaxi trips can be easily booked through </w:t>
      </w:r>
      <w:r>
        <w:rPr>
          <w:rFonts w:ascii="Times New Roman" w:cs="Times New Roman" w:eastAsia="Times New Roman" w:hAnsi="Times New Roman"/>
          <w:sz w:val="18"/>
          <w:szCs w:val="18"/>
          <w:i w:val="1"/>
          <w:iCs w:val="1"/>
          <w:color w:val="auto"/>
        </w:rPr>
        <w:t>WeRide Go</w:t>
      </w:r>
      <w:r>
        <w:rPr>
          <w:rFonts w:ascii="Times New Roman" w:cs="Times New Roman" w:eastAsia="Times New Roman" w:hAnsi="Times New Roman"/>
          <w:sz w:val="18"/>
          <w:szCs w:val="18"/>
          <w:color w:val="auto"/>
        </w:rPr>
        <w: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Our Partnership with Guangzhou Public Transport Group No. 3 Bus Co., Ltd.</w:t>
      </w:r>
    </w:p>
    <w:p>
      <w:pPr>
        <w:spacing w:after="0" w:line="119"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We unveiled regular testing and reservation-based services to the public for our robobuses in Guangzhou in 2021 and we are working with Guangzhou Public Transport Group No. 3 Bus Co., Ltd. to broaden the launch of robobus services.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Our Partnership with ZTO</w:t>
      </w:r>
    </w:p>
    <w:p>
      <w:pPr>
        <w:spacing w:after="0" w:line="119"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We are partnering with ZTO, the largest delivery service company with the largest market share in China for the commercialization of our purpose-built L4 robovan. ZTO, a key pilot customer, integrates our robovans into its existing logistics network and deploy our autonomous driving vehicles for intra-city delivery of parcels.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Our Partnership with Bayanat</w:t>
      </w:r>
    </w:p>
    <w:p>
      <w:pPr>
        <w:spacing w:after="0" w:line="119"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We have also enabled our overseas partner, Bayanat (ADX: BAYANAT), a G42 company, to offer the first public robotaxi service in the United Arab Emirates in November 2021 by providing our vehicles and supporting services. We have continued to strengthen our partnerships through subsequent cooperation targeting enlarged operating areas. The partnership will also continue to explore robotaxi commercialization opportunities in UAE.</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Our Partnership with NVIDIA and other SoC Suppliers</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have been working with NVIDIA since 2017, when NVIDIA became our early-stage investor. The collaboration has since expanded to include adoption of multiple NVIDIA products, such as cloud-based GPU clusters and the NVIDIA DRIVE Xavier system-on-a-chip (SoC). We plan to leverage the power of NVIDIA DRIVE Orin SoC to accelerate the deployment and commercialization of our autonomous driving vehicles.</w:t>
      </w:r>
    </w:p>
    <w:p>
      <w:pPr>
        <w:spacing w:after="0" w:line="176"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We are also collaborating with other suppliers of semiconductor chips in order to secure sufficient supply to support our operations and planned expansion.</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Our Partnership with Hesai</w:t>
      </w:r>
    </w:p>
    <w:p>
      <w:pPr>
        <w:spacing w:after="0" w:line="11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work collaboratively with Hesai to develop advanced sensor suites that will empower autonomous driving vehicles to navigate hyper-complicated urban scenarios, offering industry-leading performance at an affordable price. We entered into a new strategic cooperation agreement with Hesai in February 2022 to promote the autonomous driving vehicle application of automotive grade hybrid solid-state LiDAR.</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Our Partnership with Robosense</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partner with Robosense to develop cost efficient advanced sensor suites designed for urban settings.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120"/>
          </w:cols>
          <w:pgMar w:left="320" w:top="455" w:right="45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Our Partnership with Johnson Electric</w:t>
      </w:r>
    </w:p>
    <w:p>
      <w:pPr>
        <w:spacing w:after="0" w:line="119" w:lineRule="exact"/>
        <w:rPr>
          <w:sz w:val="20"/>
          <w:szCs w:val="20"/>
          <w:color w:val="auto"/>
        </w:rPr>
      </w:pPr>
    </w:p>
    <w:p>
      <w:pPr>
        <w:jc w:val="both"/>
        <w:ind w:left="120" w:right="60" w:firstLine="440"/>
        <w:spacing w:after="0" w:line="312" w:lineRule="auto"/>
        <w:rPr>
          <w:sz w:val="20"/>
          <w:szCs w:val="20"/>
          <w:color w:val="auto"/>
        </w:rPr>
      </w:pPr>
      <w:r>
        <w:rPr>
          <w:rFonts w:ascii="Times New Roman" w:cs="Times New Roman" w:eastAsia="Times New Roman" w:hAnsi="Times New Roman"/>
          <w:sz w:val="17"/>
          <w:szCs w:val="17"/>
          <w:color w:val="auto"/>
        </w:rPr>
        <w:t>Johnson Electric has been an important partner since 2019. We work closely with Johnson Electric on specific electro-mechanical systems for L4 autonomous driving including the customization of sensor cleaning and cooling system. Johnson Electric also invested in our earlier round of financing.</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We face competition, both in China and globally, from autonomous driving companies that offer autonomous driving technologies, products and services. We also potentially face competition from automotive OEMs global-wise and other global technology giants, particularly those who are building internal autonomous driving development programs.</w:t>
      </w:r>
    </w:p>
    <w:p>
      <w:pPr>
        <w:spacing w:after="0" w:line="176"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Competition is based primarily on ability to source capital, technology, safety, efficiency, and cost-effectiveness. See “Industry — Comparison of Global Autonomous Driving Players.” Our future success will depend on our ability to maintain our leading competitive position with respect to our technological advances over our existing and any new competitors.</w:t>
      </w:r>
    </w:p>
    <w:p>
      <w:pPr>
        <w:spacing w:after="0" w:line="176"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believe our leading and propriety autonomous driving technologies, our highly differentiated approach to the offering of autonomous driving products and services, our alliances with key ecosystem partners, our focus and progress made on large-scale commercial deployment of autonomous driving vehicles and our deep bench of talent provide us with strong competitive differentiation.</w:t>
      </w:r>
    </w:p>
    <w:p>
      <w:pPr>
        <w:spacing w:after="0" w:line="176" w:lineRule="exact"/>
        <w:rPr>
          <w:sz w:val="20"/>
          <w:szCs w:val="20"/>
          <w:color w:val="auto"/>
        </w:rPr>
      </w:pPr>
    </w:p>
    <w:p>
      <w:pPr>
        <w:ind w:left="120" w:right="420" w:firstLine="440"/>
        <w:spacing w:after="0" w:line="261" w:lineRule="auto"/>
        <w:rPr>
          <w:sz w:val="20"/>
          <w:szCs w:val="20"/>
          <w:color w:val="auto"/>
        </w:rPr>
      </w:pPr>
      <w:r>
        <w:rPr>
          <w:rFonts w:ascii="Times New Roman" w:cs="Times New Roman" w:eastAsia="Times New Roman" w:hAnsi="Times New Roman"/>
          <w:sz w:val="18"/>
          <w:szCs w:val="18"/>
          <w:color w:val="auto"/>
        </w:rPr>
        <w:t>For additional information about the risks to our business related to competition, see “Risk Factors — Risks Related to Our Business and Industry —We face competition from current and future competitors. If we fail to commercialize our technology before our competitors, develop superior technology and products, or compete effectively, we may lose our market share or fail to gain additional market share, and our growth and financial condition may be adversely affected.”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We believe our strong research and development capability is our principal competitive strength. We have invested a significant amount of time and resources in research and development to solidify and maintain our industry leadership in the market. We have built a world-class team that is focused on rigorous engineering. As of December 31, 2022, we had over 500 top-notch engineers worldwide. Our research and development activities are conducted at multiple research and development centers.</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Our research and development expenses were RMB443.2 million (US$66.2 million) and RMB318.7 million (US$47.6 million) in 2021 and during the six months ended June 30, 2022,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2022, we had 207 issued patents and 624 pending patent applications globally. Our issued patents and patent applications cover our algorithms, embedded software, and a broad range of system level and component level aspects of autonomous technology, and we intend to continue to file additional patent applications with respect to our intellectual property.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patents cover the following:</w:t>
      </w:r>
    </w:p>
    <w:p>
      <w:pPr>
        <w:spacing w:after="0" w:line="131" w:lineRule="exact"/>
        <w:rPr>
          <w:sz w:val="20"/>
          <w:szCs w:val="20"/>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Planning and Control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Map and Localization</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120"/>
          </w:cols>
          <w:pgMar w:left="320" w:top="455" w:right="45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Hardware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ability to remain at the forefront of innovation in the autonomous driving industry depends largely on our ability to obtain, maintain, and protect our intellectual property and other proprietary rights relating to our technology and to successfully enforce these rights against third parties. To accomplish this, we rely on a combination of intellectual property rights, such as patents, trademarks, copyrights, and trade secrets (including know-how), in addition to internal policies, and employee and third-party nondisclosure agreements, intellectual property licenses, and other contractual rights. Specifically, we enter into confidentiality and non-disclosure agreements with our employees, ecosystem partners (including suppliers) and other relevant parties to protect our proprietary rights. We also enact internal policies and procedures and employ encryptions and data security measures to provide additional safeguards. The foregoing notwithstanding, there can be no assurance that our efforts will be successful. Even if our efforts are successful, we may incur significant costs in defending our rights.</w:t>
      </w:r>
    </w:p>
    <w:p>
      <w:pPr>
        <w:spacing w:after="0" w:line="19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It is equally important for us to operate without infringing, misappropriating, or otherwise violating the intellectual property or proprietary rights of others. From time to time, third parties may initiate litigation against us alleging infringement of their proprietary rights.</w:t>
      </w:r>
    </w:p>
    <w:p>
      <w:pPr>
        <w:spacing w:after="0" w:line="162"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A comprehensive discussion on risks relating to intellectual property is provided under the sections titled “Risk Factors—Risks Related to Our Business and Industry—We may not be able to adequately establish, maintain, protect and enforce our intellectual property and proprietary rights or prevent others from unauthorized use of our technology and intellectual property rights, which could harm our business and competitive position and also make us subject to ligations brought by third parties,” “Risk Factors—Risks Related to Our Business and Industry—We may not be able to adequately establish, maintain, protect and enforce our intellectual property and proprietary rights or prevent others from unauthorized use of our technology and intellectual property rights, which could harm our business and competitive position and also make us subject to ligations brought by third parties,” “Risk Factors—Risks Related to Our Business and Industry—In addition to patented technology, we rely on our unpatented proprietary technology, trade secrets, processes and know-how,” “Risk Factors—Risks Related to Our Business and Industry—We utilize open-source software, which may pose particular risks to our proprietary technologies, products, and services in a manner that could harm our business,” and “Risk Factors— Risks Related to Our Business and Industry—We may be subject to intellectual property infringement claims, which may be expensive to defend and may disrupt our business and operations.”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People</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2022, we had 639 employees globally, comprising 508 employees engaged in research and development and related technical and engineering functions.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Function</w:t>
            </w:r>
          </w:p>
        </w:tc>
        <w:tc>
          <w:tcPr>
            <w:tcW w:w="4060" w:type="dxa"/>
            <w:vAlign w:val="bottom"/>
          </w:tcPr>
          <w:p>
            <w:pPr>
              <w:spacing w:after="0"/>
              <w:rPr>
                <w:sz w:val="15"/>
                <w:szCs w:val="15"/>
                <w:color w:val="auto"/>
              </w:rPr>
            </w:pPr>
          </w:p>
        </w:tc>
        <w:tc>
          <w:tcPr>
            <w:tcW w:w="2560" w:type="dxa"/>
            <w:vAlign w:val="bottom"/>
            <w:gridSpan w:val="2"/>
          </w:tcPr>
          <w:p>
            <w:pPr>
              <w:jc w:val="right"/>
              <w:ind w:right="1180"/>
              <w:spacing w:after="0"/>
              <w:rPr>
                <w:sz w:val="20"/>
                <w:szCs w:val="20"/>
                <w:color w:val="auto"/>
              </w:rPr>
            </w:pPr>
            <w:r>
              <w:rPr>
                <w:rFonts w:ascii="Times New Roman" w:cs="Times New Roman" w:eastAsia="Times New Roman" w:hAnsi="Times New Roman"/>
                <w:sz w:val="14"/>
                <w:szCs w:val="14"/>
                <w:b w:val="1"/>
                <w:bCs w:val="1"/>
                <w:color w:val="auto"/>
              </w:rPr>
              <w:t>Number of Employees</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Percentage (%)</w:t>
            </w:r>
          </w:p>
        </w:tc>
        <w:tc>
          <w:tcPr>
            <w:tcW w:w="0" w:type="dxa"/>
            <w:vAlign w:val="bottom"/>
          </w:tcPr>
          <w:p>
            <w:pPr>
              <w:spacing w:after="0"/>
              <w:rPr>
                <w:sz w:val="1"/>
                <w:szCs w:val="1"/>
                <w:color w:val="auto"/>
              </w:rPr>
            </w:pPr>
          </w:p>
        </w:tc>
      </w:tr>
      <w:tr>
        <w:trPr>
          <w:trHeight w:val="20"/>
        </w:trPr>
        <w:tc>
          <w:tcPr>
            <w:tcW w:w="46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80" w:type="dxa"/>
            <w:vAlign w:val="bottom"/>
            <w:shd w:val="clear" w:color="auto" w:fill="000000"/>
          </w:tcPr>
          <w:p>
            <w:pPr>
              <w:spacing w:after="0" w:line="20" w:lineRule="exact"/>
              <w:rPr>
                <w:sz w:val="1"/>
                <w:szCs w:val="1"/>
                <w:color w:val="auto"/>
              </w:rPr>
            </w:pPr>
          </w:p>
        </w:tc>
        <w:tc>
          <w:tcPr>
            <w:tcW w:w="1180" w:type="dxa"/>
            <w:vAlign w:val="bottom"/>
            <w:vMerge w:val="restart"/>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20" w:type="dxa"/>
            <w:vAlign w:val="bottom"/>
            <w:gridSpan w:val="2"/>
            <w:vMerge w:val="continue"/>
            <w:shd w:val="clear" w:color="auto" w:fill="CCEEFF"/>
          </w:tcPr>
          <w:p>
            <w:pPr>
              <w:spacing w:after="0"/>
              <w:rPr>
                <w:sz w:val="17"/>
                <w:szCs w:val="17"/>
                <w:color w:val="auto"/>
              </w:rPr>
            </w:pPr>
          </w:p>
        </w:tc>
        <w:tc>
          <w:tcPr>
            <w:tcW w:w="13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508</w:t>
            </w:r>
          </w:p>
        </w:tc>
        <w:tc>
          <w:tcPr>
            <w:tcW w:w="1180" w:type="dxa"/>
            <w:vAlign w:val="bottom"/>
            <w:vMerge w:val="continue"/>
            <w:shd w:val="clear" w:color="auto" w:fill="CCEEFF"/>
          </w:tcPr>
          <w:p>
            <w:pPr>
              <w:spacing w:after="0"/>
              <w:rPr>
                <w:sz w:val="17"/>
                <w:szCs w:val="17"/>
                <w:color w:val="auto"/>
              </w:rPr>
            </w:pPr>
          </w:p>
        </w:tc>
        <w:tc>
          <w:tcPr>
            <w:tcW w:w="1180" w:type="dxa"/>
            <w:vAlign w:val="bottom"/>
            <w:gridSpan w:val="2"/>
            <w:shd w:val="clear" w:color="auto" w:fill="CCEEFF"/>
          </w:tcPr>
          <w:p>
            <w:pPr>
              <w:jc w:val="right"/>
              <w:ind w:right="80"/>
              <w:spacing w:after="0" w:line="203" w:lineRule="exact"/>
              <w:rPr>
                <w:sz w:val="20"/>
                <w:szCs w:val="20"/>
                <w:color w:val="auto"/>
              </w:rPr>
            </w:pPr>
            <w:r>
              <w:rPr>
                <w:rFonts w:ascii="Times New Roman" w:cs="Times New Roman" w:eastAsia="Times New Roman" w:hAnsi="Times New Roman"/>
                <w:sz w:val="18"/>
                <w:szCs w:val="18"/>
                <w:color w:val="auto"/>
              </w:rPr>
              <w:t>79.5%</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560" w:type="dxa"/>
            <w:vAlign w:val="bottom"/>
            <w:gridSpan w:val="2"/>
          </w:tcPr>
          <w:p>
            <w:pPr>
              <w:jc w:val="right"/>
              <w:ind w:right="1180"/>
              <w:spacing w:after="0"/>
              <w:rPr>
                <w:sz w:val="20"/>
                <w:szCs w:val="20"/>
                <w:color w:val="auto"/>
              </w:rPr>
            </w:pPr>
            <w:r>
              <w:rPr>
                <w:rFonts w:ascii="Times New Roman" w:cs="Times New Roman" w:eastAsia="Times New Roman" w:hAnsi="Times New Roman"/>
                <w:sz w:val="18"/>
                <w:szCs w:val="18"/>
                <w:color w:val="auto"/>
              </w:rPr>
              <w:t>20</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Operations</w:t>
            </w:r>
          </w:p>
        </w:tc>
        <w:tc>
          <w:tcPr>
            <w:tcW w:w="2560" w:type="dxa"/>
            <w:vAlign w:val="bottom"/>
            <w:gridSpan w:val="2"/>
            <w:shd w:val="clear" w:color="auto" w:fill="CCEEFF"/>
          </w:tcPr>
          <w:p>
            <w:pPr>
              <w:jc w:val="right"/>
              <w:ind w:right="1180"/>
              <w:spacing w:after="0"/>
              <w:rPr>
                <w:sz w:val="20"/>
                <w:szCs w:val="20"/>
                <w:color w:val="auto"/>
              </w:rPr>
            </w:pPr>
            <w:r>
              <w:rPr>
                <w:rFonts w:ascii="Times New Roman" w:cs="Times New Roman" w:eastAsia="Times New Roman" w:hAnsi="Times New Roman"/>
                <w:sz w:val="18"/>
                <w:szCs w:val="18"/>
                <w:color w:val="auto"/>
              </w:rPr>
              <w:t>91</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management and administration</w:t>
            </w:r>
          </w:p>
        </w:tc>
        <w:tc>
          <w:tcPr>
            <w:tcW w:w="2560" w:type="dxa"/>
            <w:vAlign w:val="bottom"/>
            <w:gridSpan w:val="2"/>
          </w:tcPr>
          <w:p>
            <w:pPr>
              <w:jc w:val="right"/>
              <w:ind w:right="1180"/>
              <w:spacing w:after="0"/>
              <w:rPr>
                <w:sz w:val="20"/>
                <w:szCs w:val="20"/>
                <w:color w:val="auto"/>
              </w:rPr>
            </w:pPr>
            <w:r>
              <w:rPr>
                <w:rFonts w:ascii="Times New Roman" w:cs="Times New Roman" w:eastAsia="Times New Roman" w:hAnsi="Times New Roman"/>
                <w:sz w:val="18"/>
                <w:szCs w:val="18"/>
                <w:color w:val="auto"/>
              </w:rPr>
              <w:t>20</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1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560" w:type="dxa"/>
            <w:vAlign w:val="bottom"/>
            <w:gridSpan w:val="2"/>
            <w:shd w:val="clear" w:color="auto" w:fill="CCEEFF"/>
          </w:tcPr>
          <w:p>
            <w:pPr>
              <w:jc w:val="right"/>
              <w:ind w:right="1180"/>
              <w:spacing w:after="0"/>
              <w:rPr>
                <w:sz w:val="20"/>
                <w:szCs w:val="20"/>
                <w:color w:val="auto"/>
              </w:rPr>
            </w:pPr>
            <w:r>
              <w:rPr>
                <w:rFonts w:ascii="Times New Roman" w:cs="Times New Roman" w:eastAsia="Times New Roman" w:hAnsi="Times New Roman"/>
                <w:sz w:val="18"/>
                <w:szCs w:val="18"/>
                <w:b w:val="1"/>
                <w:bCs w:val="1"/>
                <w:color w:val="auto"/>
              </w:rPr>
              <w:t>639</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100%</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2022, we had 536 employees based in mainland China and 103 employees outside mainland China.</w:t>
      </w:r>
    </w:p>
    <w:p>
      <w:pPr>
        <w:spacing w:after="0" w:line="225"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Our success depends on our ability to attract, motivate, train and retain qualified employees. We believe we offer our employees competitive compensation packages and an environment that encourages innovation and creativity. As a result, we have generally been successful in attracting and retaining qualified employees. Our</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080"/>
          </w:cols>
          <w:pgMar w:left="320" w:top="455" w:right="49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employees have set up a labor union in China according to the applicable PRC laws and regulations. To date, we have not experienced any labor strike, and we consider our relationship with our employees to be good.</w:t>
      </w:r>
    </w:p>
    <w:p>
      <w:pPr>
        <w:spacing w:after="0" w:line="16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As required by regulations in mainland China, we participate in various employee social security plans that are organized by municipal and provincial governments for our PRC-based employees, including pension insurance, unemployment insurance, maternity insurance, work-related injury insurance, medical insurance, and housing provident fund. We are required under PRC law to make contributions to employee benefit plans occasionally for our PRC-based employees at specified percentages of their salaries, bonuses and certain allowances of such employees, up to a maximum amount specified by local governments in mainland China.</w:t>
      </w:r>
    </w:p>
    <w:p>
      <w:pPr>
        <w:spacing w:after="0" w:line="183"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enter into standard employment agreements with our employees. We also enter into standard confidentiality and non-compete agreements with our employees in accordance with common market practice.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Environmental, Social and Governance</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We are committed to corporate social responsibility and we aim to create a positive social, environmental and economic impact. We have implemented initiatives on Sustainability and Corporate Social Responsibility, or CSR, and Environmental, Social and Governance, or ESG, making social and environmental impact a core factor in many of our business decisions. We are committed to collaborating closely with industry stakeholders and domestic and international organizations to support broader industry-wide CSR and ESG practices, to explore multi-dimensional use cases for our technology, to empower traditional industries with our capabilities and to promote the long-term sustainability of our society.</w:t>
      </w:r>
    </w:p>
    <w:p>
      <w:pPr>
        <w:spacing w:after="0" w:line="183"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safety benefits of our autonomous driving vehicles are paramount. We believe our autonomous technology products and services deliver a safer transportation experience both for the passengers and the surrounding environment. It does so by significantly reducing the risk of accidents, particularly for those associated with human errors which contribute to 90% of traffic accidents. Our autonomous driving vehicles have not caused any safety incidents as of the date of this prospectus after more than 1,100 days of commercial operations on open road.</w:t>
      </w:r>
    </w:p>
    <w:p>
      <w:pPr>
        <w:spacing w:after="0" w:line="180"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are committed to decarbonization and the building of a greener and more sustainable future. One core benefit of our autonomous technology is the optimization of vehicle controls and maneuvers and in turn the improvement of energy efficiency. L4 autonomous driving system is able to reduce energy consumption per 100 kilometers by over 15% due to automated lane-changing acceleration/deceleration and braking functions. During a four-month period of open road trial conducted in 2022, our robosweepers achieved a reduction of more than 20,000 kilograms in carbon dioxide emission as compared with conventional street cleaning vehicles. We are dedicated to further advancing our technology for better management of environmental footprint of passengers and freight transportations globally. We are also working with our partners, such as Hyundai, to promote sustainable mobility and the adoption of clean energy.</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trusted vehicles delivered hope in times of need. As a recent testament to our commitment to CSR and the social benefits that our autonomous driving technologies are capable of bringing, we joined the fight against the spread of the coronavirus and rolled out our autonomous driving fleet to help quarantined communities. Various districts in Guangzhou were put under emergent lockdown in May 2021. Medical supplies and necessities were direly needed but delivery made through conventional manned-transportations was not possible due to risks of human–human infection. We urgently set up collection sites for materials to be delivered and dispatched our robotaxis and robobuses to fulfil the task. In the course of 20 days, our autonomous driving vehicles completed over 500 consignments and delivered more than 20,000 pieces of items, including over 100 tons of food, medicine, infant formula, study materials etc., in the hands of quarantined households.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Our corporate headquarters are located in Guangzhou, China. As of June 30, 2022, our headquarters span a total area of approximately 12,896 square meters and encompass the need of corporate administration, research</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120"/>
          </w:cols>
          <w:pgMar w:left="320" w:top="455" w:right="45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312" w:lineRule="auto"/>
        <w:rPr>
          <w:sz w:val="20"/>
          <w:szCs w:val="20"/>
          <w:color w:val="auto"/>
        </w:rPr>
      </w:pPr>
      <w:r>
        <w:rPr>
          <w:rFonts w:ascii="Times New Roman" w:cs="Times New Roman" w:eastAsia="Times New Roman" w:hAnsi="Times New Roman"/>
          <w:sz w:val="17"/>
          <w:szCs w:val="17"/>
          <w:color w:val="auto"/>
        </w:rPr>
        <w:t>and development and production. In addition to our headquarters, we also lease offices in mainland China and elsewhere in the world. We believe our existing facilities are generally adequate to meet our current needs, but we expect to seek additional space as needed to accommodate future growth.</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Data Privacy and Security</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collect, use, store, transmit and otherwise process various types of data. The localization, perception, prediction, planning and control modules on our autonomous driving vehicles collect and generate certain types of data, such as street view and architecture images, while in operation and during road tests. These data are collected and processed in compliance with applicable laws and regulations in all material respects and are utilized for the research and development, simulation and testing of our autonomous driving technologies, as well as for the operation and monitoring of our autonomous driving fleet. We also collaborate with a service provider that possesses a navigation electronic map production and surveying license. Under the cooperation, the service provider provides us with HD maps services to complement the vision of our sensors.</w:t>
      </w:r>
    </w:p>
    <w:p>
      <w:pPr>
        <w:spacing w:after="0" w:line="185"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We are committed to protecting personal information and privacy. The operation of our robotaxi services through </w:t>
      </w:r>
      <w:r>
        <w:rPr>
          <w:rFonts w:ascii="Times New Roman" w:cs="Times New Roman" w:eastAsia="Times New Roman" w:hAnsi="Times New Roman"/>
          <w:sz w:val="18"/>
          <w:szCs w:val="18"/>
          <w:i w:val="1"/>
          <w:iCs w:val="1"/>
          <w:color w:val="auto"/>
        </w:rPr>
        <w:t>WeRide Go</w:t>
      </w:r>
      <w:r>
        <w:rPr>
          <w:rFonts w:ascii="Times New Roman" w:cs="Times New Roman" w:eastAsia="Times New Roman" w:hAnsi="Times New Roman"/>
          <w:sz w:val="18"/>
          <w:szCs w:val="18"/>
          <w:color w:val="auto"/>
        </w:rPr>
        <w:t xml:space="preserve"> involves the collection and processing of contact information and other information of our passengers that is necessary for the delivery of our services as well as certain basic personal information of our safety drivers. The privacy policy of </w:t>
      </w:r>
      <w:r>
        <w:rPr>
          <w:rFonts w:ascii="Times New Roman" w:cs="Times New Roman" w:eastAsia="Times New Roman" w:hAnsi="Times New Roman"/>
          <w:sz w:val="18"/>
          <w:szCs w:val="18"/>
          <w:i w:val="1"/>
          <w:iCs w:val="1"/>
          <w:color w:val="auto"/>
        </w:rPr>
        <w:t>WeRide Go</w:t>
      </w:r>
      <w:r>
        <w:rPr>
          <w:rFonts w:ascii="Times New Roman" w:cs="Times New Roman" w:eastAsia="Times New Roman" w:hAnsi="Times New Roman"/>
          <w:sz w:val="18"/>
          <w:szCs w:val="18"/>
          <w:color w:val="auto"/>
        </w:rPr>
        <w:t xml:space="preserve"> outlines what personal information is being collected and how we collect and utilize personal data. It also describes our use practices and how privacy works on our platform. Specially, we provide user of </w:t>
      </w:r>
      <w:r>
        <w:rPr>
          <w:rFonts w:ascii="Times New Roman" w:cs="Times New Roman" w:eastAsia="Times New Roman" w:hAnsi="Times New Roman"/>
          <w:sz w:val="18"/>
          <w:szCs w:val="18"/>
          <w:i w:val="1"/>
          <w:iCs w:val="1"/>
          <w:color w:val="auto"/>
        </w:rPr>
        <w:t>WeRide Go</w:t>
      </w:r>
      <w:r>
        <w:rPr>
          <w:rFonts w:ascii="Times New Roman" w:cs="Times New Roman" w:eastAsia="Times New Roman" w:hAnsi="Times New Roman"/>
          <w:sz w:val="18"/>
          <w:szCs w:val="18"/>
          <w:color w:val="auto"/>
        </w:rPr>
        <w:t xml:space="preserve"> with prior notice and obtain their consent before any of their personal information is collected or processed.</w:t>
      </w:r>
    </w:p>
    <w:p>
      <w:pPr>
        <w:spacing w:after="0" w:line="185"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After personal information of traffic participants outside the vehicles, such as license plate number or human face, is picked up by the sensor suite on our autonomous driving vehicles, it is automatically desensitized at the time when such information is uploaded onto the cloud-based data platform and the original video clips which contain the relevant personal information will then be removed. We also implement a stringent data control system to ensure that only authorized personnel can view and retrieve these video clips and in a manner that meets security, privacy and compliance requirements. All data is stored and processed locally. We do not engage in any cross-border transfer of personal information, important data or geographic information data.</w:t>
      </w:r>
    </w:p>
    <w:p>
      <w:pPr>
        <w:spacing w:after="0" w:line="187"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We have also invested in developing a rigorous information security system and governance framework and implemented procedures defining roles and responsibilities for managing information security. Our information security and compliance efforts are headed by the Information Security Steering Committee and supported by our Information Security Supervisory Committee, which oversees the management of information security, and our Information Security Planning Committee, which devises information security strategies and planning. We have also set up an Information Security Execution Committee that works closely with other departments to jointly establish and enforce procedures regarding the management of information security. We have also designated specific personnel to be responsible for cybersecurity, data security and privacy.</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have established a comprehensive system to regulate our data processing activities. These procedures and policies guide the strategy of our information security and compliance initiatives, prescribe a hierarchical data classification and management system, clarify the management and compliance requirements applicable to the full data processing cycle and for cybersecurity and information system security, mandate trainings for related personnel, and prescribe data security and compliance risk assessment and audit procedures. We have also set up an emergency response mechanism for information security incidents. All our personnel are required to strictly follow our internal rules, policies and protocols to safeguard the integrity of our data.</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utilize a variety of technology solutions to enhance information security and detect risks and vulnerabilities, including:</w:t>
      </w:r>
    </w:p>
    <w:p>
      <w:pPr>
        <w:spacing w:after="0" w:line="127" w:lineRule="exact"/>
        <w:rPr>
          <w:sz w:val="20"/>
          <w:szCs w:val="20"/>
          <w:color w:val="auto"/>
        </w:rPr>
      </w:pPr>
    </w:p>
    <w:p>
      <w:pPr>
        <w:ind w:left="1080" w:right="300" w:hanging="424"/>
        <w:spacing w:after="0" w:line="268"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Data transmission</w:t>
      </w:r>
      <w:r>
        <w:rPr>
          <w:rFonts w:ascii="Times New Roman" w:cs="Times New Roman" w:eastAsia="Times New Roman" w:hAnsi="Times New Roman"/>
          <w:sz w:val="18"/>
          <w:szCs w:val="18"/>
          <w:color w:val="auto"/>
        </w:rPr>
        <w:t>. We use HTTPS and adopt certification requirements to enable encrypted transmission of data in the production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environment. Our cloud service providers conduct regular security assessments and vulnerability scanning and provide regular security updates and patches.</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120"/>
          </w:cols>
          <w:pgMar w:left="320" w:top="455" w:right="45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080" w:right="40" w:hanging="424"/>
        <w:spacing w:after="0" w:line="268"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Data storage</w:t>
      </w:r>
      <w:r>
        <w:rPr>
          <w:rFonts w:ascii="Times New Roman" w:cs="Times New Roman" w:eastAsia="Times New Roman" w:hAnsi="Times New Roman"/>
          <w:sz w:val="18"/>
          <w:szCs w:val="18"/>
          <w:color w:val="auto"/>
        </w:rPr>
        <w:t>. Our data are stored in data centers. We use encryption for data in storage media to protect against unauthorized access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processing in accordance with applicable laws and regulations. Offline files can only be accessed through a specific software and hardware system.</w:t>
      </w:r>
    </w:p>
    <w:p>
      <w:pPr>
        <w:spacing w:after="0" w:line="76" w:lineRule="exact"/>
        <w:rPr>
          <w:rFonts w:ascii="Times New Roman" w:cs="Times New Roman" w:eastAsia="Times New Roman" w:hAnsi="Times New Roman"/>
          <w:sz w:val="18"/>
          <w:szCs w:val="18"/>
          <w:color w:val="auto"/>
        </w:rPr>
      </w:pPr>
    </w:p>
    <w:p>
      <w:pPr>
        <w:ind w:left="1080" w:right="40" w:hanging="424"/>
        <w:spacing w:after="0" w:line="26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Data access</w:t>
      </w:r>
      <w:r>
        <w:rPr>
          <w:rFonts w:ascii="Times New Roman" w:cs="Times New Roman" w:eastAsia="Times New Roman" w:hAnsi="Times New Roman"/>
          <w:sz w:val="18"/>
          <w:szCs w:val="18"/>
          <w:color w:val="auto"/>
        </w:rPr>
        <w:t>. We implement a stringent data access control system to ensure that only authorized personnel can view and retrieve data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data repositories and in a manner that meets security, privacy and compliance requirements. Our employees are granted access to the minimum extent that is necessary to fulfill their job responsibilities and are required to go through strict authorization and authentication procedures for data access.</w:t>
      </w:r>
    </w:p>
    <w:p>
      <w:pPr>
        <w:spacing w:after="0" w:line="81" w:lineRule="exact"/>
        <w:rPr>
          <w:rFonts w:ascii="Times New Roman" w:cs="Times New Roman" w:eastAsia="Times New Roman" w:hAnsi="Times New Roman"/>
          <w:sz w:val="18"/>
          <w:szCs w:val="18"/>
          <w:color w:val="auto"/>
        </w:rPr>
      </w:pPr>
    </w:p>
    <w:p>
      <w:pPr>
        <w:ind w:left="1080" w:right="120" w:hanging="424"/>
        <w:spacing w:after="0" w:line="286"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Backup and recovery</w:t>
      </w:r>
      <w:r>
        <w:rPr>
          <w:rFonts w:ascii="Times New Roman" w:cs="Times New Roman" w:eastAsia="Times New Roman" w:hAnsi="Times New Roman"/>
          <w:sz w:val="18"/>
          <w:szCs w:val="18"/>
          <w:color w:val="auto"/>
        </w:rPr>
        <w:t>. Data is stored in multiple sites to provide for redundancy when disaster strikes. In the event of failure in any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data centers, the back-up site helps to ensure minimal to no downtime so we are able to immediately adopt a plan for data recovery.</w:t>
      </w:r>
    </w:p>
    <w:p>
      <w:pPr>
        <w:spacing w:after="0" w:line="60" w:lineRule="exact"/>
        <w:rPr>
          <w:rFonts w:ascii="Times New Roman" w:cs="Times New Roman" w:eastAsia="Times New Roman" w:hAnsi="Times New Roman"/>
          <w:sz w:val="18"/>
          <w:szCs w:val="18"/>
          <w:color w:val="auto"/>
        </w:rPr>
      </w:pPr>
    </w:p>
    <w:p>
      <w:pPr>
        <w:ind w:left="1080" w:right="560" w:hanging="424"/>
        <w:spacing w:after="0" w:line="286"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Information security procedures and system</w:t>
      </w:r>
      <w:r>
        <w:rPr>
          <w:rFonts w:ascii="Times New Roman" w:cs="Times New Roman" w:eastAsia="Times New Roman" w:hAnsi="Times New Roman"/>
          <w:sz w:val="18"/>
          <w:szCs w:val="18"/>
          <w:color w:val="auto"/>
        </w:rPr>
        <w:t>. We have a vulnerability management system that is able to report and rectify security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breaches. Emergency response plans are in place to handle data breaches or other security incidents.</w:t>
      </w:r>
    </w:p>
    <w:p>
      <w:pPr>
        <w:spacing w:after="0" w:line="60" w:lineRule="exact"/>
        <w:rPr>
          <w:rFonts w:ascii="Times New Roman" w:cs="Times New Roman" w:eastAsia="Times New Roman" w:hAnsi="Times New Roman"/>
          <w:sz w:val="18"/>
          <w:szCs w:val="18"/>
          <w:color w:val="auto"/>
        </w:rPr>
      </w:pPr>
    </w:p>
    <w:p>
      <w:pPr>
        <w:ind w:left="1080" w:hanging="424"/>
        <w:spacing w:after="0" w:line="268"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Prevention of data leakage</w:t>
      </w:r>
      <w:r>
        <w:rPr>
          <w:rFonts w:ascii="Times New Roman" w:cs="Times New Roman" w:eastAsia="Times New Roman" w:hAnsi="Times New Roman"/>
          <w:sz w:val="18"/>
          <w:szCs w:val="18"/>
          <w:color w:val="auto"/>
        </w:rPr>
        <w:t>. We have adopted data encryption, data leakage prevention and monitoring, and other common security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measures for our office equipment, network and telecommunication devices. We have additionally enabled customized data leakage prevention software and security policies on computers of our R&amp;D engineers to guard against unauthorized access or transmission of data.</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maintain employer’s liability insurance, compulsory vehicle insurance and commercial general liability insurance. We consider our insurance coverage to be adequate, as we have in place all insurance policies mandated by Chinese laws and regulations, and in line with common commercial practices in our industry.</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Pursuant to PRC regulations, we provide social insurance including pension insurance, unemployment insurance, work-related injury insurance and medical insurance for our employees based in mainland China. We also purchase additional commercial insurance to increase insurance coverage of our employees.</w:t>
      </w:r>
    </w:p>
    <w:p>
      <w:pPr>
        <w:spacing w:after="0" w:line="176"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We maintain insurance with respect to carrier’s liability and third party liability for our autonomous driving vehicles. We have also obtained insurance coverage for losses of and damages to our autonomous driving vehicles and their respective equipment.</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also attempt to mitigate the risks of liabilities and claims by subjecting our autonomous driving vehicles to rigid testing and by including security features in product design. To enhance the safety level of our products and operations, we are also establishing a remote assistance center which allows us to manage and monitor our autonomous driving fleet in operation, and to intervene, where necessary.</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Consistent with customary industry practice in mainland China, we do not maintain business interruption insurance, key-man insurance or insurance policies covering damages to our properties, facilities or technical infrastructure. Any uninsured occurrence of business disruption, natural disaster, liabilities, claims, or losses of or significant damages to our uninsured equipment, facilities or properties could have a material adverse effect on our results of operations. See “Risk Factors—Risks Relating to Our Business—We have limited insurance coverage, which could expose us to significant costs and business disruption.”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We are currently not a party to any material legal or administrative proceedings. We are from time to time involved in actions, claims, suits and other proceedings incidental to our business, including those arising out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140"/>
          </w:cols>
          <w:pgMar w:left="320" w:top="455" w:right="4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contractual disputes, competition, intellectual property matters, and employment-related matters. Regardless of the outcome, litigation or any other legal or administrative proceeding, can have an adverse impact on us and can result in substantial cost and diversion of our resources, including our management’s time and attention.</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080"/>
          </w:cols>
          <w:pgMar w:left="320" w:top="455" w:right="49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REGULATIONS</w:t>
      </w:r>
    </w:p>
    <w:p>
      <w:pPr>
        <w:spacing w:after="0" w:line="227" w:lineRule="exact"/>
        <w:rPr>
          <w:sz w:val="20"/>
          <w:szCs w:val="20"/>
          <w:color w:val="auto"/>
        </w:rPr>
      </w:pPr>
    </w:p>
    <w:p>
      <w:pPr>
        <w:ind w:left="120" w:right="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This section sets forth a summary of the most significant rules and regulations of mainland China and elsewhere that affect our business activities and the rights of our shareholders to receive dividends and other distributions from us.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Regulations in Mainland China</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Regulations Relating to Foreign Investment</w:t>
      </w:r>
    </w:p>
    <w:p>
      <w:pPr>
        <w:spacing w:after="0" w:line="119"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color w:val="auto"/>
        </w:rPr>
        <w:t xml:space="preserve">Investment activities in mainland China by foreign investors are principally regulated by (i) the </w:t>
      </w:r>
      <w:r>
        <w:rPr>
          <w:rFonts w:ascii="Times New Roman" w:cs="Times New Roman" w:eastAsia="Times New Roman" w:hAnsi="Times New Roman"/>
          <w:sz w:val="18"/>
          <w:szCs w:val="18"/>
          <w:i w:val="1"/>
          <w:iCs w:val="1"/>
          <w:color w:val="auto"/>
        </w:rPr>
        <w:t>Catalog of Industries for Encouraging Foreign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Investment, </w:t>
      </w:r>
      <w:r>
        <w:rPr>
          <w:rFonts w:ascii="Times New Roman" w:cs="Times New Roman" w:eastAsia="Times New Roman" w:hAnsi="Times New Roman"/>
          <w:sz w:val="18"/>
          <w:szCs w:val="18"/>
          <w:color w:val="auto"/>
        </w:rPr>
        <w:t>or the Encouraging Catalog, (ii) the</w:t>
      </w:r>
      <w:r>
        <w:rPr>
          <w:rFonts w:ascii="Times New Roman" w:cs="Times New Roman" w:eastAsia="Times New Roman" w:hAnsi="Times New Roman"/>
          <w:sz w:val="18"/>
          <w:szCs w:val="18"/>
          <w:i w:val="1"/>
          <w:iCs w:val="1"/>
          <w:color w:val="auto"/>
        </w:rPr>
        <w:t xml:space="preserve"> Special Administrative Measures for Access of Foreign Investments</w:t>
      </w:r>
      <w:r>
        <w:rPr>
          <w:rFonts w:ascii="Times New Roman" w:cs="Times New Roman" w:eastAsia="Times New Roman" w:hAnsi="Times New Roman"/>
          <w:sz w:val="18"/>
          <w:szCs w:val="18"/>
          <w:color w:val="auto"/>
        </w:rPr>
        <w:t>, or the Negative List, each of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was promulgated and are amended from time to time by the Ministry of Commerce, or the MOFCOM, and the National Development and Reform Commission, or the NDRC, and (iii) the </w:t>
      </w:r>
      <w:r>
        <w:rPr>
          <w:rFonts w:ascii="Times New Roman" w:cs="Times New Roman" w:eastAsia="Times New Roman" w:hAnsi="Times New Roman"/>
          <w:sz w:val="18"/>
          <w:szCs w:val="18"/>
          <w:i w:val="1"/>
          <w:iCs w:val="1"/>
          <w:color w:val="auto"/>
        </w:rPr>
        <w:t>Foreign Investment Law of the People’s Republic of China,</w:t>
      </w:r>
      <w:r>
        <w:rPr>
          <w:rFonts w:ascii="Times New Roman" w:cs="Times New Roman" w:eastAsia="Times New Roman" w:hAnsi="Times New Roman"/>
          <w:sz w:val="18"/>
          <w:szCs w:val="18"/>
          <w:color w:val="auto"/>
        </w:rPr>
        <w:t xml:space="preserve"> or the Foreign Investment Law, which was adopted by the National People’s Congress on March 15, 2019, and became effective on January 1, 2020, as well as their respective implementation rules and ancillary regulations.</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Guidance Catalog of Industries for Foreign Investment</w:t>
      </w:r>
    </w:p>
    <w:p>
      <w:pPr>
        <w:spacing w:after="0" w:line="121" w:lineRule="exact"/>
        <w:rPr>
          <w:sz w:val="20"/>
          <w:szCs w:val="20"/>
          <w:color w:val="auto"/>
        </w:rPr>
      </w:pPr>
    </w:p>
    <w:p>
      <w:pPr>
        <w:ind w:left="120" w:right="540" w:firstLine="440"/>
        <w:spacing w:after="0" w:line="266" w:lineRule="auto"/>
        <w:rPr>
          <w:sz w:val="20"/>
          <w:szCs w:val="20"/>
          <w:color w:val="auto"/>
        </w:rPr>
      </w:pPr>
      <w:r>
        <w:rPr>
          <w:rFonts w:ascii="Times New Roman" w:cs="Times New Roman" w:eastAsia="Times New Roman" w:hAnsi="Times New Roman"/>
          <w:sz w:val="18"/>
          <w:szCs w:val="18"/>
          <w:color w:val="auto"/>
        </w:rPr>
        <w:t>The Encouraging Catalog and the Negative List lay out the basic framework governing foreign investment in mainland China, classifying businesses into three categories, namely the “encouraged” category, the “restricted” category, and the “prohibited” category, based on the level of participation allowed to and conditions required of foreign investment.</w:t>
      </w:r>
    </w:p>
    <w:p>
      <w:pPr>
        <w:spacing w:after="0" w:line="174"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On October 26, 2022, the MOFCOM and the NDRC released the </w:t>
      </w:r>
      <w:r>
        <w:rPr>
          <w:rFonts w:ascii="Times New Roman" w:cs="Times New Roman" w:eastAsia="Times New Roman" w:hAnsi="Times New Roman"/>
          <w:sz w:val="18"/>
          <w:szCs w:val="18"/>
          <w:i w:val="1"/>
          <w:iCs w:val="1"/>
          <w:color w:val="auto"/>
        </w:rPr>
        <w:t>Catalog of Industries for Encouraging Foreign Investment</w:t>
      </w:r>
      <w:r>
        <w:rPr>
          <w:rFonts w:ascii="Times New Roman" w:cs="Times New Roman" w:eastAsia="Times New Roman" w:hAnsi="Times New Roman"/>
          <w:sz w:val="18"/>
          <w:szCs w:val="18"/>
          <w:color w:val="auto"/>
        </w:rPr>
        <w:t xml:space="preserve"> (2022 Version), which became effective on January 1, 2023 and replaced the previous Encouraging Catalog. On December 27, 2021, the MOFCOM and the NDRC released the </w:t>
      </w:r>
      <w:r>
        <w:rPr>
          <w:rFonts w:ascii="Times New Roman" w:cs="Times New Roman" w:eastAsia="Times New Roman" w:hAnsi="Times New Roman"/>
          <w:sz w:val="18"/>
          <w:szCs w:val="18"/>
          <w:i w:val="1"/>
          <w:iCs w:val="1"/>
          <w:color w:val="auto"/>
        </w:rPr>
        <w:t>Special Administrative Measures for Access of Foreign Investments</w:t>
      </w:r>
      <w:r>
        <w:rPr>
          <w:rFonts w:ascii="Times New Roman" w:cs="Times New Roman" w:eastAsia="Times New Roman" w:hAnsi="Times New Roman"/>
          <w:sz w:val="18"/>
          <w:szCs w:val="18"/>
          <w:color w:val="auto"/>
        </w:rPr>
        <w:t xml:space="preserve"> (2021 Version), or the Negative List 2021, which became effective on January 1, 2022 and replaced the previous Negative List. Any industry not listed on the Negative List 2021 is a permitted industry and generally accessible to foreign investment unless specifically prohibited or restricted by any PRC laws or regulations.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Foreign Investment Law</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Foreign Investment Law is formulated to further expand the opening-up of the Chinese economy, vigorously promote foreign investment and safeguard the legitimate rights and interests of foreign investors. According to the Foreign Investment Law, a foreign investment means any foreign investor’s direct or indirect investment in mainland China, including: (i) establishing foreign-invested enterprises, or FIEs, in mainland China either individually or jointly with other investors; (ii) obtaining stock shares, stock equity, property shares or other similar interests in Chinese domestic enterprises; (iii) investing in new projects in mainland China either individually or jointly with other investors; and (iv) making investment through other means provided by laws, administrative regulations or by the State Council. Foreign investments are entitled to pre-entry national treatment and are subject to the Negative List. The pre-entry national treatment means that the treatment accorded to foreign investors and their investments at the stage of investment access is not lower than that of domestic investors and their investments. The State implements special administrative procedures for access of foreign investment in specific fields and foreign investors shall not invest in any prohibited fields stipulated in the Negative List and shall meet the conditions stipulated in the Negative List before investing in any restricted fields.</w:t>
      </w:r>
    </w:p>
    <w:p>
      <w:pPr>
        <w:spacing w:after="0" w:line="194" w:lineRule="exact"/>
        <w:rPr>
          <w:sz w:val="20"/>
          <w:szCs w:val="20"/>
          <w:color w:val="auto"/>
        </w:rPr>
      </w:pPr>
    </w:p>
    <w:p>
      <w:pPr>
        <w:ind w:left="120" w:right="780" w:firstLine="440"/>
        <w:spacing w:after="0" w:line="282" w:lineRule="auto"/>
        <w:rPr>
          <w:sz w:val="20"/>
          <w:szCs w:val="20"/>
          <w:color w:val="auto"/>
        </w:rPr>
      </w:pPr>
      <w:r>
        <w:rPr>
          <w:rFonts w:ascii="Times New Roman" w:cs="Times New Roman" w:eastAsia="Times New Roman" w:hAnsi="Times New Roman"/>
          <w:sz w:val="18"/>
          <w:szCs w:val="18"/>
          <w:color w:val="auto"/>
        </w:rPr>
        <w:t>The investment, earnings and other legitimate rights and interests of a foreign investor within the territory of China shall be protected in accordance with the law, and all national policies supporting the development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120"/>
          </w:cols>
          <w:pgMar w:left="320" w:top="455" w:right="45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56" w:lineRule="auto"/>
        <w:rPr>
          <w:sz w:val="20"/>
          <w:szCs w:val="20"/>
          <w:color w:val="auto"/>
        </w:rPr>
      </w:pPr>
      <w:r>
        <w:rPr>
          <w:rFonts w:ascii="Times New Roman" w:cs="Times New Roman" w:eastAsia="Times New Roman" w:hAnsi="Times New Roman"/>
          <w:sz w:val="18"/>
          <w:szCs w:val="18"/>
          <w:color w:val="auto"/>
        </w:rPr>
        <w:t>enterprises shall apply equally to FIEs. The State guarantees that FIEs are able to participate in the formulation of standards in an equal manner and in government procurement activities through fair competition in accordance with the law. The State shall not expropriate any foreign investment except under special circumstances. The State may levy or expropriate the investment of foreign investors in accordance with the law for public interest. The expropriation and requisition shall follow legal procedures and timely and reasonable compensation shall be given. In carrying out business activities, FIEs shall comply with applicable rules and regulations on labor protection, social insurance, tax, accounting, foreign exchange and other matters prescribed by law.</w:t>
      </w:r>
    </w:p>
    <w:p>
      <w:pPr>
        <w:spacing w:after="0" w:line="185"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Wholly Foreign-Owned Enterprises Law of the People’s Republic of China</w:t>
      </w:r>
      <w:r>
        <w:rPr>
          <w:rFonts w:ascii="Times New Roman" w:cs="Times New Roman" w:eastAsia="Times New Roman" w:hAnsi="Times New Roman"/>
          <w:sz w:val="18"/>
          <w:szCs w:val="18"/>
          <w:color w:val="auto"/>
        </w:rPr>
        <w:t xml:space="preserve">, together with the </w:t>
      </w:r>
      <w:r>
        <w:rPr>
          <w:rFonts w:ascii="Times New Roman" w:cs="Times New Roman" w:eastAsia="Times New Roman" w:hAnsi="Times New Roman"/>
          <w:sz w:val="18"/>
          <w:szCs w:val="18"/>
          <w:i w:val="1"/>
          <w:iCs w:val="1"/>
          <w:color w:val="auto"/>
        </w:rPr>
        <w:t xml:space="preserve">Law of the People’s Republic of China on Sino-Foreign Equity Joint Ventures </w:t>
      </w:r>
      <w:r>
        <w:rPr>
          <w:rFonts w:ascii="Times New Roman" w:cs="Times New Roman" w:eastAsia="Times New Roman" w:hAnsi="Times New Roman"/>
          <w:sz w:val="18"/>
          <w:szCs w:val="18"/>
          <w:color w:val="auto"/>
        </w:rPr>
        <w:t>and the</w:t>
      </w:r>
      <w:r>
        <w:rPr>
          <w:rFonts w:ascii="Times New Roman" w:cs="Times New Roman" w:eastAsia="Times New Roman" w:hAnsi="Times New Roman"/>
          <w:sz w:val="18"/>
          <w:szCs w:val="18"/>
          <w:i w:val="1"/>
          <w:iCs w:val="1"/>
          <w:color w:val="auto"/>
        </w:rPr>
        <w:t xml:space="preserve"> Law of the People’s Republic of China on Sino-Foreign Cooperative Joint Ventures </w:t>
      </w:r>
      <w:r>
        <w:rPr>
          <w:rFonts w:ascii="Times New Roman" w:cs="Times New Roman" w:eastAsia="Times New Roman" w:hAnsi="Times New Roman"/>
          <w:sz w:val="18"/>
          <w:szCs w:val="18"/>
          <w:color w:val="auto"/>
        </w:rPr>
        <w:t>were abolished on January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2020. The organization and activities of FIEs have since been governed by the </w:t>
      </w:r>
      <w:r>
        <w:rPr>
          <w:rFonts w:ascii="Times New Roman" w:cs="Times New Roman" w:eastAsia="Times New Roman" w:hAnsi="Times New Roman"/>
          <w:sz w:val="18"/>
          <w:szCs w:val="18"/>
          <w:i w:val="1"/>
          <w:iCs w:val="1"/>
          <w:color w:val="auto"/>
        </w:rPr>
        <w:t>Company Law of the People’s Republic of China</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Partnership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Enterprise Law of the People’s Republic of China</w:t>
      </w:r>
      <w:r>
        <w:rPr>
          <w:rFonts w:ascii="Times New Roman" w:cs="Times New Roman" w:eastAsia="Times New Roman" w:hAnsi="Times New Roman"/>
          <w:sz w:val="18"/>
          <w:szCs w:val="18"/>
          <w:color w:val="auto"/>
        </w:rPr>
        <w:t>. FIEs established before the implementation of the Foreign Investment Law may retain the original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forms of business organization within five years after the implementation of the Foreign Investment Law.</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On December 26, 2019, the State Council promulgated the </w:t>
      </w:r>
      <w:r>
        <w:rPr>
          <w:rFonts w:ascii="Times New Roman" w:cs="Times New Roman" w:eastAsia="Times New Roman" w:hAnsi="Times New Roman"/>
          <w:sz w:val="18"/>
          <w:szCs w:val="18"/>
          <w:i w:val="1"/>
          <w:iCs w:val="1"/>
          <w:color w:val="auto"/>
        </w:rPr>
        <w:t>Implementation Regulations on the Foreign Investment Law</w:t>
      </w:r>
      <w:r>
        <w:rPr>
          <w:rFonts w:ascii="Times New Roman" w:cs="Times New Roman" w:eastAsia="Times New Roman" w:hAnsi="Times New Roman"/>
          <w:sz w:val="18"/>
          <w:szCs w:val="18"/>
          <w:color w:val="auto"/>
        </w:rPr>
        <w:t xml:space="preserve">, which came into effect on January 1, 2020, and further requires that FIEs and domestic enterprises be treated equally with respect to policy making and implementation. Pursuant to the </w:t>
      </w:r>
      <w:r>
        <w:rPr>
          <w:rFonts w:ascii="Times New Roman" w:cs="Times New Roman" w:eastAsia="Times New Roman" w:hAnsi="Times New Roman"/>
          <w:sz w:val="18"/>
          <w:szCs w:val="18"/>
          <w:i w:val="1"/>
          <w:iCs w:val="1"/>
          <w:color w:val="auto"/>
        </w:rPr>
        <w:t>Implementation Regulations on the Foreign Investment Law</w:t>
      </w:r>
      <w:r>
        <w:rPr>
          <w:rFonts w:ascii="Times New Roman" w:cs="Times New Roman" w:eastAsia="Times New Roman" w:hAnsi="Times New Roman"/>
          <w:sz w:val="18"/>
          <w:szCs w:val="18"/>
          <w:color w:val="auto"/>
        </w:rPr>
        <w:t>, if an existing FIE fails to change its original form of business organization in accordance with the Foreign Investment Law by January 1, 2025, the relevant market regulatory departments will cease to process any registration in respect of such enterprise and may publish information relating to its non-compliance with the Foreign Investment Law.</w:t>
      </w:r>
    </w:p>
    <w:p>
      <w:pPr>
        <w:spacing w:after="0" w:line="183" w:lineRule="exact"/>
        <w:rPr>
          <w:sz w:val="20"/>
          <w:szCs w:val="20"/>
          <w:color w:val="auto"/>
        </w:rPr>
      </w:pPr>
    </w:p>
    <w:p>
      <w:pPr>
        <w:ind w:left="120" w:right="60" w:firstLine="440"/>
        <w:spacing w:after="0" w:line="272" w:lineRule="auto"/>
        <w:rPr>
          <w:sz w:val="20"/>
          <w:szCs w:val="20"/>
          <w:color w:val="auto"/>
        </w:rPr>
      </w:pPr>
      <w:r>
        <w:rPr>
          <w:rFonts w:ascii="Times New Roman" w:cs="Times New Roman" w:eastAsia="Times New Roman" w:hAnsi="Times New Roman"/>
          <w:sz w:val="17"/>
          <w:szCs w:val="17"/>
          <w:color w:val="auto"/>
        </w:rPr>
        <w:t xml:space="preserve">On December 30, 2019, the MOFCOM, and the State Administration for Market Regulation, or the SAMR, jointly issued the </w:t>
      </w:r>
      <w:r>
        <w:rPr>
          <w:rFonts w:ascii="Times New Roman" w:cs="Times New Roman" w:eastAsia="Times New Roman" w:hAnsi="Times New Roman"/>
          <w:sz w:val="17"/>
          <w:szCs w:val="17"/>
          <w:i w:val="1"/>
          <w:iCs w:val="1"/>
          <w:color w:val="auto"/>
        </w:rPr>
        <w:t>Measures for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Reporting of Foreign Investment Information</w:t>
      </w:r>
      <w:r>
        <w:rPr>
          <w:rFonts w:ascii="Times New Roman" w:cs="Times New Roman" w:eastAsia="Times New Roman" w:hAnsi="Times New Roman"/>
          <w:sz w:val="17"/>
          <w:szCs w:val="17"/>
          <w:color w:val="auto"/>
        </w:rPr>
        <w:t>, or the Foreign Investment Information Measures, which came into effect on January 1, 2020 and replaced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i w:val="1"/>
          <w:iCs w:val="1"/>
          <w:color w:val="auto"/>
        </w:rPr>
        <w:t>Interim Administrative Measures for the Record-filing of the Establishment and Modification of Foreign-invested Enterprises</w:t>
      </w:r>
      <w:r>
        <w:rPr>
          <w:rFonts w:ascii="Times New Roman" w:cs="Times New Roman" w:eastAsia="Times New Roman" w:hAnsi="Times New Roman"/>
          <w:sz w:val="17"/>
          <w:szCs w:val="17"/>
          <w:color w:val="auto"/>
        </w:rPr>
        <w:t>. Starting from January 1, 2020, foreign investors and FIEs in the PRC shall submit information relating to their investment through the Enterprise Registration System and the National Enterprise Credit Information Publicity System established by the SAMR by submitting initial reports of establishment, reports on changes to the investment, reports on termination of the investment and annual investment reports in accordance with the Foreign Investment Information Measures. Where a foreign investor or a FIE fails to submit any required information or fails to make any correction or resubmission where directed by the competent authority, it may be subject to a fine of up to RMB300,000 (or RMB500,000 in the event of serious violations).</w:t>
      </w:r>
    </w:p>
    <w:p>
      <w:pPr>
        <w:spacing w:after="0" w:line="2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Security Review Relating to Foreign Investment</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On December 19, 2020, the NDRC, and the MOFCOM jointly promulgated the </w:t>
      </w:r>
      <w:r>
        <w:rPr>
          <w:rFonts w:ascii="Times New Roman" w:cs="Times New Roman" w:eastAsia="Times New Roman" w:hAnsi="Times New Roman"/>
          <w:sz w:val="18"/>
          <w:szCs w:val="18"/>
          <w:i w:val="1"/>
          <w:iCs w:val="1"/>
          <w:color w:val="auto"/>
        </w:rPr>
        <w:t>Measures on the Security Review of Foreign Investment</w:t>
      </w:r>
      <w:r>
        <w:rPr>
          <w:rFonts w:ascii="Times New Roman" w:cs="Times New Roman" w:eastAsia="Times New Roman" w:hAnsi="Times New Roman"/>
          <w:sz w:val="18"/>
          <w:szCs w:val="18"/>
          <w:color w:val="auto"/>
        </w:rPr>
        <w:t xml:space="preserve"> which took effect on January 18, 2021 and sets forth provisions on security review concerning foreign investment, including the types of investments subject to such review and the scopes and procedures of such review. The Office of the Working Mechanism, jointly led by the NDRC and the MOFCOM, has been established under the NDRC to undertake routine security review work relating to foreign investment. Foreign investors and other relevant parties shall proactively declare information relating to their proposed foreign investment transactions to the Office of the Working Mechanism and apply for security review before carrying out such transaction if (i) it is in sectors related to national defense and security, such as arms and arms related industries, or in geographic locations in close proximity of military facilities or defense-related industries facilities; or (ii) (a) it involves sectors critical to national security, such as critical agricultural products, critical energy and resources, critical equipment manufacturing, critical infrastructure, critical transportation services, critical cultural products and services, critical information technology and internet products and services, critical financial services and key technologies, and (b) will result in the foreign investor acquiring control over the investee enterprise. A foreign investor is deemed to have “control” over an investee enterprise if (i) the foreign</w:t>
      </w:r>
    </w:p>
    <w:p>
      <w:pPr>
        <w:spacing w:after="0" w:line="1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120"/>
          </w:cols>
          <w:pgMar w:left="320" w:top="455" w:right="45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investor holds 50% or more of the equity interests in the enterprise, (ii) has significant influence in the investee enterprise either at the board or the shareholder level by virtue of its voting power even if it holds less than 50% of the equity interests, or (iii) it is otherwise able to exert significant influence over the enterprise’s business decisions, human resources, finance and technology. While we are not and have not been subject to the requirement of security review, we may in the future pursue potential strategic acquisitions which may require us to comply with the requirements of the above-mentioned rules.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Regulations Relating to Value-added Telecommunications Services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Foreign Investment in Value-Added Telecommunications</w:t>
      </w:r>
    </w:p>
    <w:p>
      <w:pPr>
        <w:spacing w:after="0" w:line="119"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Foreign direct investment in telecommunications companies in mainland China is regulated by the </w:t>
      </w:r>
      <w:r>
        <w:rPr>
          <w:rFonts w:ascii="Times New Roman" w:cs="Times New Roman" w:eastAsia="Times New Roman" w:hAnsi="Times New Roman"/>
          <w:sz w:val="18"/>
          <w:szCs w:val="18"/>
          <w:i w:val="1"/>
          <w:iCs w:val="1"/>
          <w:color w:val="auto"/>
        </w:rPr>
        <w:t>Administrative Provisions of Foreign-Invested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Telecommunications Enterprises</w:t>
      </w:r>
      <w:r>
        <w:rPr>
          <w:rFonts w:ascii="Times New Roman" w:cs="Times New Roman" w:eastAsia="Times New Roman" w:hAnsi="Times New Roman"/>
          <w:sz w:val="18"/>
          <w:szCs w:val="18"/>
          <w:color w:val="auto"/>
        </w:rPr>
        <w:t>, or the FITE Regulation, which was issued by the State Council on December 11, 2001, and most recently amended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March 29, 2022. The FITE Regulation stipulates that a foreign-invested telecommunications enterprise in the PRC, or the FITE, refers to an enterprise legally established by a foreign investor within the territory of the PRC to operate telecommunications business. Under the FITE Regulation and in accordance with WTO-related agreements, unless otherwise stipulated by the State, the foreign party investing in a FITE that engages in value-added telecommunications services may hold up to 50% of the ultimate equity interests of the FITE. A FITE shall apply for a telecommunications business license from the Ministry of Industry and Information Technology, or the MIIT, or its local branches, as the case may be, upon completion of its registration with the competent market supervisory authority. The relevant PRC authorities retain considerable discretion in granting such approvals. Furthermore, a foreign party investing in e-commerce business, as a type of value-added telecommunications services, has been allowed to hold up to 100% of the equity interests of a FITE based on the </w:t>
      </w:r>
      <w:r>
        <w:rPr>
          <w:rFonts w:ascii="Times New Roman" w:cs="Times New Roman" w:eastAsia="Times New Roman" w:hAnsi="Times New Roman"/>
          <w:sz w:val="18"/>
          <w:szCs w:val="18"/>
          <w:i w:val="1"/>
          <w:iCs w:val="1"/>
          <w:color w:val="auto"/>
        </w:rPr>
        <w:t>Circular of the Ministry of Industry and Information Technology on Removing the Restrictions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Shareholding Ratio Held by Foreign Investors in Online Data Processing and Transaction Processing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Operating E-commerce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Business </w:t>
      </w:r>
      <w:r>
        <w:rPr>
          <w:rFonts w:ascii="Times New Roman" w:cs="Times New Roman" w:eastAsia="Times New Roman" w:hAnsi="Times New Roman"/>
          <w:sz w:val="18"/>
          <w:szCs w:val="18"/>
          <w:color w:val="auto"/>
        </w:rPr>
        <w:t>issued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June 19, 2015 and the current effective </w:t>
      </w:r>
      <w:r>
        <w:rPr>
          <w:rFonts w:ascii="Times New Roman" w:cs="Times New Roman" w:eastAsia="Times New Roman" w:hAnsi="Times New Roman"/>
          <w:sz w:val="18"/>
          <w:szCs w:val="18"/>
          <w:i w:val="1"/>
          <w:iCs w:val="1"/>
          <w:color w:val="auto"/>
        </w:rPr>
        <w:t>Catalogue of Telecommunications Services</w:t>
      </w:r>
      <w:r>
        <w:rPr>
          <w:rFonts w:ascii="Times New Roman" w:cs="Times New Roman" w:eastAsia="Times New Roman" w:hAnsi="Times New Roman"/>
          <w:sz w:val="18"/>
          <w:szCs w:val="18"/>
          <w:color w:val="auto"/>
        </w:rPr>
        <w:t>, or the Telecom Catalog.</w:t>
      </w:r>
    </w:p>
    <w:p>
      <w:pPr>
        <w:spacing w:after="0" w:line="19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On July 13, 2006, the Ministry of Information Industry of the PRC, or the MII (which is the predecessor of the MIIT) promulgated the </w:t>
      </w:r>
      <w:r>
        <w:rPr>
          <w:rFonts w:ascii="Times New Roman" w:cs="Times New Roman" w:eastAsia="Times New Roman" w:hAnsi="Times New Roman"/>
          <w:sz w:val="18"/>
          <w:szCs w:val="18"/>
          <w:i w:val="1"/>
          <w:iCs w:val="1"/>
          <w:color w:val="auto"/>
        </w:rPr>
        <w:t>Notice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the Ministry of Information Industry on Strengthening the Administration of Foreign Investment in Value-added Telecommunications Services, </w:t>
      </w:r>
      <w:r>
        <w:rPr>
          <w:rFonts w:ascii="Times New Roman" w:cs="Times New Roman" w:eastAsia="Times New Roman" w:hAnsi="Times New Roman"/>
          <w:sz w:val="18"/>
          <w:szCs w:val="18"/>
          <w:color w:val="auto"/>
        </w:rPr>
        <w:t>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MII Notice, which reiterates certain requirements of the FITE Regulation and strengthens the administrative authority of the MII. Under the MII Notice, if a foreign investor intends to invest in value-added telecommunications businesses in mainland China, it shall establish a FITE which shall apply for the relevant telecommunications business licenses. In addition, a domestic company that holds a license for the provision of value-added telecommunications services is prohibited from leasing, transferring or selling the license to foreign investors in any form, and from providing any assistance, including providing resources, sites or facilities, to foreign investors to allow the latter to conduct value-added telecommunications businesses in mainland China against the law. Trademarks and domain names that are used in the provision of value-added telecommunications services must be owned by the license holder or its nominee shareholders. The MII Notice also requires that each value-added telecommunications service license holder must have appropriate facilities for its approved business operations and to maintain such facilities in the business regions covered by its license. The value-added telecommunications services license holder shall implement measures to safeguard its network and information, establish an administrative system to protect information security, set up procedures for the handling of emergencies relating to network and information security and designate responsibilities and allocation liabilities with respect to information security.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Telecommunications Regulations</w:t>
      </w:r>
    </w:p>
    <w:p>
      <w:pPr>
        <w:spacing w:after="0" w:line="119" w:lineRule="exact"/>
        <w:rPr>
          <w:sz w:val="20"/>
          <w:szCs w:val="20"/>
          <w:color w:val="auto"/>
        </w:rPr>
      </w:pPr>
    </w:p>
    <w:p>
      <w:pPr>
        <w:ind w:left="120" w:right="240" w:firstLine="440"/>
        <w:spacing w:after="0" w:line="267"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Telecommunications Regulations of the People’s Republic of China</w:t>
      </w:r>
      <w:r>
        <w:rPr>
          <w:rFonts w:ascii="Times New Roman" w:cs="Times New Roman" w:eastAsia="Times New Roman" w:hAnsi="Times New Roman"/>
          <w:sz w:val="18"/>
          <w:szCs w:val="18"/>
          <w:color w:val="auto"/>
        </w:rPr>
        <w:t>, or the Telecom Regulations, promulgated on September 25, 2000, and most recently amended on February 6, 2016, is the primary law governing telecommunications services, and sets out the general framework for the provision of</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120"/>
          </w:cols>
          <w:pgMar w:left="320" w:top="455" w:right="45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telecommunications services by PRC companies. The Telecom Regulations requires that telecommunications service providers obtain operating licenses prior to commencing operations. The Telecom Regulations draws a distinction between basic telecommunications services and value-added telecommunications services. Based on the Telecom Catalog promulgated by the MII on February 21, 2003 and most recently amended by the MIIT on June 6, 2019, “internet information services” and “online data processing and transaction processing” are identified as value-added telecommunications services.</w:t>
      </w:r>
    </w:p>
    <w:p>
      <w:pPr>
        <w:spacing w:after="0" w:line="18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On July 3, 2017, the MIIT issued the revised </w:t>
      </w:r>
      <w:r>
        <w:rPr>
          <w:rFonts w:ascii="Times New Roman" w:cs="Times New Roman" w:eastAsia="Times New Roman" w:hAnsi="Times New Roman"/>
          <w:sz w:val="18"/>
          <w:szCs w:val="18"/>
          <w:i w:val="1"/>
          <w:iCs w:val="1"/>
          <w:color w:val="auto"/>
        </w:rPr>
        <w:t>Administrative Measures for the Licensing of Telecommunications Business</w:t>
      </w:r>
      <w:r>
        <w:rPr>
          <w:rFonts w:ascii="Times New Roman" w:cs="Times New Roman" w:eastAsia="Times New Roman" w:hAnsi="Times New Roman"/>
          <w:sz w:val="18"/>
          <w:szCs w:val="18"/>
          <w:color w:val="auto"/>
        </w:rPr>
        <w:t>, or the Telecom License Measures, which became effective on September 1, 2017, to supplement the Telecom Regulations. The Telecom License Measures requires that an operator of value-added telecommunications services shall obtain a value-added telecommunications business operating license from the MIIT or its provincial level counterparts. The term of a value-added telecommunications business license is five years and subject to annual inspection.</w:t>
      </w:r>
    </w:p>
    <w:p>
      <w:pPr>
        <w:spacing w:after="0" w:line="180" w:lineRule="exact"/>
        <w:rPr>
          <w:sz w:val="20"/>
          <w:szCs w:val="20"/>
          <w:color w:val="auto"/>
        </w:rPr>
      </w:pPr>
    </w:p>
    <w:p>
      <w:pPr>
        <w:ind w:left="120" w:right="100" w:firstLine="440"/>
        <w:spacing w:after="0" w:line="257" w:lineRule="auto"/>
        <w:rPr>
          <w:sz w:val="20"/>
          <w:szCs w:val="20"/>
          <w:color w:val="auto"/>
        </w:rPr>
      </w:pPr>
      <w:r>
        <w:rPr>
          <w:rFonts w:ascii="Times New Roman" w:cs="Times New Roman" w:eastAsia="Times New Roman" w:hAnsi="Times New Roman"/>
          <w:sz w:val="18"/>
          <w:szCs w:val="18"/>
          <w:color w:val="auto"/>
        </w:rPr>
        <w:t xml:space="preserve">Pursuant to the </w:t>
      </w:r>
      <w:r>
        <w:rPr>
          <w:rFonts w:ascii="Times New Roman" w:cs="Times New Roman" w:eastAsia="Times New Roman" w:hAnsi="Times New Roman"/>
          <w:sz w:val="18"/>
          <w:szCs w:val="18"/>
          <w:i w:val="1"/>
          <w:iCs w:val="1"/>
          <w:color w:val="auto"/>
        </w:rPr>
        <w:t>Administrative Measures on Internet Information Services</w:t>
      </w:r>
      <w:r>
        <w:rPr>
          <w:rFonts w:ascii="Times New Roman" w:cs="Times New Roman" w:eastAsia="Times New Roman" w:hAnsi="Times New Roman"/>
          <w:sz w:val="18"/>
          <w:szCs w:val="18"/>
          <w:color w:val="auto"/>
        </w:rPr>
        <w:t>, promulgated by the State Council on September 25, 2000, and most recently amended on January 8, 2011, internet information services refer to the provision of information through the internet to online users, and can be categorized into “commercial internet information services” and “non-commercial internet information services.” A commercial operator of internet content provision services must obtain a value-added telecommunications business operating license, or the ICP License, for the provision of internet information services from the appropriate telecommunications authorities. The ICP License is however not required if the operator will only provide internet information on a non-commercial basis.</w:t>
      </w:r>
    </w:p>
    <w:p>
      <w:pPr>
        <w:spacing w:after="0" w:line="1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Currently, the VIE holds a value-added telecommunication service license in relation to the provision of internet information services.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Mobile Internet Applications</w:t>
      </w:r>
    </w:p>
    <w:p>
      <w:pPr>
        <w:spacing w:after="0" w:line="119" w:lineRule="exact"/>
        <w:rPr>
          <w:sz w:val="20"/>
          <w:szCs w:val="20"/>
          <w:color w:val="auto"/>
        </w:rPr>
      </w:pPr>
    </w:p>
    <w:p>
      <w:pPr>
        <w:ind w:left="120" w:right="160" w:firstLine="440"/>
        <w:spacing w:after="0" w:line="284" w:lineRule="auto"/>
        <w:rPr>
          <w:sz w:val="20"/>
          <w:szCs w:val="20"/>
          <w:color w:val="auto"/>
        </w:rPr>
      </w:pPr>
      <w:r>
        <w:rPr>
          <w:rFonts w:ascii="Times New Roman" w:cs="Times New Roman" w:eastAsia="Times New Roman" w:hAnsi="Times New Roman"/>
          <w:sz w:val="18"/>
          <w:szCs w:val="18"/>
          <w:color w:val="auto"/>
        </w:rPr>
        <w:t xml:space="preserve">We conduct online ride-hailing services mainly through </w:t>
      </w:r>
      <w:r>
        <w:rPr>
          <w:rFonts w:ascii="Times New Roman" w:cs="Times New Roman" w:eastAsia="Times New Roman" w:hAnsi="Times New Roman"/>
          <w:sz w:val="18"/>
          <w:szCs w:val="18"/>
          <w:i w:val="1"/>
          <w:iCs w:val="1"/>
          <w:color w:val="auto"/>
        </w:rPr>
        <w:t>WeRide Go App</w:t>
      </w:r>
      <w:r>
        <w:rPr>
          <w:rFonts w:ascii="Times New Roman" w:cs="Times New Roman" w:eastAsia="Times New Roman" w:hAnsi="Times New Roman"/>
          <w:sz w:val="18"/>
          <w:szCs w:val="18"/>
          <w:color w:val="auto"/>
        </w:rPr>
        <w:t>, the mobile application owned and operated by our VIE. As a result, we may be subject to PRC law in respect of mobile internet applications.</w:t>
      </w:r>
    </w:p>
    <w:p>
      <w:pPr>
        <w:spacing w:after="0" w:line="15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On June 28, 2016, the Cyberspace Administration of China, or the CAC, promulgated </w:t>
      </w:r>
      <w:r>
        <w:rPr>
          <w:rFonts w:ascii="Times New Roman" w:cs="Times New Roman" w:eastAsia="Times New Roman" w:hAnsi="Times New Roman"/>
          <w:sz w:val="18"/>
          <w:szCs w:val="18"/>
          <w:i w:val="1"/>
          <w:iCs w:val="1"/>
          <w:color w:val="auto"/>
        </w:rPr>
        <w:t>the Administrative Provisions on Mobile Internet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Application Information Services</w:t>
      </w:r>
      <w:r>
        <w:rPr>
          <w:rFonts w:ascii="Times New Roman" w:cs="Times New Roman" w:eastAsia="Times New Roman" w:hAnsi="Times New Roman"/>
          <w:sz w:val="18"/>
          <w:szCs w:val="18"/>
          <w:color w:val="auto"/>
        </w:rPr>
        <w:t>, or the Mobile Application Administrative Provisions, which was subsequently amended on June 14, 2022 and took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 on August 1, 2022. Pursuant to the Mobile Application Administrative Provisions, a “mobile internet app” refers to an app that runs on mobile smart devices providing information services. “Mobile internet app providers” refers to the owners or operators of mobile internet apps. Pursuant to the Mobile Application Administrative Provisions, a provider of mobile internet app who provides information releasing service, instant messaging service or any other services must verify a user’s mobile phone number, identity number, unified social credit code or other identity information. Mobile internet app providers shall process personal information by following the principles of lawfulness, legitimacy, necessity, and good faith, have clear and reasonable purposes, disclose protocols relating to the processing of personal information, comply with the relevant provisions on the scope of necessary personal information, regulate personal information processing activities, take necessary measures to safeguard the security of personal information, and shall not force users to consent to the processing of personal information for any reason, or refuse to provide basic functional services to users on the ground that such users fail to agree to provide personal information that is unnecessary.</w:t>
      </w:r>
    </w:p>
    <w:p>
      <w:pPr>
        <w:spacing w:after="0" w:line="19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On December 16, 2016, the MIIT promulgated </w:t>
      </w:r>
      <w:r>
        <w:rPr>
          <w:rFonts w:ascii="Times New Roman" w:cs="Times New Roman" w:eastAsia="Times New Roman" w:hAnsi="Times New Roman"/>
          <w:sz w:val="18"/>
          <w:szCs w:val="18"/>
          <w:i w:val="1"/>
          <w:iCs w:val="1"/>
          <w:color w:val="auto"/>
        </w:rPr>
        <w:t>The Interim Measures on the Administration of Pre-Installation and Distribution of Applications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Mobile Smart Terminals</w:t>
      </w:r>
      <w:r>
        <w:rPr>
          <w:rFonts w:ascii="Times New Roman" w:cs="Times New Roman" w:eastAsia="Times New Roman" w:hAnsi="Times New Roman"/>
          <w:sz w:val="18"/>
          <w:szCs w:val="18"/>
          <w:color w:val="auto"/>
        </w:rPr>
        <w:t>, or the Interim Measures, which came into effect on July 1, 2017. The Interim Measures aims to enhance the administration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mobile apps, and requires, among others, that mobile phone manufacturers and internet information service providers must ensure that a mobile app, as well as its ancillary resource files, configuration files and user data can be uninstalled by a</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120"/>
          </w:cols>
          <w:pgMar w:left="320" w:top="455" w:right="45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user conveniently, unless it is a basic function software. “Basic function software” refers to software that supports the standard functioning of the hardware and operating system of a mobile smart device.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Regulations Relating to Autonomous Driving Vehicles</w:t>
      </w:r>
    </w:p>
    <w:p>
      <w:pPr>
        <w:spacing w:after="0" w:line="119"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color w:val="auto"/>
        </w:rPr>
        <w:t xml:space="preserve">The MIIT, the Ministry of Public Security, or the MPS, and the Ministry of Transport, or the MOT, issued the </w:t>
      </w:r>
      <w:r>
        <w:rPr>
          <w:rFonts w:ascii="Times New Roman" w:cs="Times New Roman" w:eastAsia="Times New Roman" w:hAnsi="Times New Roman"/>
          <w:sz w:val="18"/>
          <w:szCs w:val="18"/>
          <w:i w:val="1"/>
          <w:iCs w:val="1"/>
          <w:color w:val="auto"/>
        </w:rPr>
        <w:t>Circular on the Norms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Administration of Road Testing of Autonomous Driving Vehicles (Trial Implementation) </w:t>
      </w:r>
      <w:r>
        <w:rPr>
          <w:rFonts w:ascii="Times New Roman" w:cs="Times New Roman" w:eastAsia="Times New Roman" w:hAnsi="Times New Roman"/>
          <w:sz w:val="18"/>
          <w:szCs w:val="18"/>
          <w:color w:val="auto"/>
        </w:rPr>
        <w:t>on April 3, 2018, or the Road Testing Circular, which became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on May 1, 2018 and is the primary regulation governing the road testing of autonomous driving vehicles in the PRC. Pursuant to the Road Testing Circular, any entity intending to conduct a road testing of autonomous driving vehicles must apply for and obtain a road-testing certificate and a temporary license plate for each vehicle to be tested. To qualify for these required licenses, an applicant entity must satisfy applicable requirements set forth in the Road Testing Circular and comply with applicable rules and conditions during testing.</w:t>
      </w:r>
    </w:p>
    <w:p>
      <w:pPr>
        <w:spacing w:after="0" w:line="182" w:lineRule="exact"/>
        <w:rPr>
          <w:sz w:val="20"/>
          <w:szCs w:val="20"/>
          <w:color w:val="auto"/>
        </w:rPr>
      </w:pPr>
    </w:p>
    <w:p>
      <w:pPr>
        <w:ind w:left="120" w:right="160" w:firstLine="440"/>
        <w:spacing w:after="0" w:line="267" w:lineRule="auto"/>
        <w:rPr>
          <w:sz w:val="20"/>
          <w:szCs w:val="20"/>
          <w:color w:val="auto"/>
        </w:rPr>
      </w:pPr>
      <w:r>
        <w:rPr>
          <w:rFonts w:ascii="Times New Roman" w:cs="Times New Roman" w:eastAsia="Times New Roman" w:hAnsi="Times New Roman"/>
          <w:sz w:val="17"/>
          <w:szCs w:val="17"/>
          <w:color w:val="auto"/>
        </w:rPr>
        <w:t xml:space="preserve">On July 27, 2021, the MIIT, the MPS, and the MOT issued the </w:t>
      </w:r>
      <w:r>
        <w:rPr>
          <w:rFonts w:ascii="Times New Roman" w:cs="Times New Roman" w:eastAsia="Times New Roman" w:hAnsi="Times New Roman"/>
          <w:sz w:val="17"/>
          <w:szCs w:val="17"/>
          <w:i w:val="1"/>
          <w:iCs w:val="1"/>
          <w:color w:val="auto"/>
        </w:rPr>
        <w:t>Circular on the Norms on Administration of Road Testing and Demonstrative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Application of Autonomous Driving Vehicles (Trial Implementation), </w:t>
      </w:r>
      <w:r>
        <w:rPr>
          <w:rFonts w:ascii="Times New Roman" w:cs="Times New Roman" w:eastAsia="Times New Roman" w:hAnsi="Times New Roman"/>
          <w:sz w:val="17"/>
          <w:szCs w:val="17"/>
          <w:color w:val="auto"/>
        </w:rPr>
        <w:t>or the Road Testing and Demonstrative Application Circular, which replaced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Road Testing Circular. According to the Road Testing and Demonstrative Application Circular, a subject for road testing refers to an entity that applies for and organizes a road test for autonomous driving vehicles, and which shall bear corresponding liabilities. A subject for road testing must meet the following requirements: (i) it must be an independent legal entity registered within the territory of mainland China; (ii) it must possess the relevant business capacity, such as the capacity to carry out the manufacturing of automobiles and parts thereof, technological research and development, or experiments and tests; (iii) it must have sufficient capacity to pay civil compensatory damages that may arise from potential personal injuries and property losses caused by road tests; (iv) it must have a set of rules to evaluate the testing of self-driving functions; (v) it must have the ability to conduct real-time and remote monitoring of testing vehicles; (vi) it must have the ability to record, analyze and replay events during the road testing;</w:t>
      </w:r>
    </w:p>
    <w:p>
      <w:pPr>
        <w:spacing w:after="0" w:line="7" w:lineRule="exact"/>
        <w:rPr>
          <w:sz w:val="20"/>
          <w:szCs w:val="20"/>
          <w:color w:val="auto"/>
        </w:rPr>
      </w:pPr>
    </w:p>
    <w:p>
      <w:pPr>
        <w:ind w:left="120" w:hanging="4"/>
        <w:spacing w:after="0" w:line="251" w:lineRule="auto"/>
        <w:tabs>
          <w:tab w:leader="none" w:pos="47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must have the ability to safeguard the network security of testing vehicles and the remote monitoring platform; and (viii) other conditions stipulated by laws, administrative regulations and rules. Prior to conducting a road test, a subject for road tests shall ensure that the testing vehicle (i) has undergone sufficient field tests in specific locations such as a testing area (site), (ii) complies with applicable national and industry standards and specifications, testing requirements issued by competent authorities of the provincial or municipal government as well as the evaluation rules of the subject for road tests, and (iii) meets the conditions for road tests. After confirmation is received from the competent authorities, the subject for road tests shall apply to the traffic management department for a temporary car number plate for the testing vehicle. Once a temporary car number plate expires, the subject for road tests may apply for a new temporary car number plate by providing the self-declaration regarding the safety of tested vehicles, which is still within the validity period. Several local governments, such as in Shenzhen, Wuhan, Guangzhou, Zhengzhou, Nanjing, and Qionghai, have additionally issued or applied local rules and regulations to regulate road testing of autonomous driving cars.</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Regulations Relating to Urban Solid Waste Services</w:t>
      </w:r>
    </w:p>
    <w:p>
      <w:pPr>
        <w:spacing w:after="0" w:line="121"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On April 28, 2007, the Ministry of Construction (which was the predecessor of Ministry of Housing and Urban-Rural Development of the PRC) promulgated the </w:t>
      </w:r>
      <w:r>
        <w:rPr>
          <w:rFonts w:ascii="Times New Roman" w:cs="Times New Roman" w:eastAsia="Times New Roman" w:hAnsi="Times New Roman"/>
          <w:sz w:val="18"/>
          <w:szCs w:val="18"/>
          <w:i w:val="1"/>
          <w:iCs w:val="1"/>
          <w:color w:val="auto"/>
        </w:rPr>
        <w:t>Measures for the Management of Urban Solid Waste,</w:t>
      </w:r>
      <w:r>
        <w:rPr>
          <w:rFonts w:ascii="Times New Roman" w:cs="Times New Roman" w:eastAsia="Times New Roman" w:hAnsi="Times New Roman"/>
          <w:sz w:val="18"/>
          <w:szCs w:val="18"/>
          <w:color w:val="auto"/>
        </w:rPr>
        <w:t xml:space="preserve"> which was amended on May 4, 2015. According to the </w:t>
      </w:r>
      <w:r>
        <w:rPr>
          <w:rFonts w:ascii="Times New Roman" w:cs="Times New Roman" w:eastAsia="Times New Roman" w:hAnsi="Times New Roman"/>
          <w:sz w:val="18"/>
          <w:szCs w:val="18"/>
          <w:i w:val="1"/>
          <w:iCs w:val="1"/>
          <w:color w:val="auto"/>
        </w:rPr>
        <w:t>Measures for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Management of Urban Solid Waste</w:t>
      </w:r>
      <w:r>
        <w:rPr>
          <w:rFonts w:ascii="Times New Roman" w:cs="Times New Roman" w:eastAsia="Times New Roman" w:hAnsi="Times New Roman"/>
          <w:sz w:val="18"/>
          <w:szCs w:val="18"/>
          <w:color w:val="auto"/>
        </w:rPr>
        <w:t>, enterprises that engage in commercial cleaning, collection and transportation of urban solid waste shall obtain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license for the service of cleaning, collecting and transporting urban solid waste. Currently, two subsidiaries of our WFOE hold the licenses for the service of cleaning, collecting and transporting urban solid waste.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Regulations Relating to Online Ride-Hailing Services</w:t>
      </w:r>
    </w:p>
    <w:p>
      <w:pPr>
        <w:spacing w:after="0" w:line="119" w:lineRule="exact"/>
        <w:rPr>
          <w:sz w:val="20"/>
          <w:szCs w:val="20"/>
          <w:color w:val="auto"/>
        </w:rPr>
      </w:pPr>
    </w:p>
    <w:p>
      <w:pPr>
        <w:ind w:left="120" w:right="120" w:firstLine="440"/>
        <w:spacing w:after="0" w:line="284" w:lineRule="auto"/>
        <w:rPr>
          <w:sz w:val="20"/>
          <w:szCs w:val="20"/>
          <w:color w:val="auto"/>
        </w:rPr>
      </w:pPr>
      <w:r>
        <w:rPr>
          <w:rFonts w:ascii="Times New Roman" w:cs="Times New Roman" w:eastAsia="Times New Roman" w:hAnsi="Times New Roman"/>
          <w:sz w:val="18"/>
          <w:szCs w:val="18"/>
          <w:color w:val="auto"/>
        </w:rPr>
        <w:t xml:space="preserve">On July 9, 2014, the General Office of the MOT promulgated the </w:t>
      </w:r>
      <w:r>
        <w:rPr>
          <w:rFonts w:ascii="Times New Roman" w:cs="Times New Roman" w:eastAsia="Times New Roman" w:hAnsi="Times New Roman"/>
          <w:sz w:val="18"/>
          <w:szCs w:val="18"/>
          <w:i w:val="1"/>
          <w:iCs w:val="1"/>
          <w:color w:val="auto"/>
        </w:rPr>
        <w:t>Notice on Promoting the Orderly Development of Online Taxi-Hailing Services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by Mobile Phone Software</w:t>
      </w:r>
      <w:r>
        <w:rPr>
          <w:rFonts w:ascii="Times New Roman" w:cs="Times New Roman" w:eastAsia="Times New Roman" w:hAnsi="Times New Roman"/>
          <w:sz w:val="18"/>
          <w:szCs w:val="18"/>
          <w:color w:val="auto"/>
        </w:rPr>
        <w:t>, which, among others: (i) requires local</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120"/>
          </w:cols>
          <w:pgMar w:left="320" w:top="455" w:right="45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transportation authorities to strengthen market supervision over mobile-based online taxi-hailing services offered through mobile phones to protect the legitimate rights and interests of all parties involved; (ii) encourages mobile-based online taxi-hailing service providers to take advantage of their strengths, enhance order management, optimize order dispatch rules, improve standard of service and participate in the establishment of taxi service management information platform and technological transformation; and (iii) requires local transportation authorities to accelerate the establishment and improvement of taxi-service management information systems.</w:t>
      </w:r>
    </w:p>
    <w:p>
      <w:pPr>
        <w:spacing w:after="0" w:line="181"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On July 27, 2016, the MOT, the MIIT, the MPS, the MOFCOM, the SAMR and the CAC jointly promulgated the </w:t>
      </w:r>
      <w:r>
        <w:rPr>
          <w:rFonts w:ascii="Times New Roman" w:cs="Times New Roman" w:eastAsia="Times New Roman" w:hAnsi="Times New Roman"/>
          <w:sz w:val="18"/>
          <w:szCs w:val="18"/>
          <w:i w:val="1"/>
          <w:iCs w:val="1"/>
          <w:color w:val="auto"/>
        </w:rPr>
        <w:t>Interim Measures for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Management of Online Ride-Hailing Operation and Service</w:t>
      </w:r>
      <w:r>
        <w:rPr>
          <w:rFonts w:ascii="Times New Roman" w:cs="Times New Roman" w:eastAsia="Times New Roman" w:hAnsi="Times New Roman"/>
          <w:sz w:val="18"/>
          <w:szCs w:val="18"/>
          <w:color w:val="auto"/>
        </w:rPr>
        <w:t>, which was latest amended and became effective on November 30, 2022, to regulate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activities of online ride-hailing services, and ensure the operational safety for passengers. Before carrying out online ride-hailing services, an online ride-hailing service platform company shall obtain the permit for online ride-hailing business and complete the record filing of internet information services at the provincial communications administration authorities of the place of its registration.</w:t>
      </w:r>
    </w:p>
    <w:p>
      <w:pPr>
        <w:spacing w:after="0" w:line="183" w:lineRule="exact"/>
        <w:rPr>
          <w:sz w:val="20"/>
          <w:szCs w:val="20"/>
          <w:color w:val="auto"/>
        </w:rPr>
      </w:pPr>
    </w:p>
    <w:p>
      <w:pPr>
        <w:ind w:left="120" w:right="220" w:firstLine="440"/>
        <w:spacing w:after="0" w:line="284" w:lineRule="auto"/>
        <w:rPr>
          <w:sz w:val="20"/>
          <w:szCs w:val="20"/>
          <w:color w:val="auto"/>
        </w:rPr>
      </w:pPr>
      <w:r>
        <w:rPr>
          <w:rFonts w:ascii="Times New Roman" w:cs="Times New Roman" w:eastAsia="Times New Roman" w:hAnsi="Times New Roman"/>
          <w:sz w:val="18"/>
          <w:szCs w:val="18"/>
          <w:color w:val="auto"/>
        </w:rPr>
        <w:t xml:space="preserve">We conduct online ride-hailing services primarily through </w:t>
      </w:r>
      <w:r>
        <w:rPr>
          <w:rFonts w:ascii="Times New Roman" w:cs="Times New Roman" w:eastAsia="Times New Roman" w:hAnsi="Times New Roman"/>
          <w:sz w:val="18"/>
          <w:szCs w:val="18"/>
          <w:i w:val="1"/>
          <w:iCs w:val="1"/>
          <w:color w:val="auto"/>
        </w:rPr>
        <w:t>WeRide Go App</w:t>
      </w:r>
      <w:r>
        <w:rPr>
          <w:rFonts w:ascii="Times New Roman" w:cs="Times New Roman" w:eastAsia="Times New Roman" w:hAnsi="Times New Roman"/>
          <w:sz w:val="18"/>
          <w:szCs w:val="18"/>
          <w:color w:val="auto"/>
        </w:rPr>
        <w:t xml:space="preserve"> and we have obtained the permit for online ride-hailing business and completed the applicable record filing for internet information services as of the date of this prospectus.</w:t>
      </w:r>
    </w:p>
    <w:p>
      <w:pPr>
        <w:spacing w:after="0" w:line="15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On September 30, 2014, the MOT promulgated the </w:t>
      </w:r>
      <w:r>
        <w:rPr>
          <w:rFonts w:ascii="Times New Roman" w:cs="Times New Roman" w:eastAsia="Times New Roman" w:hAnsi="Times New Roman"/>
          <w:sz w:val="18"/>
          <w:szCs w:val="18"/>
          <w:i w:val="1"/>
          <w:iCs w:val="1"/>
          <w:color w:val="auto"/>
        </w:rPr>
        <w:t>Provisions on the Administration of Cruising Taxi Operating Services</w:t>
      </w:r>
      <w:r>
        <w:rPr>
          <w:rFonts w:ascii="Times New Roman" w:cs="Times New Roman" w:eastAsia="Times New Roman" w:hAnsi="Times New Roman"/>
          <w:sz w:val="18"/>
          <w:szCs w:val="18"/>
          <w:color w:val="auto"/>
        </w:rPr>
        <w:t>, or the Cruising Taxi Administration Provisions, which was mostly recently amended on August 11, 2021. The Cruising Taxi Administration Provisions provides that (i) “cruising taxi online hailing services” refer to provision of cruising taxi operating services at the time and location designated by the passengers through means of telecommunications or the internet; (ii) platforms providing cruising online taxi-hailing services shall provide round-the-clock services and dispatch taxis in accordance with the requirements of the passengers; and (iii) cruising taxi drivers shall arrive at such location and time in accordance with the requirements of the passengers, communicate with online taxi hailing service providers or passengers when the passengers fail to show up at the agreed location on time, and provide a confirmation to online taxi hailing service providers when the passengers are onboard. The Cruising Taxi Administration Provisions further provides that cruising online taxi hailing services shall be carried out at different locations based on the actual condition so as to establish and improve an online taxi hailing service management system. Cruising taxi operators are also required to establish or connect to an online taxi hailing service platform based on actual conditions to provide online taxi hailing services.</w:t>
      </w:r>
    </w:p>
    <w:p>
      <w:pPr>
        <w:spacing w:after="0" w:line="185"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On September 7, 2021, the General Office of the MOT promulgated the </w:t>
      </w:r>
      <w:r>
        <w:rPr>
          <w:rFonts w:ascii="Times New Roman" w:cs="Times New Roman" w:eastAsia="Times New Roman" w:hAnsi="Times New Roman"/>
          <w:sz w:val="18"/>
          <w:szCs w:val="18"/>
          <w:i w:val="1"/>
          <w:iCs w:val="1"/>
          <w:color w:val="auto"/>
        </w:rPr>
        <w:t>Notice on Maintaining a Fair Competition Market Order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Accelerating the Compliance of Online Ride-Hailing</w:t>
      </w:r>
      <w:r>
        <w:rPr>
          <w:rFonts w:ascii="Times New Roman" w:cs="Times New Roman" w:eastAsia="Times New Roman" w:hAnsi="Times New Roman"/>
          <w:sz w:val="18"/>
          <w:szCs w:val="18"/>
          <w:color w:val="auto"/>
        </w:rPr>
        <w:t>, which requires competent transportation authorities to strengthen their supervision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enforcement, including to strictly regulate their enforcement efforts and to use comprehensive means to crack down on illegal online ride-hailing operations. Online ride-hailing platforms that offer access to non-compliant vehicles and drivers must be investigated and dealt with in accordance with applicable laws and regulations, and the results of such investigation shall be reported to the MOT.</w:t>
      </w:r>
    </w:p>
    <w:p>
      <w:pPr>
        <w:spacing w:after="0" w:line="183"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On November 28, 2016, the People’s Government of Guangzhou Municipality promulgated the </w:t>
      </w:r>
      <w:r>
        <w:rPr>
          <w:rFonts w:ascii="Times New Roman" w:cs="Times New Roman" w:eastAsia="Times New Roman" w:hAnsi="Times New Roman"/>
          <w:sz w:val="18"/>
          <w:szCs w:val="18"/>
          <w:i w:val="1"/>
          <w:iCs w:val="1"/>
          <w:color w:val="auto"/>
        </w:rPr>
        <w:t>Interim Measures for the Administration of Online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Taxi-Hailing Services in Guangzhou</w:t>
      </w:r>
      <w:r>
        <w:rPr>
          <w:rFonts w:ascii="Times New Roman" w:cs="Times New Roman" w:eastAsia="Times New Roman" w:hAnsi="Times New Roman"/>
          <w:sz w:val="18"/>
          <w:szCs w:val="18"/>
          <w:color w:val="auto"/>
        </w:rPr>
        <w:t>, or the Guangzhou Online Taxi-Hailing Measures, which became effective on the same date. The Guangzhou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Online Taxi-Hailing Measures regulates online-hailing activities and provides for the supervision and administration of online-hailing services in Guangzhou. Pursuant to the Guangzhou Online Taxi-Hailing Measures, online-hailing platforms shall obtain the corresponding online-hailing business license in accordance with applicable laws and regulations and enter into a labor contract or agreement with drivers connected to its platform to specify the rights and obligations of both parties.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120"/>
          </w:cols>
          <w:pgMar w:left="320" w:top="455" w:right="45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Regulations Relating to Surveying and Mapping Services</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On December 28, 1992, the SCNPC promulgated the </w:t>
      </w:r>
      <w:r>
        <w:rPr>
          <w:rFonts w:ascii="Times New Roman" w:cs="Times New Roman" w:eastAsia="Times New Roman" w:hAnsi="Times New Roman"/>
          <w:sz w:val="18"/>
          <w:szCs w:val="18"/>
          <w:i w:val="1"/>
          <w:iCs w:val="1"/>
          <w:color w:val="auto"/>
        </w:rPr>
        <w:t>Surveying and Mapping Law of the People’s Republic of China</w:t>
      </w:r>
      <w:r>
        <w:rPr>
          <w:rFonts w:ascii="Times New Roman" w:cs="Times New Roman" w:eastAsia="Times New Roman" w:hAnsi="Times New Roman"/>
          <w:sz w:val="18"/>
          <w:szCs w:val="18"/>
          <w:color w:val="auto"/>
        </w:rPr>
        <w:t xml:space="preserve">, which was last amended on April 27, 2017 and became effective on July 1, 2017. According to the </w:t>
      </w:r>
      <w:r>
        <w:rPr>
          <w:rFonts w:ascii="Times New Roman" w:cs="Times New Roman" w:eastAsia="Times New Roman" w:hAnsi="Times New Roman"/>
          <w:sz w:val="18"/>
          <w:szCs w:val="18"/>
          <w:i w:val="1"/>
          <w:iCs w:val="1"/>
          <w:color w:val="auto"/>
        </w:rPr>
        <w:t>Surveying and Mapping Law</w:t>
      </w:r>
      <w:r>
        <w:rPr>
          <w:rFonts w:ascii="Times New Roman" w:cs="Times New Roman" w:eastAsia="Times New Roman" w:hAnsi="Times New Roman"/>
          <w:sz w:val="18"/>
          <w:szCs w:val="18"/>
          <w:color w:val="auto"/>
        </w:rPr>
        <w:t>, entities that engage in surveying and mapping activities shall meet specific requirements and obtain the necessary qualification certificates of surveying and mapping for corresponding grades. Any entity that engages in surveying and mapping activities without relevant qualification certificate shall be ordered to stop the illegal behavior, and be deprived of unlawful gains as well as surveying and mapping work products. In addition, the entity shall be subject to a fine of not less than the amount of, but not more than twice the amount of, the illegal gains from its surveying and mapping activities. In the event of serious violation, the surveying and mapping tools shall be confiscated. Any foreign entity or individual engaging in surveying and mapping activities without approval or without cooperation with relevant PRC department or entity, the foreign entity or individual shall be ordered to stop the illegal behavior, and be deprived of unlawful gains, surveying and mapping work products as well as tools. In addition, the foreign entity or individual shall be subject to a fine of RMB500,000 to RMB100,000. In the event of serious violation, the foreign entity or individual shall be subject to a fine of RMB1,000,000 to RMB500,000 and shall be ordered to leave the country within a specified period or expelled from the country. If constituting a crime, the foreign entity or individual shall be investigated for criminal liability in accordance with applicable laws.</w:t>
      </w:r>
    </w:p>
    <w:p>
      <w:pPr>
        <w:spacing w:after="0" w:line="190"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Pursuant to the </w:t>
      </w:r>
      <w:r>
        <w:rPr>
          <w:rFonts w:ascii="Times New Roman" w:cs="Times New Roman" w:eastAsia="Times New Roman" w:hAnsi="Times New Roman"/>
          <w:sz w:val="18"/>
          <w:szCs w:val="18"/>
          <w:i w:val="1"/>
          <w:iCs w:val="1"/>
          <w:color w:val="auto"/>
        </w:rPr>
        <w:t>Administrative Rules of Surveying Qualification Certificate</w:t>
      </w:r>
      <w:r>
        <w:rPr>
          <w:rFonts w:ascii="Times New Roman" w:cs="Times New Roman" w:eastAsia="Times New Roman" w:hAnsi="Times New Roman"/>
          <w:sz w:val="18"/>
          <w:szCs w:val="18"/>
          <w:color w:val="auto"/>
        </w:rPr>
        <w:t xml:space="preserve">, or the Surveying Qualification Rules, as most recently amended by the Ministry of Natural Resources of the People’s Republic of China, or the MNR, effective from July 1, 2021, entities conducting surveying and mapping activities in the territory of China, as well as other territorial sea under the jurisdiction of China, shall obtain a Surveying and Mapping Qualification Certificate, and conduct surveying and mapping activities within the specialized categories and restricted scope permitted by their Surveying and Mapping Qualification Certificate. The specialized categories of Surveying and Mapping Qualification Certificate include, among others, internet map services. Pursuant to the </w:t>
      </w:r>
      <w:r>
        <w:rPr>
          <w:rFonts w:ascii="Times New Roman" w:cs="Times New Roman" w:eastAsia="Times New Roman" w:hAnsi="Times New Roman"/>
          <w:sz w:val="18"/>
          <w:szCs w:val="18"/>
          <w:i w:val="1"/>
          <w:iCs w:val="1"/>
          <w:color w:val="auto"/>
        </w:rPr>
        <w:t>Notice on Further Strengthening the Administration of Internet Map Services Qualification</w:t>
      </w:r>
      <w:r>
        <w:rPr>
          <w:rFonts w:ascii="Times New Roman" w:cs="Times New Roman" w:eastAsia="Times New Roman" w:hAnsi="Times New Roman"/>
          <w:sz w:val="18"/>
          <w:szCs w:val="18"/>
          <w:color w:val="auto"/>
        </w:rPr>
        <w:t xml:space="preserve"> issued by the National Administration of Surveying, Mapping and Geo-information on December 23, 2011, internet map services cannot be provided by any entity without a Surveying and Mapping Qualification Certificate with respect to internet map services. According to the </w:t>
      </w:r>
      <w:r>
        <w:rPr>
          <w:rFonts w:ascii="Times New Roman" w:cs="Times New Roman" w:eastAsia="Times New Roman" w:hAnsi="Times New Roman"/>
          <w:sz w:val="18"/>
          <w:szCs w:val="18"/>
          <w:i w:val="1"/>
          <w:iCs w:val="1"/>
          <w:color w:val="auto"/>
        </w:rPr>
        <w:t>Provisions on the Administration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Examination of Maps </w:t>
      </w:r>
      <w:r>
        <w:rPr>
          <w:rFonts w:ascii="Times New Roman" w:cs="Times New Roman" w:eastAsia="Times New Roman" w:hAnsi="Times New Roman"/>
          <w:sz w:val="18"/>
          <w:szCs w:val="18"/>
          <w:color w:val="auto"/>
        </w:rPr>
        <w:t>most recently amended by the MNR on July 24, 2019, an enterprise must first apply for the approval of the relevant regulatory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authorities, subject only to limited exceptions, if it intends to engage in any of the following activities: (i) the publication, display, production, posting, import or export of any map or any product attached with a map; (ii) the re-publication, re-display, re-production, re-posting, re-import or re-export of any map, or any product attached with a map whose content has been changed after its initial approval; and (iii) the publication or display outside China of any map or any product attached with a map. An operator of internet map is required to file any content update relating to its map with the relevant regulatory authorities semi-annually and to reapply for a new approval of the map when the two-year term of the existing approval expires.</w:t>
      </w:r>
    </w:p>
    <w:p>
      <w:pPr>
        <w:spacing w:after="0" w:line="185"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Pursuant to the </w:t>
      </w:r>
      <w:r>
        <w:rPr>
          <w:rFonts w:ascii="Times New Roman" w:cs="Times New Roman" w:eastAsia="Times New Roman" w:hAnsi="Times New Roman"/>
          <w:sz w:val="18"/>
          <w:szCs w:val="18"/>
          <w:i w:val="1"/>
          <w:iCs w:val="1"/>
          <w:color w:val="auto"/>
        </w:rPr>
        <w:t>Notice of the Ministry of Natural Resources on Promoting the Development of Intelligent Connected Vehicles and Maintaining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Security of Surveying, Mapping and Geoinformation </w:t>
      </w:r>
      <w:r>
        <w:rPr>
          <w:rFonts w:ascii="Times New Roman" w:cs="Times New Roman" w:eastAsia="Times New Roman" w:hAnsi="Times New Roman"/>
          <w:sz w:val="18"/>
          <w:szCs w:val="18"/>
          <w:color w:val="auto"/>
        </w:rPr>
        <w:t>promulgated by the MNR on August 25, 2022, after an intelligent connected vehicle is being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equipped with a satellite navigation positioning receiving module, inertial measurement unit, camera, laser radar and other sensors, its activities of collecting, storing, transmitting and processing geographic information data such as spatial coordinates, images, point clouds and attributing information of vehicles and surrounding road facilities during operation, service and road testing will be considered as surveying and mapping activities under the Surveying and Mapping Law. Furthermore, any vehicle manufacturer, service provider or smart driving software provider that needs to engage in the collection, storage, transmission and processing of geographic information data shall obtain the corresponding qualification for surveying and mapping in accordance with the law or entrust an agency with the corresponding qualification for surveying and mapping to carry out the corresponding surveying and mapping activities if it is a domestic enterprise; in the case of a foreign-invested enterprise, it shall entrust an agency with the corresponding qualification for surveying and mapping to carry out the corresponding surveying and mapping</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120"/>
          </w:cols>
          <w:pgMar w:left="320" w:top="455" w:right="45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activities, and the entrusted agency shall undertake the collection, storage, transmission and processing of geographic information and any other businesses, and to provide geographic information services and support for such foreign-invested enterprise.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Regulations Relating to Cybersecurity and Data Security</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The Decision Regarding the Protection of Cybersecurity</w:t>
      </w:r>
      <w:r>
        <w:rPr>
          <w:rFonts w:ascii="Times New Roman" w:cs="Times New Roman" w:eastAsia="Times New Roman" w:hAnsi="Times New Roman"/>
          <w:sz w:val="18"/>
          <w:szCs w:val="18"/>
          <w:color w:val="auto"/>
        </w:rPr>
        <w:t>, enacted by the Standing Committee of the National People’s Congress, or the SCNPC,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December 28, 2000 and amended on August 27, 2009, provides, among other things, that the following activities conducted through the internet, if constituting a crime under PRC laws, are subject to criminal punishment: (i) hacking into a computer or system of strategic importance; (ii) intentionally inventing and spreading destructive programs such as computer viruses to attack computer systems and communications networks, and damaging computer systems and the communications networks; (iii) violation of national regulations or discontinuing computer network or communications services without authorization; (iv) disseminating politically disruptive information or divulging state secrets; (v) spreading false commercial information; or (vi) infringing on intellectual property rights.</w:t>
      </w:r>
    </w:p>
    <w:p>
      <w:pPr>
        <w:spacing w:after="0" w:line="183"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According to the </w:t>
      </w:r>
      <w:r>
        <w:rPr>
          <w:rFonts w:ascii="Times New Roman" w:cs="Times New Roman" w:eastAsia="Times New Roman" w:hAnsi="Times New Roman"/>
          <w:sz w:val="18"/>
          <w:szCs w:val="18"/>
          <w:i w:val="1"/>
          <w:iCs w:val="1"/>
          <w:color w:val="auto"/>
        </w:rPr>
        <w:t>Cybersecurity Law of the People’s Republic of China,</w:t>
      </w:r>
      <w:r>
        <w:rPr>
          <w:rFonts w:ascii="Times New Roman" w:cs="Times New Roman" w:eastAsia="Times New Roman" w:hAnsi="Times New Roman"/>
          <w:sz w:val="18"/>
          <w:szCs w:val="18"/>
          <w:color w:val="auto"/>
        </w:rPr>
        <w:t xml:space="preserve"> or the Cybersecurity Law, which was promulgated by the SCNPC on November 7, 2016 and became effective on June 1, 2017, and other related laws and regulations, network service providers are required to take measures to safeguard cybersecurity by complying with cybersecurity obligations, formulating cybersecurity emergency response plans, and providing technical assistance and support to public security and national security authorities. Failure to comply with such laws and regulations may subject the network service providers to administrative penalties including, without limitation, fines, suspension of business operation, shutdown of business websites, revocation of licenses as well as criminal liabilities. The Cybersecurity Law applies to the construction, operation, maintenance and use of the network as well as the supervision and administration of cybersecurity within the territory of China. Due to the operation of </w:t>
      </w:r>
      <w:r>
        <w:rPr>
          <w:rFonts w:ascii="Times New Roman" w:cs="Times New Roman" w:eastAsia="Times New Roman" w:hAnsi="Times New Roman"/>
          <w:sz w:val="18"/>
          <w:szCs w:val="18"/>
          <w:i w:val="1"/>
          <w:iCs w:val="1"/>
          <w:color w:val="auto"/>
        </w:rPr>
        <w:t>WeRide Go App</w:t>
      </w:r>
      <w:r>
        <w:rPr>
          <w:rFonts w:ascii="Times New Roman" w:cs="Times New Roman" w:eastAsia="Times New Roman" w:hAnsi="Times New Roman"/>
          <w:sz w:val="18"/>
          <w:szCs w:val="18"/>
          <w:color w:val="auto"/>
        </w:rPr>
        <w:t>, the remote cockpit management system and the autonomous driving vehicle operation management platform, we may be deemed as a network service provider and be subject to the aforementioned regulations. On September 12, 2022, the CAC released the Decision on Amending the Cybersecurity Law of the PRC (Draft for Comments), which makes amendments on certain legal liabilities prescribed in the Cybersecurity Law. It proposes to increase the maximum fines for serious violation of the security protection obligations of network operation, network information, critical information infrastructure and personal information under the Cybersecurity Law to RMB50 million or up to 5% of the turnover of the company in the preceding year. The period for public comments ended on September 29, 2022, and there is no timetable as to when the draft will be enacted.</w:t>
      </w:r>
    </w:p>
    <w:p>
      <w:pPr>
        <w:spacing w:after="0" w:line="18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After the release of the Cybersecurity Law, on May 2, 2017, the CAC issued the </w:t>
      </w:r>
      <w:r>
        <w:rPr>
          <w:rFonts w:ascii="Times New Roman" w:cs="Times New Roman" w:eastAsia="Times New Roman" w:hAnsi="Times New Roman"/>
          <w:sz w:val="18"/>
          <w:szCs w:val="18"/>
          <w:i w:val="1"/>
          <w:iCs w:val="1"/>
          <w:color w:val="auto"/>
        </w:rPr>
        <w:t>Measures for Security Reviews of Network Products and Services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(Trial)</w:t>
      </w:r>
      <w:r>
        <w:rPr>
          <w:rFonts w:ascii="Times New Roman" w:cs="Times New Roman" w:eastAsia="Times New Roman" w:hAnsi="Times New Roman"/>
          <w:sz w:val="18"/>
          <w:szCs w:val="18"/>
          <w:color w:val="auto"/>
        </w:rPr>
        <w:t>, which was later replaced by the</w:t>
      </w:r>
      <w:r>
        <w:rPr>
          <w:rFonts w:ascii="Times New Roman" w:cs="Times New Roman" w:eastAsia="Times New Roman" w:hAnsi="Times New Roman"/>
          <w:sz w:val="18"/>
          <w:szCs w:val="18"/>
          <w:i w:val="1"/>
          <w:iCs w:val="1"/>
          <w:color w:val="auto"/>
        </w:rPr>
        <w:t xml:space="preserve"> Cybersecurity Review Measures</w:t>
      </w:r>
      <w:r>
        <w:rPr>
          <w:rFonts w:ascii="Times New Roman" w:cs="Times New Roman" w:eastAsia="Times New Roman" w:hAnsi="Times New Roman"/>
          <w:sz w:val="18"/>
          <w:szCs w:val="18"/>
          <w:color w:val="auto"/>
        </w:rPr>
        <w:t>. The Cybersecurity Review Measures was promulgated by the CAC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relevant authorities on April 13, 2020 and most recently amended on December 28, 2021 (such amendment became effective on February 15, 2022). The Cybersecurity Review Measures establishes the basic framework and principle for national security reviews of network products and services. Pursuant to the Cybersecurity Review Measures, in addition to critical information infrastructure operators purchasing network products or services that affect or may affect national security, any “online platform operators” controlling personal information of more than one million users which seeks to list on a foreign stock exchange should also be subject to cybersecurity review. Government authorities may initiate a cybersecurity review against an online platform operator if such authorities believe that the network products or services or data processing activities of such operator affect or may affect national security.</w:t>
      </w:r>
    </w:p>
    <w:p>
      <w:pPr>
        <w:spacing w:after="0" w:line="188" w:lineRule="exact"/>
        <w:rPr>
          <w:sz w:val="20"/>
          <w:szCs w:val="20"/>
          <w:color w:val="auto"/>
        </w:rPr>
      </w:pPr>
    </w:p>
    <w:p>
      <w:pPr>
        <w:ind w:left="120" w:right="200" w:firstLine="440"/>
        <w:spacing w:after="0" w:line="267" w:lineRule="auto"/>
        <w:rPr>
          <w:sz w:val="20"/>
          <w:szCs w:val="20"/>
          <w:color w:val="auto"/>
        </w:rPr>
      </w:pPr>
      <w:r>
        <w:rPr>
          <w:rFonts w:ascii="Times New Roman" w:cs="Times New Roman" w:eastAsia="Times New Roman" w:hAnsi="Times New Roman"/>
          <w:sz w:val="18"/>
          <w:szCs w:val="18"/>
          <w:color w:val="auto"/>
        </w:rPr>
        <w:t xml:space="preserve">On July 30, 2021, the State Council promulgated the </w:t>
      </w:r>
      <w:r>
        <w:rPr>
          <w:rFonts w:ascii="Times New Roman" w:cs="Times New Roman" w:eastAsia="Times New Roman" w:hAnsi="Times New Roman"/>
          <w:sz w:val="18"/>
          <w:szCs w:val="18"/>
          <w:i w:val="1"/>
          <w:iCs w:val="1"/>
          <w:color w:val="auto"/>
        </w:rPr>
        <w:t>Regulations on Protection of Critical Information Infrastructure</w:t>
      </w:r>
      <w:r>
        <w:rPr>
          <w:rFonts w:ascii="Times New Roman" w:cs="Times New Roman" w:eastAsia="Times New Roman" w:hAnsi="Times New Roman"/>
          <w:sz w:val="18"/>
          <w:szCs w:val="18"/>
          <w:color w:val="auto"/>
        </w:rPr>
        <w:t xml:space="preserve"> which took effect on September 1, 2021, and pursuant to which, “critical information infrastructures” is defined to mean critical network facilities and information systems involved in important industries and sectors, such as public communication and information services, energy, transportation, water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100"/>
          </w:cols>
          <w:pgMar w:left="320" w:top="455" w:right="47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conservancy, finance, public services, governmental digital services, science and technology related to national defense industry, as well as those which may seriously endanger national security, national economy, livelihood of citizens, or public interests if any damage is suffered or caused to malfunction, or if any leakage of data in relation thereto occurs. Pursuant to these regulations, the relevant governmental authorities are responsible for stipulating rules for the identification of critical information infrastructures with reference to several factors set forth in the regulations, and further identify critical information infrastructure operators in the related industries in accordance with such rules. The relevant authorities shall also notify any operator if it is identified as a critical information infrastructure operator.</w:t>
      </w:r>
    </w:p>
    <w:p>
      <w:pPr>
        <w:spacing w:after="0" w:line="187"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As of the date of this prospectus, we have not been informed as a critical information infrastructure operator by any government authorities. However, we cannot preclude the possibility that the Revised Cybersecurity Review Measures will subject us to the cybersecurity review by the CAC in relation to our operations or require us to adjust our business practices.</w:t>
      </w:r>
    </w:p>
    <w:p>
      <w:pPr>
        <w:spacing w:after="0" w:line="174"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On June 10, 2021, the SCNPC promulgated the </w:t>
      </w:r>
      <w:r>
        <w:rPr>
          <w:rFonts w:ascii="Times New Roman" w:cs="Times New Roman" w:eastAsia="Times New Roman" w:hAnsi="Times New Roman"/>
          <w:sz w:val="18"/>
          <w:szCs w:val="18"/>
          <w:i w:val="1"/>
          <w:iCs w:val="1"/>
          <w:color w:val="auto"/>
        </w:rPr>
        <w:t>Data Security Law of the People’s Republic of China,</w:t>
      </w:r>
      <w:r>
        <w:rPr>
          <w:rFonts w:ascii="Times New Roman" w:cs="Times New Roman" w:eastAsia="Times New Roman" w:hAnsi="Times New Roman"/>
          <w:sz w:val="18"/>
          <w:szCs w:val="18"/>
          <w:color w:val="auto"/>
        </w:rPr>
        <w:t xml:space="preserve"> or the Data Security Law, which took effect on September 1, 2021. The Data Security Law provides for data security and privacy obligations on entities and individuals carrying out data-related activities. The Data Security Law also introduces a data classification and hierarchical protection system based on the importance of the data with respect to economic and social development, as well as the degree of harm that will result on national security, public interests, or legitimate rights and interests of individuals or organizations if such data is tampered with, destroyed, leaked, or illegally acquired or used. The appropriate level of protection measures is required to be taken for each respective category of data. For example, a processor of important data shall have designated personnel and a management body responsible for data security, carry out risk assessments for its data processing activities and file its risk assessment reports with the competent authorities. In addition, the Data Security Law sets out a national security review procedure applicable to data-related activities that may affect national security and imposes restrictions on the export of certain data and information.</w:t>
      </w:r>
    </w:p>
    <w:p>
      <w:pPr>
        <w:spacing w:after="0" w:line="18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On November 14, 2021, the CAC released the </w:t>
      </w:r>
      <w:r>
        <w:rPr>
          <w:rFonts w:ascii="Times New Roman" w:cs="Times New Roman" w:eastAsia="Times New Roman" w:hAnsi="Times New Roman"/>
          <w:sz w:val="18"/>
          <w:szCs w:val="18"/>
          <w:i w:val="1"/>
          <w:iCs w:val="1"/>
          <w:color w:val="auto"/>
        </w:rPr>
        <w:t>Regulations on the Network Data Security (Draft for Comments)</w:t>
      </w:r>
      <w:r>
        <w:rPr>
          <w:rFonts w:ascii="Times New Roman" w:cs="Times New Roman" w:eastAsia="Times New Roman" w:hAnsi="Times New Roman"/>
          <w:sz w:val="18"/>
          <w:szCs w:val="18"/>
          <w:color w:val="auto"/>
        </w:rPr>
        <w:t>, or the Draft Network Data Security Regulations. The Draft Network Data Security Regulations defines “data processors” to mean individuals or organizations that autonomously determine the purpose and the manner for the processing of data. In accordance with the Draft Network Data Security Regulations, data processors shall apply for a cybersecurity review in respect of the following activities: (i) the merger, reorganization or division of internet platform operators that have acquired a large number of data resources related to national security, economic development or public interests to the extent that such merger, reorganization or division affects or may affect national security; (ii) the overseas listing of a data processor that processes personal information of over one million users; (iii) the listing in Hong Kong of a data processor where such listing affects or may affect national security; or (iv) other data processing activities that affect or may affect national security. In addition, data processors that are listed overseas shall carry out an annual data security assessment. The period for which the CAC solicited comments on this draft regulation ended on December 13, 2021, but there is no certainty as to when and in what form it will be enacted. If the Draft Network Data Security Regulations is enacted in the current form, we, upon the completion of the offering, will be required to carry out an annual data security review and comply with the relevant reporting obligations.</w:t>
      </w:r>
    </w:p>
    <w:p>
      <w:pPr>
        <w:spacing w:after="0" w:line="192"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color w:val="auto"/>
        </w:rPr>
        <w:t xml:space="preserve">According to the </w:t>
      </w:r>
      <w:r>
        <w:rPr>
          <w:rFonts w:ascii="Times New Roman" w:cs="Times New Roman" w:eastAsia="Times New Roman" w:hAnsi="Times New Roman"/>
          <w:sz w:val="18"/>
          <w:szCs w:val="18"/>
          <w:i w:val="1"/>
          <w:iCs w:val="1"/>
          <w:color w:val="auto"/>
        </w:rPr>
        <w:t>Several Provisions on Vehicle Data Security Management (Trial Implementation)</w:t>
      </w:r>
      <w:r>
        <w:rPr>
          <w:rFonts w:ascii="Times New Roman" w:cs="Times New Roman" w:eastAsia="Times New Roman" w:hAnsi="Times New Roman"/>
          <w:sz w:val="18"/>
          <w:szCs w:val="18"/>
          <w:color w:val="auto"/>
        </w:rPr>
        <w:t xml:space="preserve"> promulgated on August 16, 2021 by the CAC, the NDRC, the MIIT, the MPS, and the MOT, which became effective on October 1, 2021, the processing of vehicle data by a vehicle data processor must comply with certain basic principles such as lawfulness and appropriateness, and must be conducted in a way directly relevant to the design, manufacturing, sale, use, operation or maintenance of a vehicle. Where the processing of any vehicle data is carried out using the internet or any other information network, a hierarchical cybersecurity protection scheme shall be implemented to strengthen the protection of vehicle data and obligations relating to data security must be discharged in accordance with applicable laws.</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100"/>
          </w:cols>
          <w:pgMar w:left="320" w:top="455" w:right="47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On July 7, 2022, the CAC promulgated the Measures for the Security Assessment of Cross-border Data Transfer, or the Security Assessment Measures, which took effect on September 1, 2022. The Security Assessment Measures regulates the security assessment of important data and personal information collected and generated within the territory of mainland China and transferred overseas by a data processor during its operation. According to the Security Assessment Measures, where a data processor transfers data overseas under any of the following circumstances, it shall apply to the relevant provincial department of the CAC for a security assessment: (i) a data processor transfers important data overseas; (ii) a critical information infrastructure operator transfers personal information overseas; (iii) a data processor processing personal information of more than one million individuals transfers personal information overseas; (iv) a data processor having, since January 1 of the previous year, cumulatively transferred overseas personal information of more than 100,000 individuals, or sensitive personal information of more than 10,000 individuals, or (v) other circumstances where a security assessment for outbound data transfer is required by the CAC. Before applying for a security assessment for the proposed outbound data transfer, a data processor shall conduct a self-assessment of the risks involved in such transfer, and the self-assessment shall focus on the following matters: (i) the lawfulness, legitimacy and necessity of the purpose, scope and method of the proposed overseas data transfer, and of the processing of such data by the foreign recipient; (ii) the scale, scope, type and sensitivity of the outbound data transfer, and the risks to national security, public interest or to the legitimate rights and interests of individuals or organizations that may be caused by the proposed outbound data transfer; (iii) the duties and obligations which the foreign recipient undertakes, and the foreign recipient’s organizational and technical capabilities and measures to perform such duties and obligations and guarantee the security of the proposed outbound data transfer; (iv) the risks of the relevant data being tampered with, destroyed, divulged, lost, transferred, illegally obtained or illegally used during and after the proposed outbound data transfer, and whether a proper channel is in place to safeguard rights to and interests in personal information; (v) whether the responsibilities and obligations relating to data security protection have been fully spelt out in the relevant contracts or other legally binding documents to be concluded with the foreign recipient; and (vi) other matters that may affect the security of the proposed outbound data transfer.</w:t>
      </w:r>
    </w:p>
    <w:p>
      <w:pPr>
        <w:spacing w:after="0" w:line="19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 December 8, 2022, the MIIT issued the Administrative Measures for Data Security in the Field of Industry and Information Technology (Trial Implementation), or the MIIT Data Security Measures, which took effect on January 1, 2023. The MIIT Data Security Measures prescribes that data processors in the field of industry and information technology shall follow the principles of lawfulness and appropriateness in collecting data. During the data collection process, the data processors shall take security measures corresponding to and appropriate for the relevant data.</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Regulations Relating to Privacy</w:t>
      </w:r>
    </w:p>
    <w:p>
      <w:pPr>
        <w:spacing w:after="0" w:line="11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According to the </w:t>
      </w:r>
      <w:r>
        <w:rPr>
          <w:rFonts w:ascii="Times New Roman" w:cs="Times New Roman" w:eastAsia="Times New Roman" w:hAnsi="Times New Roman"/>
          <w:sz w:val="18"/>
          <w:szCs w:val="18"/>
          <w:i w:val="1"/>
          <w:iCs w:val="1"/>
          <w:color w:val="auto"/>
        </w:rPr>
        <w:t>Provisions on Protection of Personal Information of Telecommunications and Internet Users</w:t>
      </w:r>
      <w:r>
        <w:rPr>
          <w:rFonts w:ascii="Times New Roman" w:cs="Times New Roman" w:eastAsia="Times New Roman" w:hAnsi="Times New Roman"/>
          <w:sz w:val="18"/>
          <w:szCs w:val="18"/>
          <w:color w:val="auto"/>
        </w:rPr>
        <w:t>, which was promulgated by the MIIT on July 16, 2013 and became effective on September 1, 2013, telecommunications business operators and ICP operators are responsible for the security of users’ personal information they collect or use in the course of their services. Telecommunications business operators and ICP operators may not collect or use the personal information of their users without their consent. Personal information collected or used by telecommunication business operators or ICP operators in the course of their services must be kept in strict confidence, and may not be divulged, tampered with or damaged, and may not be sold or unlawfully provided to others. ICP operators are required to take certain measures to prevent any divulgence of, damage to, tampering with or loss of personal information belonging to the users. In accordance with the Cybersecurity Law, network operators are required to collect and use personal information in compliance with the principles of legality, appropriateness and necessity, and strictly within the scope of authorization granted by the subject of the relevant personal information unless otherwise prescribed by laws or regulations. In the event of any unauthorized disclosure, damage or loss of personal information collected, network operators must take immediate remedial measures, notify the affected users and report the incidents to the relevant authorities in a timely manner. If any user becomes aware that a network operator collects or uses his or her personal information in violation of applicable laws and regulations or against the terms of any agreement</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120"/>
          </w:cols>
          <w:pgMar w:left="320" w:top="455" w:right="45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with such user, or if the personal information collected or stored is inaccurate or wrong, the user has the right to request the network operator to delete or correct the relevant information.</w:t>
      </w:r>
    </w:p>
    <w:p>
      <w:pPr>
        <w:spacing w:after="0" w:line="160"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7"/>
          <w:szCs w:val="17"/>
          <w:color w:val="auto"/>
        </w:rPr>
        <w:t xml:space="preserve">Pursuant to the </w:t>
      </w:r>
      <w:r>
        <w:rPr>
          <w:rFonts w:ascii="Times New Roman" w:cs="Times New Roman" w:eastAsia="Times New Roman" w:hAnsi="Times New Roman"/>
          <w:sz w:val="17"/>
          <w:szCs w:val="17"/>
          <w:i w:val="1"/>
          <w:iCs w:val="1"/>
          <w:color w:val="auto"/>
        </w:rPr>
        <w:t>Announcement of Conducting Special Supervision against the Illegal Collection and Use of Personal Information by Apps</w:t>
      </w:r>
      <w:r>
        <w:rPr>
          <w:rFonts w:ascii="Times New Roman" w:cs="Times New Roman" w:eastAsia="Times New Roman" w:hAnsi="Times New Roman"/>
          <w:sz w:val="17"/>
          <w:szCs w:val="17"/>
          <w:color w:val="auto"/>
        </w:rPr>
        <w:t xml:space="preserve">, which was jointly issued by the Office of the Central Cyberspace Affairs Commission, the MIIT, the MPS and the SAMR on January 23, 2019, app operators should collect and use personal information in compliance with the Cyber Security Law and should be responsible for the security of personal information obtained from users and take effective measures to step up the protection of personal information. Furthermore, app operators should not force their users to grant authorization by means of bundling, suspending installation or in any other default forms and should not collect personal information in violation of laws or regulations or in breach any agreement with users. The importance of the foregoing regulatory requirements is repeated under the </w:t>
      </w:r>
      <w:r>
        <w:rPr>
          <w:rFonts w:ascii="Times New Roman" w:cs="Times New Roman" w:eastAsia="Times New Roman" w:hAnsi="Times New Roman"/>
          <w:sz w:val="17"/>
          <w:szCs w:val="17"/>
          <w:i w:val="1"/>
          <w:iCs w:val="1"/>
          <w:color w:val="auto"/>
        </w:rPr>
        <w:t>Notice on the Special Rectification of Apps Infringing upon User’s Personal Rights and Interests</w:t>
      </w:r>
      <w:r>
        <w:rPr>
          <w:rFonts w:ascii="Times New Roman" w:cs="Times New Roman" w:eastAsia="Times New Roman" w:hAnsi="Times New Roman"/>
          <w:sz w:val="17"/>
          <w:szCs w:val="17"/>
          <w:color w:val="auto"/>
        </w:rPr>
        <w:t xml:space="preserve"> issued by MIIT on October 31, 2019. On November 28, 2019, the CAC, the MIIT, the MPS and the SAMR jointly issued the </w:t>
      </w:r>
      <w:r>
        <w:rPr>
          <w:rFonts w:ascii="Times New Roman" w:cs="Times New Roman" w:eastAsia="Times New Roman" w:hAnsi="Times New Roman"/>
          <w:sz w:val="17"/>
          <w:szCs w:val="17"/>
          <w:i w:val="1"/>
          <w:iCs w:val="1"/>
          <w:color w:val="auto"/>
        </w:rPr>
        <w:t>Methods of Identifying Illegal Acts of Apps to Collect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Use Personal Information</w:t>
      </w:r>
      <w:r>
        <w:rPr>
          <w:rFonts w:ascii="Times New Roman" w:cs="Times New Roman" w:eastAsia="Times New Roman" w:hAnsi="Times New Roman"/>
          <w:sz w:val="17"/>
          <w:szCs w:val="17"/>
          <w:color w:val="auto"/>
        </w:rPr>
        <w:t>. This regulation illustrates various illegal practices commonly adopted by apps operators with respect to personal information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protection, including “the failure to publish rules on the collection and use of personal information,” “the failure to expressly state the purpose, manner and scope for the collection and use of personal information,” “the collection and use of personal information without consent,” “the collection of personal information that is irrelevant to the services provided by the relevant app and in violation of the principle of necessity,” “the provision of personal information to others without users’ consent,” “the failure to allow deletion or correction of personal information as required by laws” and “the failure to publish relevant information such as relating to complaint filing or reporting.” Any of the following acts by an app operator will, amongst others, constitutes the “collection and use of personal information without the consent of users”: (i) collecting the personal information or activating the authorization for the collection of personal information without obtaining the consent of the relevant user; (ii) collecting the personal information or activating the authorization for the collection of personal information of any user who explicitly denies collection, or repeatedly soliciting such user’s consent in a way that disrupts his/her normal use of the relevant app; (iii) the personal information collected or the authorization for the collection of personal information activated by the app operator exceeds the scope authorized by the user; (iv) seeking user consent in a non-explicit manner;</w:t>
      </w:r>
    </w:p>
    <w:p>
      <w:pPr>
        <w:spacing w:after="0" w:line="195" w:lineRule="exact"/>
        <w:rPr>
          <w:sz w:val="20"/>
          <w:szCs w:val="20"/>
          <w:color w:val="auto"/>
        </w:rPr>
      </w:pPr>
    </w:p>
    <w:p>
      <w:pPr>
        <w:ind w:left="380" w:hanging="264"/>
        <w:spacing w:after="0"/>
        <w:tabs>
          <w:tab w:leader="none" w:pos="3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modifying user settings with respect to the activation of the authorization for the collection of personal information without such user’s consent;</w:t>
      </w:r>
    </w:p>
    <w:p>
      <w:pPr>
        <w:spacing w:after="0" w:line="9" w:lineRule="exact"/>
        <w:rPr>
          <w:rFonts w:ascii="Times New Roman" w:cs="Times New Roman" w:eastAsia="Times New Roman" w:hAnsi="Times New Roman"/>
          <w:sz w:val="18"/>
          <w:szCs w:val="18"/>
          <w:color w:val="auto"/>
        </w:rPr>
      </w:pPr>
    </w:p>
    <w:p>
      <w:pPr>
        <w:ind w:left="420" w:hanging="304"/>
        <w:spacing w:after="0"/>
        <w:tabs>
          <w:tab w:leader="none" w:pos="4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pushing information that is directed at a user based on his/her personal information and algorithms, without providing an opt-out option;</w:t>
      </w:r>
    </w:p>
    <w:p>
      <w:pPr>
        <w:spacing w:after="0" w:line="9" w:lineRule="exact"/>
        <w:rPr>
          <w:rFonts w:ascii="Times New Roman" w:cs="Times New Roman" w:eastAsia="Times New Roman" w:hAnsi="Times New Roman"/>
          <w:sz w:val="18"/>
          <w:szCs w:val="18"/>
          <w:color w:val="auto"/>
        </w:rPr>
      </w:pPr>
    </w:p>
    <w:p>
      <w:pPr>
        <w:ind w:left="120" w:right="180" w:hanging="4"/>
        <w:spacing w:after="0" w:line="277" w:lineRule="auto"/>
        <w:tabs>
          <w:tab w:leader="none" w:pos="475"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misleading users to authorize the collection of their personal information or activating the authorization for the collection of personal information by improper methods such as fraud and deception; (viii) failing to provide users with the means and methods to withdraw their authorization for the collection of personal information; and (ix) collecting and using personal information in violation of the rules published by the app operator.</w:t>
      </w:r>
    </w:p>
    <w:p>
      <w:pPr>
        <w:spacing w:after="0" w:line="16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On August 20, 2021, the SCNPC issued the </w:t>
      </w:r>
      <w:r>
        <w:rPr>
          <w:rFonts w:ascii="Times New Roman" w:cs="Times New Roman" w:eastAsia="Times New Roman" w:hAnsi="Times New Roman"/>
          <w:sz w:val="18"/>
          <w:szCs w:val="18"/>
          <w:i w:val="1"/>
          <w:iCs w:val="1"/>
          <w:color w:val="auto"/>
        </w:rPr>
        <w:t>Personal Information Protection Law of the People’s Republic of China</w:t>
      </w:r>
      <w:r>
        <w:rPr>
          <w:rFonts w:ascii="Times New Roman" w:cs="Times New Roman" w:eastAsia="Times New Roman" w:hAnsi="Times New Roman"/>
          <w:sz w:val="18"/>
          <w:szCs w:val="18"/>
          <w:color w:val="auto"/>
        </w:rPr>
        <w:t>, or the Personal Information Protection Law, which took effect on November 1, 2021. The law integrates previously scattered rules with respect to personal information rights and privacy protection. According to the Personal Information Protection Law, personal information refers to information related to identified or identifiable natural persons which is recorded by electronic and other means (excluding anonymized information). The Personal Information Protection Law applies to the processing of personal information within mainland China, as well as certain personal information processing activities outside China, including those for the provision of products and services to natural persons within mainland China or for the analysis and assessment of acts of natural persons within mainland China. It also stipulates certain specific provisions with respect to the obligations of a personal information processor. We update our privacy policies from time to time to meet the latest regulatory requirements of PRC government authorities and adopt technical measures to protect data and ensure cybersecurity in a systematic way. Nonetheless, the Personal Information Protection Law elevates the protection requirements for personal information processing, and many specific requirements of this law remain to be clarified by the CAC, other regulatory authorities, and courts in practice. We may be required to</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120"/>
          </w:cols>
          <w:pgMar w:left="320" w:top="455" w:right="45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make further adjustments to our business practices to comply with the personal information protection laws and regulations.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Regulations Relating to Intellectual Property</w:t>
      </w:r>
    </w:p>
    <w:p>
      <w:pPr>
        <w:spacing w:after="0" w:line="121"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China has adopted comprehensive legislation governing intellectual property rights, including copyrights, trademarks, patents and domain names. China is a signatory to the primary international conventions on intellectual property rights and has been a member of the Agreement on Trade Related Aspects of Intellectual Property Rights since its accession to the World Trade Organization in December 2001.</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Copyright</w:t>
      </w:r>
    </w:p>
    <w:p>
      <w:pPr>
        <w:spacing w:after="0" w:line="11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On September 7, 1990, the SCNPC promulgated the </w:t>
      </w:r>
      <w:r>
        <w:rPr>
          <w:rFonts w:ascii="Times New Roman" w:cs="Times New Roman" w:eastAsia="Times New Roman" w:hAnsi="Times New Roman"/>
          <w:sz w:val="18"/>
          <w:szCs w:val="18"/>
          <w:i w:val="1"/>
          <w:iCs w:val="1"/>
          <w:color w:val="auto"/>
        </w:rPr>
        <w:t>Copyright Law of the People’s Republic of China</w:t>
      </w:r>
      <w:r>
        <w:rPr>
          <w:rFonts w:ascii="Times New Roman" w:cs="Times New Roman" w:eastAsia="Times New Roman" w:hAnsi="Times New Roman"/>
          <w:sz w:val="18"/>
          <w:szCs w:val="18"/>
          <w:color w:val="auto"/>
        </w:rPr>
        <w:t>, or the Copyright Law, which was most recently amended on November 11, 2020. The latest amendment took effect on June 1, 2021 and extends copyright protection to internet activities, products disseminated over the internet and software products. In addition, there is a voluntary registration system administered by the Copyright Protection Centre of China. According to the Copyright Law, Chinese citizens, legal persons and organizations shall own copyright to their copyrightable works, regardless of whether such works are published or not, which include, among others, works of literature, art, natural science, social science, engineering technology and computer software. Copyright owners enjoy certain legal rights, including the right of publication, right of authorship and right of reproduction. An infringer of copyrights shall be subject to various civil liabilities, which include ceasing infringement activities, apologizing to the copyright owners and compensating the loss of copyright owner. An infringer of copyrights may also be subject to fines and/or administrative or criminal liabilities under certain circumstances.</w:t>
      </w:r>
    </w:p>
    <w:p>
      <w:pPr>
        <w:spacing w:after="0" w:line="188"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color w:val="auto"/>
        </w:rPr>
        <w:t xml:space="preserve">In order to further implement the </w:t>
      </w:r>
      <w:r>
        <w:rPr>
          <w:rFonts w:ascii="Times New Roman" w:cs="Times New Roman" w:eastAsia="Times New Roman" w:hAnsi="Times New Roman"/>
          <w:sz w:val="18"/>
          <w:szCs w:val="18"/>
          <w:i w:val="1"/>
          <w:iCs w:val="1"/>
          <w:color w:val="auto"/>
        </w:rPr>
        <w:t>Regulations on Computer Software Protection</w:t>
      </w:r>
      <w:r>
        <w:rPr>
          <w:rFonts w:ascii="Times New Roman" w:cs="Times New Roman" w:eastAsia="Times New Roman" w:hAnsi="Times New Roman"/>
          <w:sz w:val="18"/>
          <w:szCs w:val="18"/>
          <w:color w:val="auto"/>
        </w:rPr>
        <w:t xml:space="preserve">, promulgated by the State Council on June 4, 1991 and most recently amended on January 30, 2013, the National Copyright Administration issued the </w:t>
      </w:r>
      <w:r>
        <w:rPr>
          <w:rFonts w:ascii="Times New Roman" w:cs="Times New Roman" w:eastAsia="Times New Roman" w:hAnsi="Times New Roman"/>
          <w:sz w:val="18"/>
          <w:szCs w:val="18"/>
          <w:i w:val="1"/>
          <w:iCs w:val="1"/>
          <w:color w:val="auto"/>
        </w:rPr>
        <w:t>Measures for the Registration of Computer Software Copyright</w:t>
      </w:r>
      <w:r>
        <w:rPr>
          <w:rFonts w:ascii="Times New Roman" w:cs="Times New Roman" w:eastAsia="Times New Roman" w:hAnsi="Times New Roman"/>
          <w:sz w:val="18"/>
          <w:szCs w:val="18"/>
          <w:color w:val="auto"/>
        </w:rPr>
        <w:t xml:space="preserve"> on February 20, 2002, which specifies detailed procedures and requirements with respect to the registration of software copyrights.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Trademark</w:t>
      </w:r>
    </w:p>
    <w:p>
      <w:pPr>
        <w:spacing w:after="0" w:line="119" w:lineRule="exact"/>
        <w:rPr>
          <w:sz w:val="20"/>
          <w:szCs w:val="20"/>
          <w:color w:val="auto"/>
        </w:rPr>
      </w:pPr>
    </w:p>
    <w:p>
      <w:pPr>
        <w:ind w:left="120" w:right="140" w:firstLine="440"/>
        <w:spacing w:after="0" w:line="272" w:lineRule="auto"/>
        <w:rPr>
          <w:sz w:val="20"/>
          <w:szCs w:val="20"/>
          <w:color w:val="auto"/>
        </w:rPr>
      </w:pPr>
      <w:r>
        <w:rPr>
          <w:rFonts w:ascii="Times New Roman" w:cs="Times New Roman" w:eastAsia="Times New Roman" w:hAnsi="Times New Roman"/>
          <w:sz w:val="17"/>
          <w:szCs w:val="17"/>
          <w:color w:val="auto"/>
        </w:rPr>
        <w:t xml:space="preserve">According to the </w:t>
      </w:r>
      <w:r>
        <w:rPr>
          <w:rFonts w:ascii="Times New Roman" w:cs="Times New Roman" w:eastAsia="Times New Roman" w:hAnsi="Times New Roman"/>
          <w:sz w:val="17"/>
          <w:szCs w:val="17"/>
          <w:i w:val="1"/>
          <w:iCs w:val="1"/>
          <w:color w:val="auto"/>
        </w:rPr>
        <w:t>Trademark Law of the People’s Republic of China</w:t>
      </w:r>
      <w:r>
        <w:rPr>
          <w:rFonts w:ascii="Times New Roman" w:cs="Times New Roman" w:eastAsia="Times New Roman" w:hAnsi="Times New Roman"/>
          <w:sz w:val="17"/>
          <w:szCs w:val="17"/>
          <w:color w:val="auto"/>
        </w:rPr>
        <w:t xml:space="preserve"> promulgated by the SCNPC on August 23, 1982, and most recently amended on April 23, 2019, the Trademark Office of the State Administration for Industry and Commerce Authority, or the SAIC, under the State Council is responsible for the registration and administration of trademarks in mainland China. The SAIC has established a Trademark Review and Adjudication Board for resolving trademark disputes. Registered trademarks are valid for ten years from the date the registration is approved. A registrant may apply to renew a registration within twelve months before the expiration date of the registration. If the registrant fails to apply in a timely manner, a grace period of six additional months may be granted. If the registrant fails to apply before the grace period expires, the registered trademark shall be deregistered. Renewed registrations are valid for ten years. On April 29, 2014, the State Council issued the revised </w:t>
      </w:r>
      <w:r>
        <w:rPr>
          <w:rFonts w:ascii="Times New Roman" w:cs="Times New Roman" w:eastAsia="Times New Roman" w:hAnsi="Times New Roman"/>
          <w:sz w:val="17"/>
          <w:szCs w:val="17"/>
          <w:i w:val="1"/>
          <w:iCs w:val="1"/>
          <w:color w:val="auto"/>
        </w:rPr>
        <w:t>Implementing Regulations of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Trademark Law of the People’s Republic of China</w:t>
      </w:r>
      <w:r>
        <w:rPr>
          <w:rFonts w:ascii="Times New Roman" w:cs="Times New Roman" w:eastAsia="Times New Roman" w:hAnsi="Times New Roman"/>
          <w:sz w:val="17"/>
          <w:szCs w:val="17"/>
          <w:color w:val="auto"/>
        </w:rPr>
        <w:t>, which specifies the requirements for the application of trademark registration and renewal.</w:t>
      </w:r>
    </w:p>
    <w:p>
      <w:pPr>
        <w:spacing w:after="0" w:line="2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Patent</w:t>
      </w:r>
    </w:p>
    <w:p>
      <w:pPr>
        <w:spacing w:after="0" w:line="11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According to the </w:t>
      </w:r>
      <w:r>
        <w:rPr>
          <w:rFonts w:ascii="Times New Roman" w:cs="Times New Roman" w:eastAsia="Times New Roman" w:hAnsi="Times New Roman"/>
          <w:sz w:val="18"/>
          <w:szCs w:val="18"/>
          <w:i w:val="1"/>
          <w:iCs w:val="1"/>
          <w:color w:val="auto"/>
        </w:rPr>
        <w:t>Patent Law of the People’s Republic of China</w:t>
      </w:r>
      <w:r>
        <w:rPr>
          <w:rFonts w:ascii="Times New Roman" w:cs="Times New Roman" w:eastAsia="Times New Roman" w:hAnsi="Times New Roman"/>
          <w:sz w:val="18"/>
          <w:szCs w:val="18"/>
          <w:color w:val="auto"/>
        </w:rPr>
        <w:t xml:space="preserve">, or the Patent Law, which was promulgated by the SCNPC on March 12, 1984 and most recently amended on October 17, 2020 (with such amendment taking effect on June 1, 2021), and the </w:t>
      </w:r>
      <w:r>
        <w:rPr>
          <w:rFonts w:ascii="Times New Roman" w:cs="Times New Roman" w:eastAsia="Times New Roman" w:hAnsi="Times New Roman"/>
          <w:sz w:val="18"/>
          <w:szCs w:val="18"/>
          <w:i w:val="1"/>
          <w:iCs w:val="1"/>
          <w:color w:val="auto"/>
        </w:rPr>
        <w:t>Implementation Rules of the Patent Law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People’s Republic of China</w:t>
      </w:r>
      <w:r>
        <w:rPr>
          <w:rFonts w:ascii="Times New Roman" w:cs="Times New Roman" w:eastAsia="Times New Roman" w:hAnsi="Times New Roman"/>
          <w:sz w:val="18"/>
          <w:szCs w:val="18"/>
          <w:color w:val="auto"/>
        </w:rPr>
        <w:t>, or the Implementation Rules of the Patent Law, promulgated by the State Council on June 15, 2001 and most recently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revised on January 9, 2010, the patent administrative department under the State Council is responsible for the administration of patent-related work nationwide and the patent administration departments of the provincial,</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140"/>
          </w:cols>
          <w:pgMar w:left="320" w:top="455" w:right="4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autonomous regions or municipal governments are responsible for the administration of patents within their respective administrative areas. The Patent Law and the Implementation Rules of the Patent Law provide for three types of patents, namely “inventions,” “utility models” and “designs”. Invention patents are valid for twenty years, utility model patents are valid for ten years and design patents are valid for fifteen years, in each case from the date of application. The Chinese patent system adopts a “first come, first file” principle, which means that where more than one person files a patent application for the same invention, a patent will be granted to the person who files the application first. An invention or a utility model must possess novelty, inventiveness and practical applicability to be patentable. Third Parties must obtain consent or a proper license from the patent owner to use the patent. Otherwise, the unauthorized use constitutes an infringement on the patent rights.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Domain Names</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On August 24, 2017, the MIIT promulgated the </w:t>
      </w:r>
      <w:r>
        <w:rPr>
          <w:rFonts w:ascii="Times New Roman" w:cs="Times New Roman" w:eastAsia="Times New Roman" w:hAnsi="Times New Roman"/>
          <w:sz w:val="18"/>
          <w:szCs w:val="18"/>
          <w:i w:val="1"/>
          <w:iCs w:val="1"/>
          <w:color w:val="auto"/>
        </w:rPr>
        <w:t>Administrative Measures for Internet Domain Names</w:t>
      </w:r>
      <w:r>
        <w:rPr>
          <w:rFonts w:ascii="Times New Roman" w:cs="Times New Roman" w:eastAsia="Times New Roman" w:hAnsi="Times New Roman"/>
          <w:sz w:val="18"/>
          <w:szCs w:val="18"/>
          <w:color w:val="auto"/>
        </w:rPr>
        <w:t xml:space="preserve">, or the Domain Name Measures, which became effective on November 1, 2017. The Domain Name Measures regulate the registration of domain names, such as China’s national top-level domain name “.CN.” The China Internet Network Information Center, or the CNNIC, issued the </w:t>
      </w:r>
      <w:r>
        <w:rPr>
          <w:rFonts w:ascii="Times New Roman" w:cs="Times New Roman" w:eastAsia="Times New Roman" w:hAnsi="Times New Roman"/>
          <w:sz w:val="18"/>
          <w:szCs w:val="18"/>
          <w:i w:val="1"/>
          <w:iCs w:val="1"/>
          <w:color w:val="auto"/>
        </w:rPr>
        <w:t>Administrative Regulations for Country Code Top-Level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Domain Name Registration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Country Code Top-Level Dispute Resolutions Rules </w:t>
      </w:r>
      <w:r>
        <w:rPr>
          <w:rFonts w:ascii="Times New Roman" w:cs="Times New Roman" w:eastAsia="Times New Roman" w:hAnsi="Times New Roman"/>
          <w:sz w:val="18"/>
          <w:szCs w:val="18"/>
          <w:color w:val="auto"/>
        </w:rPr>
        <w:t>on June 18, 2019, pursuant to which the CNNIC can authorize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domain name dispute resolution institution to adjudicate domain name related disputes.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Regulations Relating to Foreign Exchange</w:t>
      </w:r>
    </w:p>
    <w:p>
      <w:pPr>
        <w:spacing w:after="0" w:line="11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The principal regulations governing foreign currency exchange in mainland China are the </w:t>
      </w:r>
      <w:r>
        <w:rPr>
          <w:rFonts w:ascii="Times New Roman" w:cs="Times New Roman" w:eastAsia="Times New Roman" w:hAnsi="Times New Roman"/>
          <w:sz w:val="18"/>
          <w:szCs w:val="18"/>
          <w:i w:val="1"/>
          <w:iCs w:val="1"/>
          <w:color w:val="auto"/>
        </w:rPr>
        <w:t>Administrative Regulations on Foreign Exchange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People’s Republic of China, </w:t>
      </w:r>
      <w:r>
        <w:rPr>
          <w:rFonts w:ascii="Times New Roman" w:cs="Times New Roman" w:eastAsia="Times New Roman" w:hAnsi="Times New Roman"/>
          <w:sz w:val="18"/>
          <w:szCs w:val="18"/>
          <w:color w:val="auto"/>
        </w:rPr>
        <w:t>or the Foreign Exchange Administrative Regulation, which were promulgated by the State Council on January 29, 1996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most recently amended on August 1, 2008 (with such amendment taking effect on August 5, 2008), and the </w:t>
      </w:r>
      <w:r>
        <w:rPr>
          <w:rFonts w:ascii="Times New Roman" w:cs="Times New Roman" w:eastAsia="Times New Roman" w:hAnsi="Times New Roman"/>
          <w:sz w:val="18"/>
          <w:szCs w:val="18"/>
          <w:i w:val="1"/>
          <w:iCs w:val="1"/>
          <w:color w:val="auto"/>
        </w:rPr>
        <w:t>Administrative Regulations on Foreign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Exchange Settlement, Sales and Payment</w:t>
      </w:r>
      <w:r>
        <w:rPr>
          <w:rFonts w:ascii="Times New Roman" w:cs="Times New Roman" w:eastAsia="Times New Roman" w:hAnsi="Times New Roman"/>
          <w:sz w:val="18"/>
          <w:szCs w:val="18"/>
          <w:color w:val="auto"/>
        </w:rPr>
        <w:t>, which was promulgated by the People’s Bank of China on June 20, 1996 and became effective on July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1996. Under these regulations, payments of current account items, such as profit distributions and trade and service-related foreign exchange transactions, can be made in foreign currencies without the prior approval from the State Administration of Foreign Exchange, or SAFE, so long as the applicable procedural requirements are complied with. By contrast, the approval of or registration with relevant governmental authorities or designated banks is required where RMB is to be converted into foreign currency and remitted outside of China to pay capital account items such as the repayment of foreign currency-denominated loans, direct investment overseas and investments in securities or derivative products outside of the PRC. FIEs are permitted to convert their after-tax dividends into foreign exchange and remit such foreign exchange out of their foreign exchange bank accounts in the PRC.</w:t>
      </w:r>
    </w:p>
    <w:p>
      <w:pPr>
        <w:spacing w:after="0" w:line="192" w:lineRule="exact"/>
        <w:rPr>
          <w:sz w:val="20"/>
          <w:szCs w:val="20"/>
          <w:color w:val="auto"/>
        </w:rPr>
      </w:pPr>
    </w:p>
    <w:p>
      <w:pPr>
        <w:ind w:left="120" w:right="120" w:firstLine="440"/>
        <w:spacing w:after="0" w:line="267" w:lineRule="auto"/>
        <w:rPr>
          <w:sz w:val="20"/>
          <w:szCs w:val="20"/>
          <w:color w:val="auto"/>
        </w:rPr>
      </w:pPr>
      <w:r>
        <w:rPr>
          <w:rFonts w:ascii="Times New Roman" w:cs="Times New Roman" w:eastAsia="Times New Roman" w:hAnsi="Times New Roman"/>
          <w:sz w:val="18"/>
          <w:szCs w:val="18"/>
          <w:color w:val="auto"/>
        </w:rPr>
        <w:t xml:space="preserve">On March 30, 2015, SAFE promulgated the </w:t>
      </w:r>
      <w:r>
        <w:rPr>
          <w:rFonts w:ascii="Times New Roman" w:cs="Times New Roman" w:eastAsia="Times New Roman" w:hAnsi="Times New Roman"/>
          <w:sz w:val="18"/>
          <w:szCs w:val="18"/>
          <w:i w:val="1"/>
          <w:iCs w:val="1"/>
          <w:color w:val="auto"/>
        </w:rPr>
        <w:t xml:space="preserve">Notice on Reforming the Administration of Foreign Exchange Settlement of Capital of Foreign-Invested Enterprises, </w:t>
      </w:r>
      <w:r>
        <w:rPr>
          <w:rFonts w:ascii="Times New Roman" w:cs="Times New Roman" w:eastAsia="Times New Roman" w:hAnsi="Times New Roman"/>
          <w:sz w:val="18"/>
          <w:szCs w:val="18"/>
          <w:color w:val="auto"/>
        </w:rPr>
        <w:t>or SAFE Circular 19, which took effect on June 1, 2015 and was further revised in 2019. According to SAFE Circular 19, foreign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currency capital contribution to an FIE in its capital account may be converted into RMB on a discretional basis.</w:t>
      </w:r>
    </w:p>
    <w:p>
      <w:pPr>
        <w:spacing w:after="0" w:line="173" w:lineRule="exact"/>
        <w:rPr>
          <w:sz w:val="20"/>
          <w:szCs w:val="20"/>
          <w:color w:val="auto"/>
        </w:rPr>
      </w:pPr>
    </w:p>
    <w:p>
      <w:pPr>
        <w:ind w:left="120" w:right="140" w:firstLine="440"/>
        <w:spacing w:after="0" w:line="257" w:lineRule="auto"/>
        <w:rPr>
          <w:sz w:val="20"/>
          <w:szCs w:val="20"/>
          <w:color w:val="auto"/>
        </w:rPr>
      </w:pPr>
      <w:r>
        <w:rPr>
          <w:rFonts w:ascii="Times New Roman" w:cs="Times New Roman" w:eastAsia="Times New Roman" w:hAnsi="Times New Roman"/>
          <w:sz w:val="18"/>
          <w:szCs w:val="18"/>
          <w:color w:val="auto"/>
        </w:rPr>
        <w:t xml:space="preserve">On June 9, 2016, the SAFE promulgated the </w:t>
      </w:r>
      <w:r>
        <w:rPr>
          <w:rFonts w:ascii="Times New Roman" w:cs="Times New Roman" w:eastAsia="Times New Roman" w:hAnsi="Times New Roman"/>
          <w:sz w:val="18"/>
          <w:szCs w:val="18"/>
          <w:i w:val="1"/>
          <w:iCs w:val="1"/>
          <w:color w:val="auto"/>
        </w:rPr>
        <w:t>Circular on Reforming and Regulating Policies on the Management of the Settlement of Foreign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Exchange of Capital Accounts</w:t>
      </w:r>
      <w:r>
        <w:rPr>
          <w:rFonts w:ascii="Times New Roman" w:cs="Times New Roman" w:eastAsia="Times New Roman" w:hAnsi="Times New Roman"/>
          <w:sz w:val="18"/>
          <w:szCs w:val="18"/>
          <w:color w:val="auto"/>
        </w:rPr>
        <w:t>, or SAFE Circular 16. SAFE Circular 16 provides for the discretionary foreign exchange settlement for all domestic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institutions. Discretionary foreign exchange settlement means the foreign exchange capital in the capital account which has been confirmed by relevant policies to be subject to the discretional foreign exchange settlement (including foreign exchange capital, foreign loans and funds remitted from the proceeds from the overseas listing) can be settled at banks based on the actual operational needs of the domestic institutions. The proportion of discretionary foreign exchange settlement of the foreign exchange capital is temporarily determined as 100%.</w:t>
      </w:r>
    </w:p>
    <w:p>
      <w:pPr>
        <w:spacing w:after="0" w:line="184"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Furthermore, SAFE Circular 16 stipulates foreign exchange incomes of capital accounts shall be utilized by FIEs following the principles of genuineness and self-use and within the business scope of such enterprises.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140"/>
          </w:cols>
          <w:pgMar w:left="320" w:top="455" w:right="4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foreign exchange incomes of capital accounts and capital in RMB obtained by a FIE from foreign exchange settlement shall not be used for any of the following purposes: (i) directly or indirectly for payments outside the business scope of the FIE or payments prohibited by applicable laws and regulations; (ii) directly or indirectly for investment in securities or financial schemes other than bank guaranteed products unless otherwise provided by applicable laws and regulations; (iii) the granting of loans to non-affiliated enterprises, unless otherwise permitted by its business scope; and (iv) the construction or purchase of real estate that is not for self-use (except for real estate enterprises).</w:t>
      </w:r>
    </w:p>
    <w:p>
      <w:pPr>
        <w:spacing w:after="0" w:line="183"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Violations of above-mentioned regulations may subject an enterprise to fines and other administrative liabilities, and even criminal liabilities under severe circumstances.</w:t>
      </w:r>
    </w:p>
    <w:p>
      <w:pPr>
        <w:spacing w:after="0" w:line="160"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On October 23, 2019, SAFE promulgated the </w:t>
      </w:r>
      <w:r>
        <w:rPr>
          <w:rFonts w:ascii="Times New Roman" w:cs="Times New Roman" w:eastAsia="Times New Roman" w:hAnsi="Times New Roman"/>
          <w:sz w:val="18"/>
          <w:szCs w:val="18"/>
          <w:i w:val="1"/>
          <w:iCs w:val="1"/>
          <w:color w:val="auto"/>
        </w:rPr>
        <w:t>Notice of the State Administration of Foreign Exchange on Further Promoting the Convenience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Cross-border Trade and Investment</w:t>
      </w:r>
      <w:r>
        <w:rPr>
          <w:rFonts w:ascii="Times New Roman" w:cs="Times New Roman" w:eastAsia="Times New Roman" w:hAnsi="Times New Roman"/>
          <w:sz w:val="18"/>
          <w:szCs w:val="18"/>
          <w:color w:val="auto"/>
        </w:rPr>
        <w:t>, or SAFE Circular 28. SAFE Circular 28 stipulates that a non-investment FIE may use its capital to carry 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domestic equity investment in accordance with the law so long as it does not violate the negative list and the projects invested are genuine and in compliance with applicable laws and regulations.</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On April 10, 2020, SAFE issued the </w:t>
      </w:r>
      <w:r>
        <w:rPr>
          <w:rFonts w:ascii="Times New Roman" w:cs="Times New Roman" w:eastAsia="Times New Roman" w:hAnsi="Times New Roman"/>
          <w:sz w:val="18"/>
          <w:szCs w:val="18"/>
          <w:i w:val="1"/>
          <w:iCs w:val="1"/>
          <w:color w:val="auto"/>
        </w:rPr>
        <w:t>Notice of the SAFE on Optimizing Foreign Exchange Administration to Support the Development of Foreign-related Business</w:t>
      </w:r>
      <w:r>
        <w:rPr>
          <w:rFonts w:ascii="Times New Roman" w:cs="Times New Roman" w:eastAsia="Times New Roman" w:hAnsi="Times New Roman"/>
          <w:sz w:val="18"/>
          <w:szCs w:val="18"/>
          <w:color w:val="auto"/>
        </w:rPr>
        <w:t>, or SAFE Circular 8. SAFE Circular 8 provides that under the condition that the use of funds is genuine and compliant with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administrative provisions on use of income relating to capital account, enterprises are allowed to use income under capital account such as capital funds, foreign debts and overseas listings for domestic payment, without having to submit materials evidencing the veracity of such payment to the bank prior to each transaction.</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Regulations Relating to Dividend Distributions</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principal regulations governing distribution of dividends of wholly foreign-owned enterprises, include the </w:t>
      </w:r>
      <w:r>
        <w:rPr>
          <w:rFonts w:ascii="Times New Roman" w:cs="Times New Roman" w:eastAsia="Times New Roman" w:hAnsi="Times New Roman"/>
          <w:sz w:val="18"/>
          <w:szCs w:val="18"/>
          <w:i w:val="1"/>
          <w:iCs w:val="1"/>
          <w:color w:val="auto"/>
        </w:rPr>
        <w:t>Company Law of the People’s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Republic of China</w:t>
      </w:r>
      <w:r>
        <w:rPr>
          <w:rFonts w:ascii="Times New Roman" w:cs="Times New Roman" w:eastAsia="Times New Roman" w:hAnsi="Times New Roman"/>
          <w:sz w:val="18"/>
          <w:szCs w:val="18"/>
          <w:color w:val="auto"/>
        </w:rPr>
        <w:t>. Under these regulations, wholly foreign-owned enterprises in mainland China may pay dividends only out of their accumulated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after-tax profits, if any, determined in accordance with the PRC accounting standards and regulations. In addition, FIEs in the PRC are required to allocate at least 10% of their accumulated profits each year, if any, to fund certain reserve funds unless these reserves have reached 50% of the registered capital of the enterprises. These reserves are not distributable as cash dividends.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Regulations Relating to Foreign Debts</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A loan made by foreign investors as shareholders in a FIE is considered to be a foreign debt in the PRC and is regulated by various laws and regulations, including the Foreign Exchange Administrative Regulation, the </w:t>
      </w:r>
      <w:r>
        <w:rPr>
          <w:rFonts w:ascii="Times New Roman" w:cs="Times New Roman" w:eastAsia="Times New Roman" w:hAnsi="Times New Roman"/>
          <w:sz w:val="18"/>
          <w:szCs w:val="18"/>
          <w:i w:val="1"/>
          <w:iCs w:val="1"/>
          <w:color w:val="auto"/>
        </w:rPr>
        <w:t>Interim Provisions on the Management of Foreign Debts</w:t>
      </w:r>
      <w:r>
        <w:rPr>
          <w:rFonts w:ascii="Times New Roman" w:cs="Times New Roman" w:eastAsia="Times New Roman" w:hAnsi="Times New Roman"/>
          <w:sz w:val="18"/>
          <w:szCs w:val="18"/>
          <w:color w:val="auto"/>
        </w:rPr>
        <w:t xml:space="preserve"> which was promulgated by the SAFE, the NDRC and the Ministry of Finance, or the MOF on January 8, 2003 effective from March 1, 2003 and further amended effective from September 1, 2022, and the </w:t>
      </w:r>
      <w:r>
        <w:rPr>
          <w:rFonts w:ascii="Times New Roman" w:cs="Times New Roman" w:eastAsia="Times New Roman" w:hAnsi="Times New Roman"/>
          <w:sz w:val="18"/>
          <w:szCs w:val="18"/>
          <w:i w:val="1"/>
          <w:iCs w:val="1"/>
          <w:color w:val="auto"/>
        </w:rPr>
        <w:t>Administrative Measures for Registration of Foreign Debts</w:t>
      </w:r>
      <w:r>
        <w:rPr>
          <w:rFonts w:ascii="Times New Roman" w:cs="Times New Roman" w:eastAsia="Times New Roman" w:hAnsi="Times New Roman"/>
          <w:sz w:val="18"/>
          <w:szCs w:val="18"/>
          <w:color w:val="auto"/>
        </w:rPr>
        <w:t xml:space="preserve"> promulgated by the SAFE on April 28, 2013 and amended by the </w:t>
      </w:r>
      <w:r>
        <w:rPr>
          <w:rFonts w:ascii="Times New Roman" w:cs="Times New Roman" w:eastAsia="Times New Roman" w:hAnsi="Times New Roman"/>
          <w:sz w:val="18"/>
          <w:szCs w:val="18"/>
          <w:i w:val="1"/>
          <w:iCs w:val="1"/>
          <w:color w:val="auto"/>
        </w:rPr>
        <w:t>Notice of the SAFE on Abolishing and Amending the Normative Documents Related to the Reform of the Registered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Registration System </w:t>
      </w:r>
      <w:r>
        <w:rPr>
          <w:rFonts w:ascii="Times New Roman" w:cs="Times New Roman" w:eastAsia="Times New Roman" w:hAnsi="Times New Roman"/>
          <w:sz w:val="18"/>
          <w:szCs w:val="18"/>
          <w:color w:val="auto"/>
        </w:rPr>
        <w:t>on May 4, 2015. Under these rules, a shareholder loan in the form of foreign debt made to a Chinese entity does not require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 approval of the SAFE. However, such foreign debt must be registered with and recorded by local banks. SAFE Circular 28 provides that a non-financial enterprise in the pilot areas may register a permitted amount of foreign debts, which is equivalent to twice of the non-financial enterprise’s net assets, at the local foreign exchange bureau. Such non-financial enterprise may incur foreign debts within the permitted amount and directly handle the relevant banking procedures without registering each foreign debt. However, the non-financial enterprise shall report its international income and expenditure regularly.</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120"/>
          </w:cols>
          <w:pgMar w:left="320" w:top="455" w:right="45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Regulations Relating to Offshore Special Purpose Vehicles Held by PRC Residents</w:t>
      </w:r>
    </w:p>
    <w:p>
      <w:pPr>
        <w:spacing w:after="0" w:line="11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SAFE promulgated the </w:t>
      </w:r>
      <w:r>
        <w:rPr>
          <w:rFonts w:ascii="Times New Roman" w:cs="Times New Roman" w:eastAsia="Times New Roman" w:hAnsi="Times New Roman"/>
          <w:sz w:val="18"/>
          <w:szCs w:val="18"/>
          <w:i w:val="1"/>
          <w:iCs w:val="1"/>
          <w:color w:val="auto"/>
        </w:rPr>
        <w:t>Circular on Printing and Distributing the Provisions on Foreign Exchange Administration over Domestic Direct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Investment by Foreign Investors and the Supporting Documents </w:t>
      </w:r>
      <w:r>
        <w:rPr>
          <w:rFonts w:ascii="Times New Roman" w:cs="Times New Roman" w:eastAsia="Times New Roman" w:hAnsi="Times New Roman"/>
          <w:sz w:val="18"/>
          <w:szCs w:val="18"/>
          <w:color w:val="auto"/>
        </w:rPr>
        <w:t>on May 10, 2013, which was most recently amended on December 30, 2019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specifies that the administration by the SAFE or its local branches over direct investments by foreign investors in the PRC shall be conducted by way of registration and banks shall process foreign exchange business relating to direct investments in the PRC based on the registration information provided by the SAFE and its local branches.</w:t>
      </w:r>
    </w:p>
    <w:p>
      <w:pPr>
        <w:spacing w:after="0" w:line="183"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color w:val="auto"/>
        </w:rPr>
        <w:t xml:space="preserve">The SAFE promulgated </w:t>
      </w:r>
      <w:r>
        <w:rPr>
          <w:rFonts w:ascii="Times New Roman" w:cs="Times New Roman" w:eastAsia="Times New Roman" w:hAnsi="Times New Roman"/>
          <w:sz w:val="18"/>
          <w:szCs w:val="18"/>
          <w:i w:val="1"/>
          <w:iCs w:val="1"/>
          <w:color w:val="auto"/>
        </w:rPr>
        <w:t>Notice on Issues Relating to Foreign Exchange Administration over the Overseas Investment and Financing and Round-trip Investment by Domestic Residents via Special Purpose Vehicles</w:t>
      </w:r>
      <w:r>
        <w:rPr>
          <w:rFonts w:ascii="Times New Roman" w:cs="Times New Roman" w:eastAsia="Times New Roman" w:hAnsi="Times New Roman"/>
          <w:sz w:val="18"/>
          <w:szCs w:val="18"/>
          <w:color w:val="auto"/>
        </w:rPr>
        <w:t>, or the SAFE Circular 37, on July 4, 2014, which requires PRC residents or entities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register with the SAFE or its local branches in connection with their establishment or control of an offshore entity established for the purpose of overseas investment or financing. In addition, such PRC residents or entities must update their SAFE registrations when a material event occurs with respect to the offshore special purpose vehicle including relating to the change of any basic information (such as change of such PRC citizens or residents, and name and term of operation), capital increase or reduction, transfers or exchanges of shares, or mergers or divisions.</w:t>
      </w:r>
    </w:p>
    <w:p>
      <w:pPr>
        <w:spacing w:after="0" w:line="18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The SAFE further enacted the </w:t>
      </w:r>
      <w:r>
        <w:rPr>
          <w:rFonts w:ascii="Times New Roman" w:cs="Times New Roman" w:eastAsia="Times New Roman" w:hAnsi="Times New Roman"/>
          <w:sz w:val="18"/>
          <w:szCs w:val="18"/>
          <w:i w:val="1"/>
          <w:iCs w:val="1"/>
          <w:color w:val="auto"/>
        </w:rPr>
        <w:t>Notice of the State Administration of Foreign Exchange on Further Simplifying and Improving the Foreign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Exchange Management Policies for Direct Investment</w:t>
      </w:r>
      <w:r>
        <w:rPr>
          <w:rFonts w:ascii="Times New Roman" w:cs="Times New Roman" w:eastAsia="Times New Roman" w:hAnsi="Times New Roman"/>
          <w:sz w:val="18"/>
          <w:szCs w:val="18"/>
          <w:color w:val="auto"/>
        </w:rPr>
        <w:t>, or the SAFE Circular 13, on February 13, 2015, which was amended on December 30, 2019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Circular of the State Administration of Foreign Exchange on Repealing and Invalidating Five Normative Documents Concerning Administration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Foreign Exchange and Some Articles of Seven Normative Documents Concerning Administration of Foreign Exchange</w:t>
      </w:r>
      <w:r>
        <w:rPr>
          <w:rFonts w:ascii="Times New Roman" w:cs="Times New Roman" w:eastAsia="Times New Roman" w:hAnsi="Times New Roman"/>
          <w:sz w:val="18"/>
          <w:szCs w:val="18"/>
          <w:color w:val="auto"/>
        </w:rPr>
        <w:t>. SAFE Circular 13 allows PRC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residents or entities to register with qualified banks in connection with their establishment or control of an offshore entity established for the purpose of overseas investment or financing. However, remedial registration applications made by PRC residents who have previously failed to comply with SAFE Circular 37 continue to fall under the jurisdiction of the relevant local branch of the SAFE. In the event that a PRC shareholder holding interests in a special purpose vehicle fails to fulfill the required SAFE registration, the mainland China subsidiaries of that special purpose vehicle may be prohibited from distributing profits to the offshore parent and from carrying out subsequent cross-border foreign exchange activities, and the special purpose vehicle may be restricted in its ability to contribute additional capital into its PRC subsidiary.</w:t>
      </w:r>
    </w:p>
    <w:p>
      <w:pPr>
        <w:spacing w:after="0" w:line="185" w:lineRule="exact"/>
        <w:rPr>
          <w:sz w:val="20"/>
          <w:szCs w:val="20"/>
          <w:color w:val="auto"/>
        </w:rPr>
      </w:pPr>
    </w:p>
    <w:p>
      <w:pPr>
        <w:ind w:left="120" w:right="60" w:firstLine="440"/>
        <w:spacing w:after="0" w:line="275" w:lineRule="auto"/>
        <w:rPr>
          <w:sz w:val="20"/>
          <w:szCs w:val="20"/>
          <w:color w:val="auto"/>
        </w:rPr>
      </w:pPr>
      <w:r>
        <w:rPr>
          <w:rFonts w:ascii="Times New Roman" w:cs="Times New Roman" w:eastAsia="Times New Roman" w:hAnsi="Times New Roman"/>
          <w:sz w:val="17"/>
          <w:szCs w:val="17"/>
          <w:color w:val="auto"/>
        </w:rPr>
        <w:t xml:space="preserve">On January 26, 2017, the SAFE issued the </w:t>
      </w:r>
      <w:r>
        <w:rPr>
          <w:rFonts w:ascii="Times New Roman" w:cs="Times New Roman" w:eastAsia="Times New Roman" w:hAnsi="Times New Roman"/>
          <w:sz w:val="17"/>
          <w:szCs w:val="17"/>
          <w:i w:val="1"/>
          <w:iCs w:val="1"/>
          <w:color w:val="auto"/>
        </w:rPr>
        <w:t>Notice on Improving the Check of Authenticity and Compliance to Further Promote Foreign Exchange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Control</w:t>
      </w:r>
      <w:r>
        <w:rPr>
          <w:rFonts w:ascii="Times New Roman" w:cs="Times New Roman" w:eastAsia="Times New Roman" w:hAnsi="Times New Roman"/>
          <w:sz w:val="17"/>
          <w:szCs w:val="17"/>
          <w:color w:val="auto"/>
        </w:rPr>
        <w:t>, or the SAFE Circular 3, which stipulates several capital control measures with respect to the outbound remittance of profit from domestic</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entities to offshore entities, including (i) following the principle of genuine transaction, banks shall examine board resolutions passed for the profit distribution, the original tax filing records and audited financial statements; and (ii) domestic entities shall retain income to account for losses incurred in the past years before remitting profits. Moreover, pursuant to SAFE Circular 3, domestic entities shall provide detailed explanations regarding the sources of capital and how they will be used, relevant board resolutions, contracts and other proof when registering an outbound investment.</w:t>
      </w:r>
    </w:p>
    <w:p>
      <w:pPr>
        <w:spacing w:after="0" w:line="2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Regulations Relating to Share Incentive Plans</w:t>
      </w:r>
    </w:p>
    <w:p>
      <w:pPr>
        <w:spacing w:after="0" w:line="119"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According to the </w:t>
      </w:r>
      <w:r>
        <w:rPr>
          <w:rFonts w:ascii="Times New Roman" w:cs="Times New Roman" w:eastAsia="Times New Roman" w:hAnsi="Times New Roman"/>
          <w:sz w:val="18"/>
          <w:szCs w:val="18"/>
          <w:i w:val="1"/>
          <w:iCs w:val="1"/>
          <w:color w:val="auto"/>
        </w:rPr>
        <w:t>Notice of the State Administration of Foreign Exchange on Issues Relating to the Foreign Exchange Administration for Domestic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Individuals Participating in Stock Incentive Plan of Overseas Listed Company, </w:t>
      </w:r>
      <w:r>
        <w:rPr>
          <w:rFonts w:ascii="Times New Roman" w:cs="Times New Roman" w:eastAsia="Times New Roman" w:hAnsi="Times New Roman"/>
          <w:sz w:val="18"/>
          <w:szCs w:val="18"/>
          <w:color w:val="auto"/>
        </w:rPr>
        <w:t>or the Share Incentive Rules, which was issued on February 15, 2012,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other related regulations, directors, supervisors, senior management and other employees who are (i) PRC citizens or non-PRC citizens residing in mainland China for a continuous period of not less than one year, and (ii) participating in any share incentive plan of a company listed overseas, subject to certain exceptions, are required to register with the SAFE. All such participants need to authorize a qualified PRC agent, such as a PRC subsidiary of the company listed overseas, to register with the SAFE and to deal with foreign exchange matters such as account opening and</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100"/>
          </w:cols>
          <w:pgMar w:left="320" w:top="455" w:right="47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transfer and settlement of proceeds. The Share Incentive Rules further require an offshore agent to be designated to take charge over matters relating to the exercise of share options and sales proceeds for participants of the share incentive plans. Failure to complete the said SAFE registrations may subject the participating directors, supervisors, senior management and other employees to fines and other legal sanctions.</w:t>
      </w:r>
    </w:p>
    <w:p>
      <w:pPr>
        <w:spacing w:after="0" w:line="176"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State Administration of Taxation, or the SAT, has further issued several circulars concerning employee share options and restricted shares. Under these circulars, employees working in the PRC who exercise share options or are granted with restricted shares will be subject to PRC individual income tax. The mainland China subsidiaries of a company listed overseas are required to file documents relating to employee share options and restricted shares with relevant tax authorities and to withhold individual income tax for employees who exercise their share options or purchase restricted shares. If an employee fails to pay or the mainland China subsidiaries fail to withhold income tax in accordance with relevant laws and regulations, the mainland China subsidiaries may face sanctions imposed by the tax authorities or other PRC governmental authorities.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Regulations Relating to Taxation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w:t>
      </w:r>
    </w:p>
    <w:p>
      <w:pPr>
        <w:spacing w:after="0" w:line="119"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According to the </w:t>
      </w:r>
      <w:r>
        <w:rPr>
          <w:rFonts w:ascii="Times New Roman" w:cs="Times New Roman" w:eastAsia="Times New Roman" w:hAnsi="Times New Roman"/>
          <w:sz w:val="18"/>
          <w:szCs w:val="18"/>
          <w:i w:val="1"/>
          <w:iCs w:val="1"/>
          <w:color w:val="auto"/>
        </w:rPr>
        <w:t>Enterprise Income Tax Law of the People’s Republic of China</w:t>
      </w:r>
      <w:r>
        <w:rPr>
          <w:rFonts w:ascii="Times New Roman" w:cs="Times New Roman" w:eastAsia="Times New Roman" w:hAnsi="Times New Roman"/>
          <w:sz w:val="18"/>
          <w:szCs w:val="18"/>
          <w:color w:val="auto"/>
        </w:rPr>
        <w:t xml:space="preserve">, or the EIT Law, which was promulgated on March 16, 2007 and most recently amended on December 29, 2018, an enterprise established outside the PRC with de facto management bodies within the PRC is considered a resident enterprise for PRC enterprise income tax purposes and is generally subject to a uniform 25% enterprise income tax rate on its worldwide income. The </w:t>
      </w:r>
      <w:r>
        <w:rPr>
          <w:rFonts w:ascii="Times New Roman" w:cs="Times New Roman" w:eastAsia="Times New Roman" w:hAnsi="Times New Roman"/>
          <w:sz w:val="18"/>
          <w:szCs w:val="18"/>
          <w:i w:val="1"/>
          <w:iCs w:val="1"/>
          <w:color w:val="auto"/>
        </w:rPr>
        <w:t>Implementing Rules of the Enterprise Income Law of the People’s Republic of China</w:t>
      </w:r>
      <w:r>
        <w:rPr>
          <w:rFonts w:ascii="Times New Roman" w:cs="Times New Roman" w:eastAsia="Times New Roman" w:hAnsi="Times New Roman"/>
          <w:sz w:val="18"/>
          <w:szCs w:val="18"/>
          <w:color w:val="auto"/>
        </w:rPr>
        <w:t xml:space="preserve"> promulgated on December 6, 2017, and amended on April 23, 2019, or the Implementing Rules of the EIT Law, defines a de facto management body as a managing body that in practice exercises “substantial and overall management and control over the production and operations, personnel, accounting, and properties” of the enterprise. Non-PRC resident enterprises that do not have any branches in the PRC are required to pay enterprise income tax on income originating from the PRC at the rate of 10%.</w:t>
      </w:r>
    </w:p>
    <w:p>
      <w:pPr>
        <w:spacing w:after="0" w:line="185"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color w:val="auto"/>
        </w:rPr>
        <w:t xml:space="preserve">On February 3, 2015, the SAT issued the </w:t>
      </w:r>
      <w:r>
        <w:rPr>
          <w:rFonts w:ascii="Times New Roman" w:cs="Times New Roman" w:eastAsia="Times New Roman" w:hAnsi="Times New Roman"/>
          <w:sz w:val="17"/>
          <w:szCs w:val="17"/>
          <w:i w:val="1"/>
          <w:iCs w:val="1"/>
          <w:color w:val="auto"/>
        </w:rPr>
        <w:t>Announcement on Several Issues Concerning the Enterprise Income Tax on Indirect Transfer of Assets by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Non-Resident Enterprises</w:t>
      </w:r>
      <w:r>
        <w:rPr>
          <w:rFonts w:ascii="Times New Roman" w:cs="Times New Roman" w:eastAsia="Times New Roman" w:hAnsi="Times New Roman"/>
          <w:sz w:val="17"/>
          <w:szCs w:val="17"/>
          <w:color w:val="auto"/>
        </w:rPr>
        <w:t>, or the SAT Circular 7, which was amended in 2017. SAT Circular 7 repeals certain provisions in the</w:t>
      </w:r>
      <w:r>
        <w:rPr>
          <w:rFonts w:ascii="Times New Roman" w:cs="Times New Roman" w:eastAsia="Times New Roman" w:hAnsi="Times New Roman"/>
          <w:sz w:val="17"/>
          <w:szCs w:val="17"/>
          <w:i w:val="1"/>
          <w:iCs w:val="1"/>
          <w:color w:val="auto"/>
        </w:rPr>
        <w:t xml:space="preserve"> Notice of the State Administration of Taxation on Strengthening the Administration of Enterprise Income Tax on Income from Equity Transfer by Non-Resident Enterprises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or SAT Circular 698, issued by the SAT on December 10, 2009 and the </w:t>
      </w:r>
      <w:r>
        <w:rPr>
          <w:rFonts w:ascii="Times New Roman" w:cs="Times New Roman" w:eastAsia="Times New Roman" w:hAnsi="Times New Roman"/>
          <w:sz w:val="17"/>
          <w:szCs w:val="17"/>
          <w:i w:val="1"/>
          <w:iCs w:val="1"/>
          <w:color w:val="auto"/>
        </w:rPr>
        <w:t>Announcement on Several Issues Relating to the Administration of Income Tax</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on Non-resident Enterprises </w:t>
      </w:r>
      <w:r>
        <w:rPr>
          <w:rFonts w:ascii="Times New Roman" w:cs="Times New Roman" w:eastAsia="Times New Roman" w:hAnsi="Times New Roman"/>
          <w:sz w:val="17"/>
          <w:szCs w:val="17"/>
          <w:color w:val="auto"/>
        </w:rPr>
        <w:t>issued by the SAT on March 28, 2011, and clarifies certain other provisions of SAT Circular 698. SAT Circular 7 sets out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comprehensive guideline relating to, and heightening the Chinese tax authorities’ scrutiny on, indirect transfers by a non-resident enterprise of assets in the PRC, including assets of organizations and premises in the PRC, immovable property in the PRC, equity investments in PRC resident enterprises, or the PRC Taxable Assets. For instance, when a non-resident enterprise transfers equity interests in an overseas holding company that directly or indirectly holds certain PRC Taxable Assets and if the transfer is believed by the Chinese tax authorities to have no reasonable commercial purpose other than to evade enterprise income tax, SAT Circular 7 allows Chinese tax authorities to reclassify the indirect transfer of PRC Taxable Assets into a direct transfer and therefore impose a 10% enterprise income tax on the non-resident enterprise. SAT Circular 7 lists several factors to be taken into consideration by tax authorities in determining if an indirect transfer has a reasonable commercial purpose. Nonetheless, if the overall arrangement of an indirect transfer satisfies all the following criteria, such indirect transfer will be deemed to lack a reasonable commercial purpose: (i) 75% or more of the equity value of the intermediary enterprise being transferred is derived directly or indirectly from PRC Taxable Assets; (ii) at any time during the one-year period before the indirect transfer, 90% or more of the asset value of the intermediary enterprise (excluding cash) is comprised directly or indirectly of investments in the PRC, or during the one-year period before the indirect transfer, 90% or more of its income is derived directly or indirectly from the PRC; (iii) the functions performed and risks assumed by the intermediary enterprise and any of its subsidiaries and</w:t>
      </w:r>
    </w:p>
    <w:p>
      <w:pPr>
        <w:spacing w:after="0" w:line="3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140"/>
          </w:cols>
          <w:pgMar w:left="320" w:top="455" w:right="4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branches that directly or indirectly hold the PRC Taxable Assets are limited and are insufficient to prove their economic substance; and (iv) the foreign tax payable on the gain derived from the indirect transfer of the PRC Taxable Assets is lower than the potential PRC tax on the direct transfer of those assets. On the other hand, indirect transfers falling into the safe harbors provided by SAT Circular 7, including qualified group restructurings, public market trades and exemptions under tax treaties or arrangements, will not be subject to PRC tax under SAT Circular 7.</w:t>
      </w:r>
    </w:p>
    <w:p>
      <w:pPr>
        <w:spacing w:after="0" w:line="178"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On October 17, 2017, the SAT issued the </w:t>
      </w:r>
      <w:r>
        <w:rPr>
          <w:rFonts w:ascii="Times New Roman" w:cs="Times New Roman" w:eastAsia="Times New Roman" w:hAnsi="Times New Roman"/>
          <w:sz w:val="18"/>
          <w:szCs w:val="18"/>
          <w:i w:val="1"/>
          <w:iCs w:val="1"/>
          <w:color w:val="auto"/>
        </w:rPr>
        <w:t>Announcement on Issues Relating to Withholding at Source of Income Tax of Non-resident Enterprises</w:t>
      </w:r>
      <w:r>
        <w:rPr>
          <w:rFonts w:ascii="Times New Roman" w:cs="Times New Roman" w:eastAsia="Times New Roman" w:hAnsi="Times New Roman"/>
          <w:sz w:val="18"/>
          <w:szCs w:val="18"/>
          <w:color w:val="auto"/>
        </w:rPr>
        <w:t xml:space="preserve">, or SAT Circular 37, which took effect on December 1, 2017. Certain provisions of SAT Circular 37 were repealed by the </w:t>
      </w:r>
      <w:r>
        <w:rPr>
          <w:rFonts w:ascii="Times New Roman" w:cs="Times New Roman" w:eastAsia="Times New Roman" w:hAnsi="Times New Roman"/>
          <w:sz w:val="18"/>
          <w:szCs w:val="18"/>
          <w:i w:val="1"/>
          <w:iCs w:val="1"/>
          <w:color w:val="auto"/>
        </w:rPr>
        <w:t>Announcement of the State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Administration of Taxation on Revising Certain Taxation Normative Documents </w:t>
      </w:r>
      <w:r>
        <w:rPr>
          <w:rFonts w:ascii="Times New Roman" w:cs="Times New Roman" w:eastAsia="Times New Roman" w:hAnsi="Times New Roman"/>
          <w:sz w:val="18"/>
          <w:szCs w:val="18"/>
          <w:color w:val="auto"/>
        </w:rPr>
        <w:t>issued by the SAT on June 15, 2018. According to SAT Circular 37,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after deducting the equity net value from the equity transfer income, the balance shall be the taxable income amount for equity transfer income. Equity transfer income means the consideration collected by the equity transferor from the equity transfer, including various income in monetary form and non-monetary form. Equity net value means the tax computation basis for obtaining the said equity. The tax computation basis for equity shall be: (i) the capital contribution costs actually paid by the equity transferor to a Chinese resident enterprise at the time of investment and equity participation, or</w:t>
      </w:r>
    </w:p>
    <w:p>
      <w:pPr>
        <w:spacing w:after="0" w:line="5" w:lineRule="exact"/>
        <w:rPr>
          <w:sz w:val="20"/>
          <w:szCs w:val="20"/>
          <w:color w:val="auto"/>
        </w:rPr>
      </w:pPr>
    </w:p>
    <w:p>
      <w:pPr>
        <w:ind w:left="120" w:hanging="4"/>
        <w:spacing w:after="0" w:line="252" w:lineRule="auto"/>
        <w:tabs>
          <w:tab w:leader="none" w:pos="38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transfer costs actually paid at the time of acquisition of such equity to the original transferor of the said equity. Where there is a reduction or appreciation of value during the equity holding period, and the gains or losses can be confirmed pursuant to the rules of the finance and tax authorities of the State Council, the equity net value shall be adjusted accordingly. In computing equity transfer income, an enterprise shall not deduct the amount in the shareholders’ retained earnings, such as undistributed profits, of the investee enterprise, which may be distributed in accordance with the said equity. In the event of partial transfer of equity under multiple investments or acquisitions, the enterprise shall determine the costs corresponding to the transferred equity in accordance with the transfer ratio, out of all costs of the equity.</w:t>
      </w:r>
    </w:p>
    <w:p>
      <w:pPr>
        <w:spacing w:after="0" w:line="188"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Under SAT Circular 7, and the </w:t>
      </w:r>
      <w:r>
        <w:rPr>
          <w:rFonts w:ascii="Times New Roman" w:cs="Times New Roman" w:eastAsia="Times New Roman" w:hAnsi="Times New Roman"/>
          <w:sz w:val="18"/>
          <w:szCs w:val="18"/>
          <w:i w:val="1"/>
          <w:iCs w:val="1"/>
          <w:color w:val="auto"/>
        </w:rPr>
        <w:t>Law of the People’s Republic of China on the Administration of Tax Collection</w:t>
      </w:r>
      <w:r>
        <w:rPr>
          <w:rFonts w:ascii="Times New Roman" w:cs="Times New Roman" w:eastAsia="Times New Roman" w:hAnsi="Times New Roman"/>
          <w:sz w:val="18"/>
          <w:szCs w:val="18"/>
          <w:color w:val="auto"/>
        </w:rPr>
        <w:t xml:space="preserve"> promulgated by the SCNPC on September 4, 1992 and most recently amended on April 24, 2015, in the case of an indirect transfer, parities obligated to pay the transfer price to the transferor shall be the withholding agents. Where the withholding agent fails to withhold, and the transferor does not discharge its tax liability, the tax authority may impose late payment interest and special tax adjustment interest (if applicable) on the transferor. In addition, the tax authority may also hold the withholding agents liable and impose a penalty of between 50% to 300% of the unpaid tax amount. The penalty imposed on the withholding agents may be reduced or waived if the withholding agents have submitted the relevant materials in connection with the indirect transfer to the PRC tax authorities in accordance with SAT Circular 7.</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Withholding tax on dividend distribution</w:t>
      </w:r>
    </w:p>
    <w:p>
      <w:pPr>
        <w:spacing w:after="0" w:line="12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The EIT Law prescribes a standard withholding tax rate of 20% on dividends and other China-sourced income of a non-PRC resident enterprise that has no establishment or place of business in the PRC, or if the relevant dividends or other China-sourced income are in fact not associated with any establishment or place of business in the PRC of a non-PRC resident enterprise. The Implementing Rules of the EIT Law reduced the withholding tax rate from 20% to 10% and a lower withholding tax rate is applicable if there is a tax treaty between China and the jurisdiction of the foreign holding company. For example, pursuant to the </w:t>
      </w:r>
      <w:r>
        <w:rPr>
          <w:rFonts w:ascii="Times New Roman" w:cs="Times New Roman" w:eastAsia="Times New Roman" w:hAnsi="Times New Roman"/>
          <w:sz w:val="18"/>
          <w:szCs w:val="18"/>
          <w:i w:val="1"/>
          <w:iCs w:val="1"/>
          <w:color w:val="auto"/>
        </w:rPr>
        <w:t>Arrangement Between the Mainland of China and the Hong Kong Special Administrative Region for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Avoidance of Double Taxation on Income</w:t>
      </w:r>
      <w:r>
        <w:rPr>
          <w:rFonts w:ascii="Times New Roman" w:cs="Times New Roman" w:eastAsia="Times New Roman" w:hAnsi="Times New Roman"/>
          <w:sz w:val="18"/>
          <w:szCs w:val="18"/>
          <w:color w:val="auto"/>
        </w:rPr>
        <w:t>, or the Double Tax Avoidance Arrangement, and other applicable PRC laws, if a Hong Kong resident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enterprise is determined by the competent PRC tax authority to have satisfied the relevant conditions and requirements under the Double Tax Avoidance Arrangement and other applicable laws, the 10% withholding tax on the dividends that the Hong Kong resident enterprise receives from a PRC resident enterprise may be reduced to 5% upon the relevant documentations for enjoying the tax treaty benefits are filed with the competent tax authorities. On the other hand, based on the </w:t>
      </w:r>
      <w:r>
        <w:rPr>
          <w:rFonts w:ascii="Times New Roman" w:cs="Times New Roman" w:eastAsia="Times New Roman" w:hAnsi="Times New Roman"/>
          <w:sz w:val="18"/>
          <w:szCs w:val="18"/>
          <w:i w:val="1"/>
          <w:iCs w:val="1"/>
          <w:color w:val="auto"/>
        </w:rPr>
        <w:t>Notice on Relevant Issues Relating to the Enforcement of Dividend Provisions in Tax Treaties</w:t>
      </w:r>
      <w:r>
        <w:rPr>
          <w:rFonts w:ascii="Times New Roman" w:cs="Times New Roman" w:eastAsia="Times New Roman" w:hAnsi="Times New Roman"/>
          <w:sz w:val="18"/>
          <w:szCs w:val="18"/>
          <w:color w:val="auto"/>
        </w:rPr>
        <w:t xml:space="preserve"> issued on February 20, 2009 by the SAT, if PRC tax authorities determine, at their</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140"/>
          </w:cols>
          <w:pgMar w:left="320" w:top="455" w:right="4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 xml:space="preserve">discretion, that a company benefits from a reduced income tax rate due to the implementation of a structure or arrangement that is primarily tax-driven, the preferential tax treatment may be adjusted. The </w:t>
      </w:r>
      <w:r>
        <w:rPr>
          <w:rFonts w:ascii="Times New Roman" w:cs="Times New Roman" w:eastAsia="Times New Roman" w:hAnsi="Times New Roman"/>
          <w:sz w:val="18"/>
          <w:szCs w:val="18"/>
          <w:i w:val="1"/>
          <w:iCs w:val="1"/>
          <w:color w:val="auto"/>
        </w:rPr>
        <w:t>Announcement of the State Administration of Taxation on Issues concerning “Beneficial Owners”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 Treaties</w:t>
      </w:r>
      <w:r>
        <w:rPr>
          <w:rFonts w:ascii="Times New Roman" w:cs="Times New Roman" w:eastAsia="Times New Roman" w:hAnsi="Times New Roman"/>
          <w:sz w:val="18"/>
          <w:szCs w:val="18"/>
          <w:color w:val="auto"/>
        </w:rPr>
        <w:t>, which was promulgated by the SAT on February 3, 2018 and took effect on April 1, 2018, further clarifies the standard of assessment when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determining the qualification of beneficial owner status.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Value-added tax</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Pursuant to the </w:t>
      </w:r>
      <w:r>
        <w:rPr>
          <w:rFonts w:ascii="Times New Roman" w:cs="Times New Roman" w:eastAsia="Times New Roman" w:hAnsi="Times New Roman"/>
          <w:sz w:val="18"/>
          <w:szCs w:val="18"/>
          <w:i w:val="1"/>
          <w:iCs w:val="1"/>
          <w:color w:val="auto"/>
        </w:rPr>
        <w:t>Interim Regulations on Value-Added Tax of the People’s Republic of China</w:t>
      </w:r>
      <w:r>
        <w:rPr>
          <w:rFonts w:ascii="Times New Roman" w:cs="Times New Roman" w:eastAsia="Times New Roman" w:hAnsi="Times New Roman"/>
          <w:sz w:val="18"/>
          <w:szCs w:val="18"/>
          <w:color w:val="auto"/>
        </w:rPr>
        <w:t xml:space="preserve">, which was promulgated by the State Council on December 13, 1993 and most recently amended on November 19, 2017, and the </w:t>
      </w:r>
      <w:r>
        <w:rPr>
          <w:rFonts w:ascii="Times New Roman" w:cs="Times New Roman" w:eastAsia="Times New Roman" w:hAnsi="Times New Roman"/>
          <w:sz w:val="18"/>
          <w:szCs w:val="18"/>
          <w:i w:val="1"/>
          <w:iCs w:val="1"/>
          <w:color w:val="auto"/>
        </w:rPr>
        <w:t>Implementation Rules for the Interim Regulations on Value-Added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the People’s Republic of China</w:t>
      </w:r>
      <w:r>
        <w:rPr>
          <w:rFonts w:ascii="Times New Roman" w:cs="Times New Roman" w:eastAsia="Times New Roman" w:hAnsi="Times New Roman"/>
          <w:sz w:val="18"/>
          <w:szCs w:val="18"/>
          <w:color w:val="auto"/>
        </w:rPr>
        <w:t>, which was promulgated by the MOF and SAT on December 25, 1993 and most recently amended on October 28,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2011, entities or individuals engaging in the sale of goods, provision of processing services, repairs and replacement services or importation of goods within the territory of the PRC shall pay value-added tax, or VAT. Unless provided otherwise, the rate of VAT is 17% on the sale of goods and 6% on services. On April 4, 2018, MOF and SAT jointly promulgated the </w:t>
      </w:r>
      <w:r>
        <w:rPr>
          <w:rFonts w:ascii="Times New Roman" w:cs="Times New Roman" w:eastAsia="Times New Roman" w:hAnsi="Times New Roman"/>
          <w:sz w:val="18"/>
          <w:szCs w:val="18"/>
          <w:i w:val="1"/>
          <w:iCs w:val="1"/>
          <w:color w:val="auto"/>
        </w:rPr>
        <w:t>Circular of the Ministry of Finance and the State Administration of Taxation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Adjustment of Value-Added Tax Rates</w:t>
      </w:r>
      <w:r>
        <w:rPr>
          <w:rFonts w:ascii="Times New Roman" w:cs="Times New Roman" w:eastAsia="Times New Roman" w:hAnsi="Times New Roman"/>
          <w:sz w:val="18"/>
          <w:szCs w:val="18"/>
          <w:color w:val="auto"/>
        </w:rPr>
        <w:t>, or Circular 32, according to which (i) for VAT taxable sales and imports of goods that were originally subject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VAT rate of 17% and 11%, respectively, the applicable VAT rates shall be adjusted to 16% and 10%, respectively; (ii) for the purchase of agricultural products that was originally subject to a VAT rate of 11%, the applicable VAT rate shall be adjusted to 10%; (iii) for the purchase of agricultural products for the purpose of production and sales or for the processing of goods under consignment that were originally subject to a VAT rate of 16%, the applicable VAT rate shall be adjusted to 12%; (iv) for export products that were originally subject to a tax rate of 17% and export tax refund rate of 17%, the export tax refund rate shall be adjusted to 16%; and (v) for export products and cross-border taxable acts that were originally subject to a tax rate of 11% and export tax refund rate of 11%, the export tax refund rate shall be adjusted to 10%. Circular 32 became effective on May 1, 2018, and shall supersede all previous provisions which are inconsistent with Circular 32.</w:t>
      </w:r>
    </w:p>
    <w:p>
      <w:pPr>
        <w:spacing w:after="0" w:line="185"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Since November 16, 2011, the MOF and the SAT have implemented the </w:t>
      </w:r>
      <w:r>
        <w:rPr>
          <w:rFonts w:ascii="Times New Roman" w:cs="Times New Roman" w:eastAsia="Times New Roman" w:hAnsi="Times New Roman"/>
          <w:sz w:val="18"/>
          <w:szCs w:val="18"/>
          <w:i w:val="1"/>
          <w:iCs w:val="1"/>
          <w:color w:val="auto"/>
        </w:rPr>
        <w:t>Pilot Plan for Imposition of Value- Added Tax to Replace Business Tax</w:t>
      </w:r>
      <w:r>
        <w:rPr>
          <w:rFonts w:ascii="Times New Roman" w:cs="Times New Roman" w:eastAsia="Times New Roman" w:hAnsi="Times New Roman"/>
          <w:sz w:val="18"/>
          <w:szCs w:val="18"/>
          <w:color w:val="auto"/>
        </w:rPr>
        <w:t xml:space="preserve">, or the VAT Pilot Plan, which imposes VAT in lieu of business tax for certain “modern service industries” in certain regions initially and is eventually expanded to apply nation-wide in 2013. According to the </w:t>
      </w:r>
      <w:r>
        <w:rPr>
          <w:rFonts w:ascii="Times New Roman" w:cs="Times New Roman" w:eastAsia="Times New Roman" w:hAnsi="Times New Roman"/>
          <w:sz w:val="18"/>
          <w:szCs w:val="18"/>
          <w:i w:val="1"/>
          <w:iCs w:val="1"/>
          <w:color w:val="auto"/>
        </w:rPr>
        <w:t>Implementation Rules for the Pilot Plan for Imposition of Value-Added Tax to Replace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Business Tax </w:t>
      </w:r>
      <w:r>
        <w:rPr>
          <w:rFonts w:ascii="Times New Roman" w:cs="Times New Roman" w:eastAsia="Times New Roman" w:hAnsi="Times New Roman"/>
          <w:sz w:val="18"/>
          <w:szCs w:val="18"/>
          <w:color w:val="auto"/>
        </w:rPr>
        <w:t>released by the MOF and the SAT in relation to the VAT Pilot Plan, the “modern service industries” include research, development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technology services, information technology services, cultural innovation services, logistics support, lease of corporeal properties, attestation and consulting services. The </w:t>
      </w:r>
      <w:r>
        <w:rPr>
          <w:rFonts w:ascii="Times New Roman" w:cs="Times New Roman" w:eastAsia="Times New Roman" w:hAnsi="Times New Roman"/>
          <w:sz w:val="18"/>
          <w:szCs w:val="18"/>
          <w:i w:val="1"/>
          <w:iCs w:val="1"/>
          <w:color w:val="auto"/>
        </w:rPr>
        <w:t>Notice on Comprehensively Promoting the Pilot Plan of the Conversion of Business Tax to Value-Added Tax</w:t>
      </w:r>
      <w:r>
        <w:rPr>
          <w:rFonts w:ascii="Times New Roman" w:cs="Times New Roman" w:eastAsia="Times New Roman" w:hAnsi="Times New Roman"/>
          <w:sz w:val="18"/>
          <w:szCs w:val="18"/>
          <w:color w:val="auto"/>
        </w:rPr>
        <w:t>, which was promulgated on March 23, 2016 and most recently amended on March 20, 2019, sets out that VAT in lieu of business tax be collected in all regions and industries.</w:t>
      </w:r>
    </w:p>
    <w:p>
      <w:pPr>
        <w:spacing w:after="0" w:line="18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On March 20, 2019, the MOF, the SAT and the General Administration of Customs jointly promulgated the </w:t>
      </w:r>
      <w:r>
        <w:rPr>
          <w:rFonts w:ascii="Times New Roman" w:cs="Times New Roman" w:eastAsia="Times New Roman" w:hAnsi="Times New Roman"/>
          <w:sz w:val="18"/>
          <w:szCs w:val="18"/>
          <w:i w:val="1"/>
          <w:iCs w:val="1"/>
          <w:color w:val="auto"/>
        </w:rPr>
        <w:t>Announcement on Relevant Policies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Deepening Value-Added Tax Reform</w:t>
      </w:r>
      <w:r>
        <w:rPr>
          <w:rFonts w:ascii="Times New Roman" w:cs="Times New Roman" w:eastAsia="Times New Roman" w:hAnsi="Times New Roman"/>
          <w:sz w:val="18"/>
          <w:szCs w:val="18"/>
          <w:color w:val="auto"/>
        </w:rPr>
        <w:t>, which became effective on April 1, 2019, and provides that (i) with respect to VAT taxable sales and import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goods, the applicable tax rates shall be adjusted from 16% and 10% respectively, to 13% and 9%, respectively; (ii) with respect to the purchase of agricultural products, the applicable tax rates shall be adjusted from 10% to 9%; (iii) with respect to the purchase of agricultural products for the purpose of production or processing of goods under consignment, the applicable tax rates shall be adjusted from 13% to 10%; (iv) with respect to the export of goods and services that was originally subject to tax rate of 16% and export tax refund rate of 16%, the export tax refund rate shall be adjusted to 13%; and (v) with respect to the export of goods and cross-border taxable acts that were originally subject to a tax rate of 10% and export tax refund rate of 10%, the export tax refund rate shall be adjusted to 9%.</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120"/>
          </w:cols>
          <w:pgMar w:left="320" w:top="455" w:right="45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Regulations Relating to Employment and Social Welfare</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According to the </w:t>
      </w:r>
      <w:r>
        <w:rPr>
          <w:rFonts w:ascii="Times New Roman" w:cs="Times New Roman" w:eastAsia="Times New Roman" w:hAnsi="Times New Roman"/>
          <w:sz w:val="18"/>
          <w:szCs w:val="18"/>
          <w:i w:val="1"/>
          <w:iCs w:val="1"/>
          <w:color w:val="auto"/>
        </w:rPr>
        <w:t>Labor Contract Law of the People’s Republic of China</w:t>
      </w:r>
      <w:r>
        <w:rPr>
          <w:rFonts w:ascii="Times New Roman" w:cs="Times New Roman" w:eastAsia="Times New Roman" w:hAnsi="Times New Roman"/>
          <w:sz w:val="18"/>
          <w:szCs w:val="18"/>
          <w:color w:val="auto"/>
        </w:rPr>
        <w:t>, or the Labor Contract Law, promulgated by the SCNPC on June 29,</w:t>
      </w:r>
    </w:p>
    <w:p>
      <w:pPr>
        <w:spacing w:after="0" w:line="29" w:lineRule="exact"/>
        <w:rPr>
          <w:sz w:val="20"/>
          <w:szCs w:val="20"/>
          <w:color w:val="auto"/>
        </w:rPr>
      </w:pPr>
    </w:p>
    <w:p>
      <w:pPr>
        <w:ind w:left="120" w:right="40"/>
        <w:spacing w:after="0" w:line="251" w:lineRule="auto"/>
        <w:rPr>
          <w:sz w:val="20"/>
          <w:szCs w:val="20"/>
          <w:color w:val="auto"/>
        </w:rPr>
      </w:pPr>
      <w:r>
        <w:rPr>
          <w:rFonts w:ascii="Times New Roman" w:cs="Times New Roman" w:eastAsia="Times New Roman" w:hAnsi="Times New Roman"/>
          <w:sz w:val="18"/>
          <w:szCs w:val="18"/>
          <w:color w:val="auto"/>
        </w:rPr>
        <w:t xml:space="preserve">2007 and most recently amended on December 28, 2012, and </w:t>
      </w:r>
      <w:r>
        <w:rPr>
          <w:rFonts w:ascii="Times New Roman" w:cs="Times New Roman" w:eastAsia="Times New Roman" w:hAnsi="Times New Roman"/>
          <w:sz w:val="18"/>
          <w:szCs w:val="18"/>
          <w:i w:val="1"/>
          <w:iCs w:val="1"/>
          <w:color w:val="auto"/>
        </w:rPr>
        <w:t>The Implementation Rules of the Labor Contract Law of the People’s Republic of China</w:t>
      </w:r>
      <w:r>
        <w:rPr>
          <w:rFonts w:ascii="Times New Roman" w:cs="Times New Roman" w:eastAsia="Times New Roman" w:hAnsi="Times New Roman"/>
          <w:sz w:val="18"/>
          <w:szCs w:val="18"/>
          <w:color w:val="auto"/>
        </w:rPr>
        <w:t>, or the Implementation Rules of the Labor Contract Law, promulgated by the State Council on September 18, 2008, a written employment contract shall be entered into to create an employment relationship. If an employer fails to enter into a written employment contract with an employee within one year from the date on which the employment relationship is created, the employer must enter into a written employment contract with the employee and pay the employee an amount equal to twice such employee’s salary for the period from the day following the lapse of one month from the date of the creation of the employment relationship to the day prior to the execution of the written employment contract. The Labor Contract Law and the Implementation Rules of the Labor Contract Law also require compensation to be paid by the employer in certain events as a result of termination. In addition, if an employer intends to enforce a non-compete provision in an employment contract or non-competition agreement with an employee, it has to compensate the employee on a monthly basis during the term of any restrictive period after the termination or expiry of the labor contract. In most cases, employers are also required to provide severance payment to their employees after their employment relationships are terminated.</w:t>
      </w:r>
    </w:p>
    <w:p>
      <w:pPr>
        <w:spacing w:after="0" w:line="19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Pursuant to the </w:t>
      </w:r>
      <w:r>
        <w:rPr>
          <w:rFonts w:ascii="Times New Roman" w:cs="Times New Roman" w:eastAsia="Times New Roman" w:hAnsi="Times New Roman"/>
          <w:sz w:val="18"/>
          <w:szCs w:val="18"/>
          <w:i w:val="1"/>
          <w:iCs w:val="1"/>
          <w:color w:val="auto"/>
        </w:rPr>
        <w:t>Social Insurance Law of the People’s Republic of China</w:t>
      </w:r>
      <w:r>
        <w:rPr>
          <w:rFonts w:ascii="Times New Roman" w:cs="Times New Roman" w:eastAsia="Times New Roman" w:hAnsi="Times New Roman"/>
          <w:sz w:val="18"/>
          <w:szCs w:val="18"/>
          <w:color w:val="auto"/>
        </w:rPr>
        <w:t xml:space="preserve">, or the Social Insurance Law, which was promulgated by the SCNPC on October 28, 2010 and amended on December 29, 2018, the </w:t>
      </w:r>
      <w:r>
        <w:rPr>
          <w:rFonts w:ascii="Times New Roman" w:cs="Times New Roman" w:eastAsia="Times New Roman" w:hAnsi="Times New Roman"/>
          <w:sz w:val="18"/>
          <w:szCs w:val="18"/>
          <w:i w:val="1"/>
          <w:iCs w:val="1"/>
          <w:color w:val="auto"/>
        </w:rPr>
        <w:t>Interim Regulations on the Collection of Social Insurance Fees,</w:t>
      </w:r>
      <w:r>
        <w:rPr>
          <w:rFonts w:ascii="Times New Roman" w:cs="Times New Roman" w:eastAsia="Times New Roman" w:hAnsi="Times New Roman"/>
          <w:sz w:val="18"/>
          <w:szCs w:val="18"/>
          <w:color w:val="auto"/>
        </w:rPr>
        <w:t xml:space="preserve"> issued by the State Council on January 22, 1999 and amended on March 24, 2019, and the </w:t>
      </w:r>
      <w:r>
        <w:rPr>
          <w:rFonts w:ascii="Times New Roman" w:cs="Times New Roman" w:eastAsia="Times New Roman" w:hAnsi="Times New Roman"/>
          <w:sz w:val="18"/>
          <w:szCs w:val="18"/>
          <w:i w:val="1"/>
          <w:iCs w:val="1"/>
          <w:color w:val="auto"/>
        </w:rPr>
        <w:t>Regulations on the Administration of Housing Provident Funds</w:t>
      </w:r>
      <w:r>
        <w:rPr>
          <w:rFonts w:ascii="Times New Roman" w:cs="Times New Roman" w:eastAsia="Times New Roman" w:hAnsi="Times New Roman"/>
          <w:sz w:val="18"/>
          <w:szCs w:val="18"/>
          <w:color w:val="auto"/>
        </w:rPr>
        <w:t>, issued by the State Council on April 3, 1999 and last amended on March 24, 2019, enterprises in mainland China are required to participate in certain employee benefit plans, including social insurance funds and housing provident funds, and contribute to the funds in amounts equal to certain percentages of salaries, including bonuses and allowances, of the employees as specified from time to time by the local government at the place of their business operations or where they are located.</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Regulations Relating to Overseas Listing and M&amp;A</w:t>
      </w:r>
    </w:p>
    <w:p>
      <w:pPr>
        <w:spacing w:after="0" w:line="11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On August 8, 2006, six PRC regulatory agencies, including the China Securities Regulatory Commission, or the CSRC, promulgated the </w:t>
      </w:r>
      <w:r>
        <w:rPr>
          <w:rFonts w:ascii="Times New Roman" w:cs="Times New Roman" w:eastAsia="Times New Roman" w:hAnsi="Times New Roman"/>
          <w:sz w:val="18"/>
          <w:szCs w:val="18"/>
          <w:i w:val="1"/>
          <w:iCs w:val="1"/>
          <w:color w:val="auto"/>
        </w:rPr>
        <w:t>Rules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Merger and Acquisition of Domestic Enterprises by Foreign Investors</w:t>
      </w:r>
      <w:r>
        <w:rPr>
          <w:rFonts w:ascii="Times New Roman" w:cs="Times New Roman" w:eastAsia="Times New Roman" w:hAnsi="Times New Roman"/>
          <w:sz w:val="18"/>
          <w:szCs w:val="18"/>
          <w:color w:val="auto"/>
        </w:rPr>
        <w:t>, or the M&amp;A Rules, which became effective on September 8, 2006, and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most recently amended on June 22, 2009. The M&amp;A Rules, among other things, require offshore special purpose vehicles formed for overseas listing purposes through acquisitions of PRC domestic companies and controlled by PRC domestic enterprises or individuals to obtain the approval of the CSRC prior to the listing and trading of such special purpose vehicle’s securities on an overseas stock exchange. In September 2006, the CSRC published on its official website procedures relating to its approval of overseas listings by special purpose vehicles. These procedures require the filing of a number of documents with the CSRC.</w:t>
      </w:r>
    </w:p>
    <w:p>
      <w:pPr>
        <w:spacing w:after="0" w:line="18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M&amp;A Rules, and other regulations and rules concerning mergers and acquisitions established additional procedures and requirements that could make merger and acquisition activities by foreign investors more time consuming and complex. For example, the M&amp;A Rules require that MOFCOM be notified in advance of any change-of-control transaction in which a foreign investor takes control of a PRC domestic enterprise, if (i) any important industry is concerned, (ii) such transaction involves factors that impact or may impact national economic security, or (iii) such transaction will lead to a change in control of a domestic enterprise which holds a renowned trademark or a time-honored brand.</w:t>
      </w:r>
    </w:p>
    <w:p>
      <w:pPr>
        <w:spacing w:after="0" w:line="181" w:lineRule="exact"/>
        <w:rPr>
          <w:sz w:val="20"/>
          <w:szCs w:val="20"/>
          <w:color w:val="auto"/>
        </w:rPr>
      </w:pPr>
    </w:p>
    <w:p>
      <w:pPr>
        <w:ind w:left="120" w:right="40" w:firstLine="440"/>
        <w:spacing w:after="0" w:line="267" w:lineRule="auto"/>
        <w:rPr>
          <w:sz w:val="20"/>
          <w:szCs w:val="20"/>
          <w:color w:val="auto"/>
        </w:rPr>
      </w:pPr>
      <w:r>
        <w:rPr>
          <w:rFonts w:ascii="Times New Roman" w:cs="Times New Roman" w:eastAsia="Times New Roman" w:hAnsi="Times New Roman"/>
          <w:sz w:val="18"/>
          <w:szCs w:val="18"/>
          <w:color w:val="auto"/>
        </w:rPr>
        <w:t xml:space="preserve">In addition, according to the </w:t>
      </w:r>
      <w:r>
        <w:rPr>
          <w:rFonts w:ascii="Times New Roman" w:cs="Times New Roman" w:eastAsia="Times New Roman" w:hAnsi="Times New Roman"/>
          <w:sz w:val="18"/>
          <w:szCs w:val="18"/>
          <w:i w:val="1"/>
          <w:iCs w:val="1"/>
          <w:color w:val="auto"/>
        </w:rPr>
        <w:t>Notice on Establishing the Security Review System for Mergers and Acquisitions of Domestic Enterprises by Foreign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Investors </w:t>
      </w:r>
      <w:r>
        <w:rPr>
          <w:rFonts w:ascii="Times New Roman" w:cs="Times New Roman" w:eastAsia="Times New Roman" w:hAnsi="Times New Roman"/>
          <w:sz w:val="18"/>
          <w:szCs w:val="18"/>
          <w:color w:val="auto"/>
        </w:rPr>
        <w:t>which was issued by the General Office of the State Council on February 3, 2011 and became effective 30 days thereafter, the</w:t>
      </w:r>
      <w:r>
        <w:rPr>
          <w:rFonts w:ascii="Times New Roman" w:cs="Times New Roman" w:eastAsia="Times New Roman" w:hAnsi="Times New Roman"/>
          <w:sz w:val="18"/>
          <w:szCs w:val="18"/>
          <w:i w:val="1"/>
          <w:iCs w:val="1"/>
          <w:color w:val="auto"/>
        </w:rPr>
        <w:t xml:space="preserve"> Rules on Implementation of Security Review System for the Merger and Acquisition of Domestic Enterprises by Foreign Investors </w:t>
      </w:r>
      <w:r>
        <w:rPr>
          <w:rFonts w:ascii="Times New Roman" w:cs="Times New Roman" w:eastAsia="Times New Roman" w:hAnsi="Times New Roman"/>
          <w:sz w:val="18"/>
          <w:szCs w:val="18"/>
          <w:color w:val="auto"/>
        </w:rPr>
        <w:t>which was issued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100"/>
          </w:cols>
          <w:pgMar w:left="320" w:top="455" w:right="47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00"/>
        <w:spacing w:after="0" w:line="261" w:lineRule="auto"/>
        <w:rPr>
          <w:sz w:val="20"/>
          <w:szCs w:val="20"/>
          <w:color w:val="auto"/>
        </w:rPr>
      </w:pPr>
      <w:r>
        <w:rPr>
          <w:rFonts w:ascii="Times New Roman" w:cs="Times New Roman" w:eastAsia="Times New Roman" w:hAnsi="Times New Roman"/>
          <w:sz w:val="18"/>
          <w:szCs w:val="18"/>
          <w:color w:val="auto"/>
        </w:rPr>
        <w:t>by the MOFCOM on August 25, 2011 and became effective on September 1, 2011,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the MOFCOM. This notice also prohibits any attempts to bypass such security review, including by structuring the transaction through a proxy or contractual control arrangement.</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On July 6, 2021, the General Office of the Central Committee of the Communist Party of China and the General Office of the State Council jointly issued the </w:t>
      </w:r>
      <w:r>
        <w:rPr>
          <w:rFonts w:ascii="Times New Roman" w:cs="Times New Roman" w:eastAsia="Times New Roman" w:hAnsi="Times New Roman"/>
          <w:sz w:val="18"/>
          <w:szCs w:val="18"/>
          <w:i w:val="1"/>
          <w:iCs w:val="1"/>
          <w:color w:val="auto"/>
        </w:rPr>
        <w:t>Opinions on Strictly Cracking Down Illegal Securities Activities in Accordance with the Law</w:t>
      </w:r>
      <w:r>
        <w:rPr>
          <w:rFonts w:ascii="Times New Roman" w:cs="Times New Roman" w:eastAsia="Times New Roman" w:hAnsi="Times New Roman"/>
          <w:sz w:val="18"/>
          <w:szCs w:val="18"/>
          <w:color w:val="auto"/>
        </w:rPr>
        <w:t>, which requests improvement on the laws and regulations related to data security, cross-border data transfer and the management of confidential information, strengthening responsibility for the information security of overseas listed companies, strengthening standardized mechanisms for providing cross-border information and improvement of cross-border audit regulatory cooperation in accordance with the law and the principle of reciprocity.</w:t>
      </w:r>
    </w:p>
    <w:p>
      <w:pPr>
        <w:spacing w:after="0" w:line="181"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On February 17, 2023, the CSRC, as approved by the State Council, released the </w:t>
      </w:r>
      <w:r>
        <w:rPr>
          <w:rFonts w:ascii="Times New Roman" w:cs="Times New Roman" w:eastAsia="Times New Roman" w:hAnsi="Times New Roman"/>
          <w:sz w:val="18"/>
          <w:szCs w:val="18"/>
          <w:i w:val="1"/>
          <w:iCs w:val="1"/>
          <w:color w:val="auto"/>
        </w:rPr>
        <w:t>Trial Administrative Measures of Overseas Securities Offering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Listing by Domestic Companies </w:t>
      </w:r>
      <w:r>
        <w:rPr>
          <w:rFonts w:ascii="Times New Roman" w:cs="Times New Roman" w:eastAsia="Times New Roman" w:hAnsi="Times New Roman"/>
          <w:sz w:val="18"/>
          <w:szCs w:val="18"/>
          <w:color w:val="auto"/>
        </w:rPr>
        <w:t>and five supporting guidelines, or the Filing Rules. The Filing Rules will take effect on March 31, 2023, when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CSRC will start to accept filing applications. Pursuant to these new rules, PRC domestic companies that directly or indirectly offer or list their securities in an overseas market, which include (i) any PRC company limited by shares, and (ii) any offshore company that conducts its business operations primarily in mainland China and contemplates to offer or list its securities in an overseas market based on its onshore equities, assets, income or similar interests, are required to file with the CSRC within three business days after submitting their listing application documents to the relevant regulator in the place of intended listing. The Filing Rules, among others, further stipulate that when determining whether an offering and listing shall be deemed as an “indirect overseas offering and listing by a Chinese company,” the principle of “substance over form” shall be followed. If the issuer meets both of the following conditions, its offering and listing shall be determined as an “indirect overseas offering and listing by a Chinese company” and is therefore subject to the filing requirement: (i) any of the revenue, profits, total assets or net assets of the domestic companies in the most recent financial year account for more than 50% of the corresponding data in the issuer’s audited consolidated financial statements for the same period; and (ii) the key link of its business operations are conducted in mainland China or its principal place of business is located in the mainland China, or the majority of senior management in charge of business operations are Chinese citizens or have domicile in the PRC. Failure to complete such filing may subject a PRC domestic enterprise to an order of rectification, a warning or a fine between RMB1 million and RMB10 million. However, as of the date of this prospectus, uncertainties exist regarding the interpretation and implementation thereof. Pursuant to these regulations, a domestic enterprise applying for listing abroad shall, among others, complete record filing procedures and report relevant information to the CSRC as required.</w:t>
      </w:r>
    </w:p>
    <w:p>
      <w:pPr>
        <w:spacing w:after="0" w:line="197"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In addition, pursuant to the Filing Rules , the overseas offering and listing by a PRC company is prohibited under any of the following circumstances, if (i) it is explicitly prohibited by PRC laws; (ii) it may constitute a threat to or endanger national security as determined by competent PRC authorities; (iii) the domestic enterprises and their controlling shareholders and actual controllers have committed certain criminal offenses in the past three years and there is still no explicit conclusion; (iv) the domestic enterprises are currently under investigations in connection with suspicion of having committed criminal offences or material violations of applicable laws and regulations; or (v) there is material ownership disputes over the shareholdings held by the controlling shareholder or the shareholder under the control of the controlling shareholder or the actual controllers.</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Starting from March 31, 2023, the domestic enterprises that have submitted valid applications for overseas offerings and listings but have not obtained the approval from overseas regulatory authorities or overseas stock exchanges shall complete the filing procedures with the CSRC prior to their overseas offerings and listings.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120"/>
          </w:cols>
          <w:pgMar w:left="320" w:top="455" w:right="45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Regulations in the United States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While there are currently no federal U.S. regulations expressly pertaining to the safety of autonomous driving systems, the U.S. Department of Transportation has established recommended voluntary guidelines, and the National Highway Traffic Safety Administration (the “NHTSA”) and the Federal Motor Carrier Safety Administration have authority to take enforcement action should an automated driving system pose an unreasonable risk to safety or inhibit the safe operation of a commercial motor vehicle. Certain U.S. states have legal restrictions on autonomous driving vehicles, and many other states are considering them. Some states, particularly California, institute operational requirements or restrictions for certain autonomous functions. Autonomous driving laws and regulations are expected to continue to evolve in numerous jurisdictions in the United States and may create restrictions on autonomous driving features that we develop.</w:t>
      </w:r>
    </w:p>
    <w:p>
      <w:pPr>
        <w:spacing w:after="0" w:line="18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may also be subject to existing stringent requirements overseen by NHTSA under the National Traffic and Motor Vehicle Safety Act of 1966 (the “Vehicle Safety Act”), including a duty to report, subject to strict timing requirements, safety defects with our products. The Vehicle Safety Act imposes potentially significant civil penalties for violations including the failure to comply with such reporting actions.</w:t>
      </w:r>
    </w:p>
    <w:p>
      <w:pPr>
        <w:spacing w:after="0" w:line="176"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As the development of federal and state legal frameworks around autonomous vehicles continue to evolve, we may be subject to additional regulatory schemes.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100"/>
          </w:cols>
          <w:pgMar w:left="320" w:top="455" w:right="47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directors and executive officers as of the date of this prospectus.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2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Directors and Executive Officers</w:t>
            </w:r>
          </w:p>
        </w:tc>
        <w:tc>
          <w:tcPr>
            <w:tcW w:w="3660" w:type="dxa"/>
            <w:vAlign w:val="bottom"/>
          </w:tcPr>
          <w:p>
            <w:pPr>
              <w:spacing w:after="0"/>
              <w:rPr>
                <w:sz w:val="16"/>
                <w:szCs w:val="16"/>
                <w:color w:val="auto"/>
              </w:rPr>
            </w:pPr>
          </w:p>
        </w:tc>
        <w:tc>
          <w:tcPr>
            <w:tcW w:w="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00" w:type="dxa"/>
            <w:vAlign w:val="bottom"/>
          </w:tcPr>
          <w:p>
            <w:pPr>
              <w:spacing w:after="0"/>
              <w:rPr>
                <w:sz w:val="16"/>
                <w:szCs w:val="16"/>
                <w:color w:val="auto"/>
              </w:rPr>
            </w:pPr>
          </w:p>
        </w:tc>
        <w:tc>
          <w:tcPr>
            <w:tcW w:w="494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4"/>
                <w:szCs w:val="14"/>
                <w:b w:val="1"/>
                <w:bCs w:val="1"/>
                <w:color w:val="auto"/>
              </w:rPr>
              <w:t>Position/Title</w:t>
            </w:r>
          </w:p>
        </w:tc>
      </w:tr>
      <w:tr>
        <w:trPr>
          <w:trHeight w:val="185"/>
        </w:trPr>
        <w:tc>
          <w:tcPr>
            <w:tcW w:w="200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Tony Xu Han</w:t>
            </w:r>
          </w:p>
        </w:tc>
        <w:tc>
          <w:tcPr>
            <w:tcW w:w="3660" w:type="dxa"/>
            <w:vAlign w:val="bottom"/>
          </w:tcPr>
          <w:p>
            <w:pPr>
              <w:spacing w:after="0"/>
              <w:rPr>
                <w:sz w:val="16"/>
                <w:szCs w:val="16"/>
                <w:color w:val="auto"/>
              </w:rPr>
            </w:pPr>
          </w:p>
        </w:tc>
        <w:tc>
          <w:tcPr>
            <w:tcW w:w="320" w:type="dxa"/>
            <w:vAlign w:val="bottom"/>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46</w:t>
            </w:r>
          </w:p>
        </w:tc>
        <w:tc>
          <w:tcPr>
            <w:tcW w:w="100" w:type="dxa"/>
            <w:vAlign w:val="bottom"/>
          </w:tcPr>
          <w:p>
            <w:pPr>
              <w:spacing w:after="0"/>
              <w:rPr>
                <w:sz w:val="16"/>
                <w:szCs w:val="16"/>
                <w:color w:val="auto"/>
              </w:rPr>
            </w:pPr>
          </w:p>
        </w:tc>
        <w:tc>
          <w:tcPr>
            <w:tcW w:w="494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Founder, Director and Chief Executive Officer</w:t>
            </w: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Yan Li</w:t>
            </w:r>
          </w:p>
        </w:tc>
        <w:tc>
          <w:tcPr>
            <w:tcW w:w="3980" w:type="dxa"/>
            <w:vAlign w:val="bottom"/>
            <w:gridSpan w:val="2"/>
          </w:tcPr>
          <w:p>
            <w:pPr>
              <w:jc w:val="center"/>
              <w:ind w:left="3550"/>
              <w:spacing w:after="0"/>
              <w:rPr>
                <w:sz w:val="20"/>
                <w:szCs w:val="20"/>
                <w:color w:val="auto"/>
              </w:rPr>
            </w:pPr>
            <w:r>
              <w:rPr>
                <w:rFonts w:ascii="Times New Roman" w:cs="Times New Roman" w:eastAsia="Times New Roman" w:hAnsi="Times New Roman"/>
                <w:sz w:val="18"/>
                <w:szCs w:val="18"/>
                <w:color w:val="auto"/>
                <w:w w:val="99"/>
              </w:rPr>
              <w:t>48</w:t>
            </w:r>
          </w:p>
        </w:tc>
        <w:tc>
          <w:tcPr>
            <w:tcW w:w="5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Co-founder, Director and Chief Technology Officer</w:t>
            </w: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Duane Ziping Kuang</w:t>
            </w:r>
          </w:p>
        </w:tc>
        <w:tc>
          <w:tcPr>
            <w:tcW w:w="3980" w:type="dxa"/>
            <w:vAlign w:val="bottom"/>
            <w:gridSpan w:val="2"/>
          </w:tcPr>
          <w:p>
            <w:pPr>
              <w:jc w:val="center"/>
              <w:ind w:left="3550"/>
              <w:spacing w:after="0"/>
              <w:rPr>
                <w:sz w:val="20"/>
                <w:szCs w:val="20"/>
                <w:color w:val="auto"/>
              </w:rPr>
            </w:pPr>
            <w:r>
              <w:rPr>
                <w:rFonts w:ascii="Times New Roman" w:cs="Times New Roman" w:eastAsia="Times New Roman" w:hAnsi="Times New Roman"/>
                <w:sz w:val="18"/>
                <w:szCs w:val="18"/>
                <w:color w:val="auto"/>
                <w:w w:val="99"/>
              </w:rPr>
              <w:t>59</w:t>
            </w:r>
          </w:p>
        </w:tc>
        <w:tc>
          <w:tcPr>
            <w:tcW w:w="5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Jingzhao Wan</w:t>
            </w:r>
          </w:p>
        </w:tc>
        <w:tc>
          <w:tcPr>
            <w:tcW w:w="3980" w:type="dxa"/>
            <w:vAlign w:val="bottom"/>
            <w:gridSpan w:val="2"/>
          </w:tcPr>
          <w:p>
            <w:pPr>
              <w:jc w:val="center"/>
              <w:ind w:left="3550"/>
              <w:spacing w:after="0"/>
              <w:rPr>
                <w:sz w:val="20"/>
                <w:szCs w:val="20"/>
                <w:color w:val="auto"/>
              </w:rPr>
            </w:pPr>
            <w:r>
              <w:rPr>
                <w:rFonts w:ascii="Times New Roman" w:cs="Times New Roman" w:eastAsia="Times New Roman" w:hAnsi="Times New Roman"/>
                <w:sz w:val="18"/>
                <w:szCs w:val="18"/>
                <w:color w:val="auto"/>
                <w:w w:val="99"/>
              </w:rPr>
              <w:t>41</w:t>
            </w:r>
          </w:p>
        </w:tc>
        <w:tc>
          <w:tcPr>
            <w:tcW w:w="5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Takao Asami</w:t>
            </w:r>
          </w:p>
        </w:tc>
        <w:tc>
          <w:tcPr>
            <w:tcW w:w="3980" w:type="dxa"/>
            <w:vAlign w:val="bottom"/>
            <w:gridSpan w:val="2"/>
          </w:tcPr>
          <w:p>
            <w:pPr>
              <w:jc w:val="center"/>
              <w:ind w:left="3550"/>
              <w:spacing w:after="0"/>
              <w:rPr>
                <w:sz w:val="20"/>
                <w:szCs w:val="20"/>
                <w:color w:val="auto"/>
              </w:rPr>
            </w:pPr>
            <w:r>
              <w:rPr>
                <w:rFonts w:ascii="Times New Roman" w:cs="Times New Roman" w:eastAsia="Times New Roman" w:hAnsi="Times New Roman"/>
                <w:sz w:val="18"/>
                <w:szCs w:val="18"/>
                <w:color w:val="auto"/>
                <w:w w:val="99"/>
              </w:rPr>
              <w:t>63</w:t>
            </w:r>
          </w:p>
        </w:tc>
        <w:tc>
          <w:tcPr>
            <w:tcW w:w="5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Yibing Xu</w:t>
            </w:r>
          </w:p>
        </w:tc>
        <w:tc>
          <w:tcPr>
            <w:tcW w:w="3980" w:type="dxa"/>
            <w:vAlign w:val="bottom"/>
            <w:gridSpan w:val="2"/>
          </w:tcPr>
          <w:p>
            <w:pPr>
              <w:jc w:val="center"/>
              <w:ind w:left="3550"/>
              <w:spacing w:after="0"/>
              <w:rPr>
                <w:sz w:val="20"/>
                <w:szCs w:val="20"/>
                <w:color w:val="auto"/>
              </w:rPr>
            </w:pPr>
            <w:r>
              <w:rPr>
                <w:rFonts w:ascii="Times New Roman" w:cs="Times New Roman" w:eastAsia="Times New Roman" w:hAnsi="Times New Roman"/>
                <w:sz w:val="18"/>
                <w:szCs w:val="18"/>
                <w:color w:val="auto"/>
                <w:w w:val="99"/>
              </w:rPr>
              <w:t>34</w:t>
            </w:r>
          </w:p>
        </w:tc>
        <w:tc>
          <w:tcPr>
            <w:tcW w:w="5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Hua Zhong</w:t>
            </w:r>
          </w:p>
        </w:tc>
        <w:tc>
          <w:tcPr>
            <w:tcW w:w="3980" w:type="dxa"/>
            <w:vAlign w:val="bottom"/>
            <w:gridSpan w:val="2"/>
          </w:tcPr>
          <w:p>
            <w:pPr>
              <w:jc w:val="center"/>
              <w:ind w:left="3550"/>
              <w:spacing w:after="0"/>
              <w:rPr>
                <w:sz w:val="20"/>
                <w:szCs w:val="20"/>
                <w:color w:val="auto"/>
              </w:rPr>
            </w:pPr>
            <w:r>
              <w:rPr>
                <w:rFonts w:ascii="Times New Roman" w:cs="Times New Roman" w:eastAsia="Times New Roman" w:hAnsi="Times New Roman"/>
                <w:sz w:val="18"/>
                <w:szCs w:val="18"/>
                <w:color w:val="auto"/>
                <w:w w:val="99"/>
              </w:rPr>
              <w:t>46</w:t>
            </w:r>
          </w:p>
        </w:tc>
        <w:tc>
          <w:tcPr>
            <w:tcW w:w="5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Senior Vice President</w:t>
            </w: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Li Zhang</w:t>
            </w:r>
          </w:p>
        </w:tc>
        <w:tc>
          <w:tcPr>
            <w:tcW w:w="3980" w:type="dxa"/>
            <w:vAlign w:val="bottom"/>
            <w:gridSpan w:val="2"/>
          </w:tcPr>
          <w:p>
            <w:pPr>
              <w:jc w:val="center"/>
              <w:ind w:left="3550"/>
              <w:spacing w:after="0"/>
              <w:rPr>
                <w:sz w:val="20"/>
                <w:szCs w:val="20"/>
                <w:color w:val="auto"/>
              </w:rPr>
            </w:pPr>
            <w:r>
              <w:rPr>
                <w:rFonts w:ascii="Times New Roman" w:cs="Times New Roman" w:eastAsia="Times New Roman" w:hAnsi="Times New Roman"/>
                <w:sz w:val="18"/>
                <w:szCs w:val="18"/>
                <w:color w:val="auto"/>
                <w:w w:val="99"/>
              </w:rPr>
              <w:t>51</w:t>
            </w:r>
          </w:p>
        </w:tc>
        <w:tc>
          <w:tcPr>
            <w:tcW w:w="5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Qingxiong Yang</w:t>
            </w:r>
          </w:p>
        </w:tc>
        <w:tc>
          <w:tcPr>
            <w:tcW w:w="3980" w:type="dxa"/>
            <w:vAlign w:val="bottom"/>
            <w:gridSpan w:val="2"/>
          </w:tcPr>
          <w:p>
            <w:pPr>
              <w:jc w:val="center"/>
              <w:ind w:left="3550"/>
              <w:spacing w:after="0"/>
              <w:rPr>
                <w:sz w:val="20"/>
                <w:szCs w:val="20"/>
                <w:color w:val="auto"/>
              </w:rPr>
            </w:pPr>
            <w:r>
              <w:rPr>
                <w:rFonts w:ascii="Times New Roman" w:cs="Times New Roman" w:eastAsia="Times New Roman" w:hAnsi="Times New Roman"/>
                <w:sz w:val="18"/>
                <w:szCs w:val="18"/>
                <w:color w:val="auto"/>
                <w:w w:val="99"/>
              </w:rPr>
              <w:t>41</w:t>
            </w:r>
          </w:p>
        </w:tc>
        <w:tc>
          <w:tcPr>
            <w:tcW w:w="5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w:t>
            </w: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Jennifer Xuan Li</w:t>
            </w:r>
          </w:p>
        </w:tc>
        <w:tc>
          <w:tcPr>
            <w:tcW w:w="3980" w:type="dxa"/>
            <w:vAlign w:val="bottom"/>
            <w:gridSpan w:val="2"/>
          </w:tcPr>
          <w:p>
            <w:pPr>
              <w:jc w:val="center"/>
              <w:ind w:left="3550"/>
              <w:spacing w:after="0"/>
              <w:rPr>
                <w:sz w:val="20"/>
                <w:szCs w:val="20"/>
                <w:color w:val="auto"/>
              </w:rPr>
            </w:pPr>
            <w:r>
              <w:rPr>
                <w:rFonts w:ascii="Times New Roman" w:cs="Times New Roman" w:eastAsia="Times New Roman" w:hAnsi="Times New Roman"/>
                <w:sz w:val="18"/>
                <w:szCs w:val="18"/>
                <w:color w:val="auto"/>
                <w:w w:val="99"/>
              </w:rPr>
              <w:t>34</w:t>
            </w:r>
          </w:p>
        </w:tc>
        <w:tc>
          <w:tcPr>
            <w:tcW w:w="5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w:t>
            </w:r>
          </w:p>
        </w:tc>
      </w:tr>
      <w:tr>
        <w:trPr>
          <w:trHeight w:val="234"/>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Huazhong Ning</w:t>
            </w:r>
          </w:p>
        </w:tc>
        <w:tc>
          <w:tcPr>
            <w:tcW w:w="3980" w:type="dxa"/>
            <w:vAlign w:val="bottom"/>
            <w:gridSpan w:val="2"/>
          </w:tcPr>
          <w:p>
            <w:pPr>
              <w:jc w:val="center"/>
              <w:ind w:left="3550"/>
              <w:spacing w:after="0"/>
              <w:rPr>
                <w:sz w:val="20"/>
                <w:szCs w:val="20"/>
                <w:color w:val="auto"/>
              </w:rPr>
            </w:pPr>
            <w:r>
              <w:rPr>
                <w:rFonts w:ascii="Times New Roman" w:cs="Times New Roman" w:eastAsia="Times New Roman" w:hAnsi="Times New Roman"/>
                <w:sz w:val="18"/>
                <w:szCs w:val="18"/>
                <w:color w:val="auto"/>
                <w:w w:val="99"/>
              </w:rPr>
              <w:t>45</w:t>
            </w:r>
          </w:p>
        </w:tc>
        <w:tc>
          <w:tcPr>
            <w:tcW w:w="5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96"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Dr. Tony Xu Han </w:t>
      </w:r>
      <w:r>
        <w:rPr>
          <w:rFonts w:ascii="Times New Roman" w:cs="Times New Roman" w:eastAsia="Times New Roman" w:hAnsi="Times New Roman"/>
          <w:sz w:val="18"/>
          <w:szCs w:val="18"/>
          <w:color w:val="auto"/>
        </w:rPr>
        <w:t>founded our company and currently serves as our Director and Chief Executive Officer. Prior to founding our company, Dr. 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worked as an associate professor of the Electrical &amp; Computer Engineering Department at the University of Missouri from 2007 to 2017, and was granted tenure in 2013. In his academic career, he specialized in computer vison and machine learning. He worked as the Chief Scientist of autonomous driving unit at Baidu Inc. (Nasdaq: BIDU and HKEX: 9888) from 2014 to 2017. Dr. Han received his bachelor’s degree in Electrical and Computer Engineering from Beijing Jiaotong University in 1998, master’s degree in Computer Engineering from the University of Rhode Island in 2002, and Ph.D. in Electrical and Computer Engineering from the University of Illinois Urbana-Champaign in 2007.</w:t>
      </w:r>
    </w:p>
    <w:p>
      <w:pPr>
        <w:spacing w:after="0" w:line="182"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Dr. Yan Li </w:t>
      </w:r>
      <w:r>
        <w:rPr>
          <w:rFonts w:ascii="Times New Roman" w:cs="Times New Roman" w:eastAsia="Times New Roman" w:hAnsi="Times New Roman"/>
          <w:sz w:val="18"/>
          <w:szCs w:val="18"/>
          <w:color w:val="auto"/>
        </w:rPr>
        <w:t>co-founded our company and currently serves as our Director and Chief Technology Officer. Prior to co-founding our company, Dr. Li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the Director of engineering of Ucar Inc. from 2015 to 2017, leading the autonomous driving department and GPS data platform. From 2012 to 2015, he worked as a Senior Engineer at Facebook, where he was responsible for developing deep learning algorithms and engines. From 1999 to 2002 and 2009 to 2012, Dr. Li worked as an applied researcher at Microsoft. Dr. Li received his bachelor’s degree in Computer Science from Tsinghua University in 1997, master’s degree in Computer Science from Tsinghua University in 1999 and Ph.D. in Electrical and Computer Engineering from Carnegie Mellon University in 2009.</w:t>
      </w:r>
    </w:p>
    <w:p>
      <w:pPr>
        <w:spacing w:after="0" w:line="182" w:lineRule="exact"/>
        <w:rPr>
          <w:sz w:val="20"/>
          <w:szCs w:val="20"/>
          <w:color w:val="auto"/>
        </w:rPr>
      </w:pPr>
    </w:p>
    <w:p>
      <w:pPr>
        <w:ind w:left="120" w:righ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Mr. Duane Ziping Kuang </w:t>
      </w:r>
      <w:r>
        <w:rPr>
          <w:rFonts w:ascii="Times New Roman" w:cs="Times New Roman" w:eastAsia="Times New Roman" w:hAnsi="Times New Roman"/>
          <w:sz w:val="18"/>
          <w:szCs w:val="18"/>
          <w:color w:val="auto"/>
        </w:rPr>
        <w:t>has served as our Director since 2017. Mr. Kuang founded Qiming Venture Partners, a private equity firm affiliated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one of our principal shareholders, in June 2006, and has been serving as its Managing Partner since then. Mr. Kuang also serves on the board of various portfolio companies invested by Qiming Venture Partners, such as CooTek Inc. (NYSE: CTK), YI Technology Inc., Qiniu (China) Limited, HashQuark Limited, and ConsenLabs Ltd. Mr. Kuang has over 20 years of operational and investment experience with technology companies. Mr. Kuang received his bachelor’s degree in Computer Science from the University of San Francisco in 1986 and master’s degree in Computer Science from Stanford University in 1988 and his MBA from the University of California Berkeley in 1993.</w:t>
      </w:r>
    </w:p>
    <w:p>
      <w:pPr>
        <w:spacing w:after="0" w:line="18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Mr. Jingzhao Wan </w:t>
      </w:r>
      <w:r>
        <w:rPr>
          <w:rFonts w:ascii="Times New Roman" w:cs="Times New Roman" w:eastAsia="Times New Roman" w:hAnsi="Times New Roman"/>
          <w:sz w:val="18"/>
          <w:szCs w:val="18"/>
          <w:color w:val="auto"/>
        </w:rPr>
        <w:t>has served as our Director since 2020. Mr. Wan leads the strategic planning and investment of Yutong Group, which he joined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2010. From 2007 to 2010, Mr. Wan was a Consultant in Kent Ridge Consulting Co. and engaged in management consulting. Mr. Wan holds a double bachelor’s degree in Engineering and Management from Zhengzhou University, and a double master’s degree in in Management and Finance Management from Zhongnan University of Economics and Law and the Chinese University of Hong Kong.</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140"/>
          </w:cols>
          <w:pgMar w:left="320" w:top="455" w:right="4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Mr. Takao Asami </w:t>
      </w:r>
      <w:r>
        <w:rPr>
          <w:rFonts w:ascii="Times New Roman" w:cs="Times New Roman" w:eastAsia="Times New Roman" w:hAnsi="Times New Roman"/>
          <w:sz w:val="18"/>
          <w:szCs w:val="18"/>
          <w:color w:val="auto"/>
        </w:rPr>
        <w:t>has served as our Director since 2022. Mr. Asami has worked at multiple positions at Nissan Motor Co., Ltd. and Renault S.A.,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affiliate of Nissan Motor Co., Ltd., since 2006. Since February 2019, Mr. Asami has been the Chairman of the Board of Directors of Alliance Automotive Research &amp; Development (Shanghai) Co., Ltd., a joint venture company between Renault S.A. and Nissan Motor Co., Ltd. Since 2014, he has served as a Senior Vice President at Nissan Motor Co., Ltd. From 2009 to 2014, he was the Corporate Vice President focusing on research at Nissan Motor Co., Ltd. Mr. Asami received his bachelor’s degree in Electrical Engineering from the University of Tokyo Faculty of Engineering in 1981 and his master’s degree in Electrical Engineering from the University of Southern California School of Engineering in 1988.</w:t>
      </w:r>
    </w:p>
    <w:p>
      <w:pPr>
        <w:spacing w:after="0" w:line="182"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Mr. Yibing Xu </w:t>
      </w:r>
      <w:r>
        <w:rPr>
          <w:rFonts w:ascii="Times New Roman" w:cs="Times New Roman" w:eastAsia="Times New Roman" w:hAnsi="Times New Roman"/>
          <w:sz w:val="18"/>
          <w:szCs w:val="18"/>
          <w:color w:val="auto"/>
        </w:rPr>
        <w:t>has served as our Director since 2022. Since 2014, Mr. Xu has worked at multiple positions at China Development Bank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 Ltd. Mr. Xu has served as a CDBC Manufacturing Transformation and Upgrading Fund Director since 2020. Prior to that, Mr. Xu was the Vice Department Head of Fund Management Department II from 2019 to 2020, and an Investment Manager from 2014 to 2018. Mr. Xu received his bachelor’s degree in Industrial Engineering from Tsinghua University in 2012 and his master’s degree in Industrial Engineering and Operations Research from the University of California Berkeley in 2013.</w:t>
      </w:r>
    </w:p>
    <w:p>
      <w:pPr>
        <w:spacing w:after="0" w:line="183"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Dr. Hua Zhong </w:t>
      </w:r>
      <w:r>
        <w:rPr>
          <w:rFonts w:ascii="Times New Roman" w:cs="Times New Roman" w:eastAsia="Times New Roman" w:hAnsi="Times New Roman"/>
          <w:sz w:val="18"/>
          <w:szCs w:val="18"/>
          <w:color w:val="auto"/>
        </w:rPr>
        <w:t>has served as our Senior Vice President since our inception. Prior to joining our company, Dr. Zhong was a Principal Engineer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Ucar Inc. from 2015 to 2017. Prior to that, Dr. Zhong worked as the lead Software Engineer at Google from 2012 to 2014. Dr. Zhong served as a research scientist in the computer vision team of Siemens from 2011 to 2012. From 2000 to 2001, Dr. Zhong was an assistant researcher at Microsoft Research Asia, where he was mainly responsible for computer vision and machine learning research and development. Dr. Zhong received his bachelor’s degree in Computer Science from Tsinghua University in 2000, and Ph.D. in Computer Science from Carnegie Mellon University in 2007.</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Mr. Li Zhang </w:t>
      </w:r>
      <w:r>
        <w:rPr>
          <w:rFonts w:ascii="Times New Roman" w:cs="Times New Roman" w:eastAsia="Times New Roman" w:hAnsi="Times New Roman"/>
          <w:sz w:val="18"/>
          <w:szCs w:val="18"/>
          <w:color w:val="auto"/>
        </w:rPr>
        <w:t>has served as our Chief Operating Officer since 2018. Prior to joining our company, Mr. Zhang worked at Cisco Systems from 1998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2018, with his last positions being a Senior Vice President for Greater China and the Chief of Staff to the CEO. Prior to that, Mr. Zhang worked as an engineer at Sprint Corporation from 1994 to 1998. Mr. Zhang received his bachelor’s degree in Communication Engineering from Beijing Union University in 1994, and his EMBA from the Guanghua School of Management at Peking University in 2005.</w:t>
      </w:r>
    </w:p>
    <w:p>
      <w:pPr>
        <w:spacing w:after="0" w:line="180" w:lineRule="exact"/>
        <w:rPr>
          <w:sz w:val="20"/>
          <w:szCs w:val="20"/>
          <w:color w:val="auto"/>
        </w:rPr>
      </w:pPr>
    </w:p>
    <w:p>
      <w:pPr>
        <w:ind w:left="120" w:right="60" w:firstLine="44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Dr. Qingxiong Yang </w:t>
      </w:r>
      <w:r>
        <w:rPr>
          <w:rFonts w:ascii="Times New Roman" w:cs="Times New Roman" w:eastAsia="Times New Roman" w:hAnsi="Times New Roman"/>
          <w:sz w:val="17"/>
          <w:szCs w:val="17"/>
          <w:color w:val="auto"/>
        </w:rPr>
        <w:t>has served as our Vice President since 2021. Prior to joining our company, Dr. Yang served as the Chief Executive Officer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MoonX.AI from 2018 to 2021. Prior to that, Dr. Yang worked as Senior Director of autonomous driving at DiDi from 2016 to 2017. Dr. Yang was an Assistant Professor at the Department of Computer Science of the City University of Hong Kong from 2011 to 2016, where his research focused on computer vision and graphics. Dr. Yang received his bachelor’s degree in Electric Engineering and Information Science from the University of Science and Technology of China in 2004 and Ph.D. in Electrical and Computer Engineering from the University of Illinois at Urbana-Champaign in 2010.</w:t>
      </w:r>
    </w:p>
    <w:p>
      <w:pPr>
        <w:spacing w:after="0" w:line="168"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Ms. Jennifer Xuan Li </w:t>
      </w:r>
      <w:r>
        <w:rPr>
          <w:rFonts w:ascii="Times New Roman" w:cs="Times New Roman" w:eastAsia="Times New Roman" w:hAnsi="Times New Roman"/>
          <w:sz w:val="18"/>
          <w:szCs w:val="18"/>
          <w:color w:val="auto"/>
        </w:rPr>
        <w:t>has served as our Vice President since 2020. Prior to joining our company, Ms. Li served as the Investment Director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SenseTime from 2018 to 2020, where she was responsible for capital raising and strategic investments in high-tech sectors. From 2015 to 2018, Ms. Li worked as the Strategic Investment Director of Baidu, where she was responsible for AI and mobile-related investments. Ms. Li worked at the investment banking division of Deutsche Bank from 2014 to 2015 and at UBS from 2011 to 2013. Ms. Li received her double bachelor’s degrees in Computer Science and Business Management from Nanyang Technological University.</w:t>
      </w:r>
    </w:p>
    <w:p>
      <w:pPr>
        <w:spacing w:after="0" w:line="183"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Dr. Huazhong Ning </w:t>
      </w:r>
      <w:r>
        <w:rPr>
          <w:rFonts w:ascii="Times New Roman" w:cs="Times New Roman" w:eastAsia="Times New Roman" w:hAnsi="Times New Roman"/>
          <w:sz w:val="18"/>
          <w:szCs w:val="18"/>
          <w:color w:val="auto"/>
        </w:rPr>
        <w:t>has served as our Vice President since 2019. Prior to joining our company, Dr. Ning was an AI scientist at Facebook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2016 to 2019, where he was responsible for building the deep learning-based platform for Facebook Applied Machine Learning. Prior to that, Dr. Ning worked as a software engineer at Google from 2010 to 2016, where he led the development of large-scale machine learning system in Google Play. Dr. Ning received his bachelor’s degree in Computer Science from the University of Science and Technology of</w:t>
      </w:r>
    </w:p>
    <w:p>
      <w:pPr>
        <w:spacing w:after="0" w:line="11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060"/>
          </w:cols>
          <w:pgMar w:left="320" w:top="455" w:right="51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China in 2000, master’s degree in Computer Science from the Chinese Academy of Sciences in 2003, and Ph.D. in Electrical and Computer Engineering from the University of Illinois at Urbana-Champaign in 2008.</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21" w:lineRule="exact"/>
        <w:rPr>
          <w:sz w:val="20"/>
          <w:szCs w:val="20"/>
          <w:color w:val="auto"/>
        </w:rPr>
      </w:pPr>
    </w:p>
    <w:p>
      <w:pPr>
        <w:ind w:left="560"/>
        <w:spacing w:after="0"/>
        <w:tabs>
          <w:tab w:leader="none" w:pos="4020" w:val="left"/>
        </w:tabs>
        <w:rPr>
          <w:sz w:val="20"/>
          <w:szCs w:val="20"/>
          <w:color w:val="auto"/>
        </w:rPr>
      </w:pPr>
      <w:r>
        <w:rPr>
          <w:rFonts w:ascii="Times New Roman" w:cs="Times New Roman" w:eastAsia="Times New Roman" w:hAnsi="Times New Roman"/>
          <w:sz w:val="18"/>
          <w:szCs w:val="18"/>
          <w:color w:val="auto"/>
        </w:rPr>
        <w:t>Our board of directors will consist of</w:t>
      </w:r>
      <w:r>
        <w:rPr>
          <w:sz w:val="20"/>
          <w:szCs w:val="20"/>
          <w:color w:val="auto"/>
        </w:rPr>
        <w:tab/>
      </w:r>
      <w:r>
        <w:rPr>
          <w:rFonts w:ascii="Times New Roman" w:cs="Times New Roman" w:eastAsia="Times New Roman" w:hAnsi="Times New Roman"/>
          <w:sz w:val="17"/>
          <w:szCs w:val="17"/>
          <w:color w:val="auto"/>
        </w:rPr>
        <w:t>directors upon the SEC’s declaration of effectiveness of our registration statement on Form F-1 of</w:t>
      </w:r>
    </w:p>
    <w:p>
      <w:pPr>
        <w:spacing w:after="0" w:line="27" w:lineRule="exact"/>
        <w:rPr>
          <w:sz w:val="20"/>
          <w:szCs w:val="20"/>
          <w:color w:val="auto"/>
        </w:rPr>
      </w:pPr>
    </w:p>
    <w:p>
      <w:pPr>
        <w:ind w:left="120" w:right="20"/>
        <w:spacing w:after="0" w:line="251" w:lineRule="auto"/>
        <w:rPr>
          <w:sz w:val="20"/>
          <w:szCs w:val="20"/>
          <w:color w:val="auto"/>
        </w:rPr>
      </w:pPr>
      <w:r>
        <w:rPr>
          <w:rFonts w:ascii="Times New Roman" w:cs="Times New Roman" w:eastAsia="Times New Roman" w:hAnsi="Times New Roman"/>
          <w:sz w:val="18"/>
          <w:szCs w:val="18"/>
          <w:color w:val="auto"/>
        </w:rPr>
        <w:t>which this prospectus is a part. A director is not required to hold any shares in our company by way of qualification. A director who is in any way, whether directly or indirectly, interested in a contract or transaction or proposed contract or transaction with our company is required to declare the nature of his or her interest at a meeting of our directors. A director may vote with respect to any contract or transaction, or proposed contract or transaction, notwithstanding that he or she may be interested therein, and if he or she does so his or her vote shall be counted and he or she may be counted in the quorum at any meeting of our directors at which any such contract or transaction or proposed contract or transaction is considered. Our directors may exercise all the powers of our company to raise or borrow money, and to mortgage or charge its undertaking, property and assets (present and future) and uncalled capital or any part thereof, and to issue debentures debenture stock, bonds or other securities, whether outright or as collateral security for any debt, liability or obligation of our company or of any third-party. None of our non-executive directors has a service contract with us that provides for benefits upon termination of service.</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21"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will establish three committees under the board of directors immediately upon the effectiveness of our registration statement on Form F-1 of which this prospectus is a part: an audit committee, a compensation committee and a nominating and corporate governance committee. We will adopt a charter for each of the three committees. Each committee’s members and functions are described below.</w:t>
      </w:r>
    </w:p>
    <w:p>
      <w:pPr>
        <w:spacing w:after="0" w:line="174" w:lineRule="exact"/>
        <w:rPr>
          <w:sz w:val="20"/>
          <w:szCs w:val="20"/>
          <w:color w:val="auto"/>
        </w:rPr>
      </w:pPr>
    </w:p>
    <w:p>
      <w:pPr>
        <w:ind w:left="120" w:right="140" w:firstLine="440"/>
        <w:spacing w:after="0" w:line="262" w:lineRule="auto"/>
        <w:rPr>
          <w:sz w:val="20"/>
          <w:szCs w:val="20"/>
          <w:color w:val="auto"/>
        </w:rPr>
      </w:pPr>
      <w:r>
        <w:rPr>
          <w:rFonts w:ascii="Times New Roman" w:cs="Times New Roman" w:eastAsia="Times New Roman" w:hAnsi="Times New Roman"/>
          <w:sz w:val="18"/>
          <w:szCs w:val="18"/>
          <w:i w:val="1"/>
          <w:iCs w:val="1"/>
          <w:color w:val="auto"/>
        </w:rPr>
        <w:t>Audit Committee</w:t>
      </w:r>
      <w:r>
        <w:rPr>
          <w:rFonts w:ascii="Times New Roman" w:cs="Times New Roman" w:eastAsia="Times New Roman" w:hAnsi="Times New Roman"/>
          <w:sz w:val="18"/>
          <w:szCs w:val="18"/>
          <w:color w:val="auto"/>
        </w:rPr>
        <w:t>. Our audit committee will consist of , and . will be the chairperson of our audit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We have determined that and satisfy the “independence” requirements of [Section 303A of the Corporate Governance</w:t>
      </w:r>
    </w:p>
    <w:p>
      <w:pPr>
        <w:ind w:left="120"/>
        <w:spacing w:after="0"/>
        <w:rPr>
          <w:sz w:val="20"/>
          <w:szCs w:val="20"/>
          <w:color w:val="auto"/>
        </w:rPr>
      </w:pPr>
      <w:r>
        <w:rPr>
          <w:rFonts w:ascii="Times New Roman" w:cs="Times New Roman" w:eastAsia="Times New Roman" w:hAnsi="Times New Roman"/>
          <w:sz w:val="17"/>
          <w:szCs w:val="17"/>
          <w:color w:val="auto"/>
        </w:rPr>
        <w:t>Rules of the New York Stock Exchange/Rule 5605(a)(2) of the Listing Rules of the Nasdaq Stock Market] and Rule 10A-3 under the Exchange Act. We</w:t>
      </w:r>
    </w:p>
    <w:p>
      <w:pPr>
        <w:spacing w:after="0" w:line="21" w:lineRule="exact"/>
        <w:rPr>
          <w:sz w:val="20"/>
          <w:szCs w:val="20"/>
          <w:color w:val="auto"/>
        </w:rPr>
      </w:pPr>
    </w:p>
    <w:p>
      <w:pPr>
        <w:ind w:left="120" w:right="540"/>
        <w:spacing w:after="0" w:line="260" w:lineRule="auto"/>
        <w:rPr>
          <w:sz w:val="20"/>
          <w:szCs w:val="20"/>
          <w:color w:val="auto"/>
        </w:rPr>
      </w:pPr>
      <w:r>
        <w:rPr>
          <w:rFonts w:ascii="Times New Roman" w:cs="Times New Roman" w:eastAsia="Times New Roman" w:hAnsi="Times New Roman"/>
          <w:sz w:val="18"/>
          <w:szCs w:val="18"/>
          <w:color w:val="auto"/>
        </w:rPr>
        <w:t>have determined that qualifies as an “audit committee financial expert.” The audit committee will oversee our accounting and financial reporting processes and the audits of the financial statements of our company. The audit committee will be responsible for, among other things:</w:t>
      </w:r>
    </w:p>
    <w:p>
      <w:pPr>
        <w:spacing w:after="0" w:line="87" w:lineRule="exact"/>
        <w:rPr>
          <w:sz w:val="20"/>
          <w:szCs w:val="20"/>
          <w:color w:val="auto"/>
        </w:rPr>
      </w:pPr>
    </w:p>
    <w:p>
      <w:pPr>
        <w:ind w:left="1080" w:right="880" w:hanging="424"/>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the independent auditors and pre-approving all auditing and non-auditing services permitted to be performed by the independent auditors;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auditors any audit problems or difficulties and management’s response;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annual audited financial statements with management and the independent auditors;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our accounting and internal control policies and procedures and any steps taken to monitor and control major financial risk exposures;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proposed related party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separately and periodically with management and the independent auditors; and</w:t>
      </w:r>
    </w:p>
    <w:p>
      <w:pPr>
        <w:spacing w:after="0" w:line="130" w:lineRule="exact"/>
        <w:rPr>
          <w:rFonts w:ascii="Times New Roman" w:cs="Times New Roman" w:eastAsia="Times New Roman" w:hAnsi="Times New Roman"/>
          <w:sz w:val="18"/>
          <w:szCs w:val="18"/>
          <w:color w:val="auto"/>
        </w:rPr>
      </w:pPr>
    </w:p>
    <w:p>
      <w:pPr>
        <w:ind w:left="1080" w:right="780" w:hanging="424"/>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compliance with our code of business conduct and ethics, including reviewing the adequacy and effectiveness of our procedures to ensure proper compliance.</w:t>
      </w:r>
    </w:p>
    <w:p>
      <w:pPr>
        <w:spacing w:after="0" w:line="160" w:lineRule="exact"/>
        <w:rPr>
          <w:sz w:val="20"/>
          <w:szCs w:val="20"/>
          <w:color w:val="auto"/>
        </w:rPr>
      </w:pPr>
    </w:p>
    <w:p>
      <w:pPr>
        <w:ind w:left="120" w:right="100" w:firstLine="440"/>
        <w:spacing w:after="0" w:line="262" w:lineRule="auto"/>
        <w:rPr>
          <w:sz w:val="20"/>
          <w:szCs w:val="20"/>
          <w:color w:val="auto"/>
        </w:rPr>
      </w:pPr>
      <w:r>
        <w:rPr>
          <w:rFonts w:ascii="Times New Roman" w:cs="Times New Roman" w:eastAsia="Times New Roman" w:hAnsi="Times New Roman"/>
          <w:sz w:val="18"/>
          <w:szCs w:val="18"/>
          <w:i w:val="1"/>
          <w:iCs w:val="1"/>
          <w:color w:val="auto"/>
        </w:rPr>
        <w:t>Compensation Committee</w:t>
      </w:r>
      <w:r>
        <w:rPr>
          <w:rFonts w:ascii="Times New Roman" w:cs="Times New Roman" w:eastAsia="Times New Roman" w:hAnsi="Times New Roman"/>
          <w:sz w:val="18"/>
          <w:szCs w:val="18"/>
          <w:color w:val="auto"/>
        </w:rPr>
        <w:t>. Our compensation committee will consist of , and . will be the chairperson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compensation committee. We have determined that and satisfy the “independence” requirements of [Section 303A of the</w:t>
      </w:r>
    </w:p>
    <w:p>
      <w:pPr>
        <w:jc w:val="center"/>
        <w:ind w:right="120"/>
        <w:spacing w:after="0" w:line="433" w:lineRule="auto"/>
        <w:rPr>
          <w:sz w:val="20"/>
          <w:szCs w:val="20"/>
          <w:color w:val="auto"/>
        </w:rPr>
      </w:pPr>
      <w:r>
        <w:rPr>
          <w:rFonts w:ascii="Times New Roman" w:cs="Times New Roman" w:eastAsia="Times New Roman" w:hAnsi="Times New Roman"/>
          <w:sz w:val="18"/>
          <w:szCs w:val="18"/>
          <w:color w:val="auto"/>
        </w:rPr>
        <w:t>Corporate Governance Rules of the New York Stock Exchange/Rule 5605(a)(2) of the Listing Rules of the Nasdaq Stock Market]. The compensation 187</w:t>
      </w:r>
    </w:p>
    <w:p>
      <w:pPr>
        <w:sectPr>
          <w:pgSz w:w="11900" w:h="16838" w:orient="portrait"/>
          <w:cols w:equalWidth="0" w:num="1">
            <w:col w:w="11100"/>
          </w:cols>
          <w:pgMar w:left="320" w:top="455" w:right="47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committee will assist the board in reviewing and approving the compensation structure, including all forms of compensation, relating to our directors and executive officers. Our chief executive officer may not be present at any committee meeting during which his compensation is deliberated. The compensation committee will be responsible for, among other things:</w:t>
      </w:r>
    </w:p>
    <w:p>
      <w:pPr>
        <w:spacing w:after="0" w:line="81" w:lineRule="exact"/>
        <w:rPr>
          <w:sz w:val="20"/>
          <w:szCs w:val="20"/>
          <w:color w:val="auto"/>
        </w:rPr>
      </w:pPr>
    </w:p>
    <w:p>
      <w:pPr>
        <w:ind w:left="1080" w:right="540" w:hanging="424"/>
        <w:spacing w:after="0" w:line="282"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to the board for its approval, the compensation for our chief executive officer and other executive officers;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for determination with respect to the compensation of our non-employee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periodically and approving any incentive compensation or equity plans, programs or similar arrangements; and</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 compensation consultant, legal counsel or other adviser only after taking into consideration all factors relevant to that person’s independence from management.</w:t>
      </w:r>
    </w:p>
    <w:p>
      <w:pPr>
        <w:sectPr>
          <w:pgSz w:w="11900" w:h="16838" w:orient="portrait"/>
          <w:cols w:equalWidth="0" w:num="1">
            <w:col w:w="11120"/>
          </w:cols>
          <w:pgMar w:left="320" w:top="455" w:right="459" w:bottom="1440" w:gutter="0" w:footer="0" w:header="0"/>
        </w:sectPr>
      </w:pPr>
    </w:p>
    <w:p>
      <w:pPr>
        <w:spacing w:after="0" w:line="160" w:lineRule="exact"/>
        <w:rPr>
          <w:sz w:val="20"/>
          <w:szCs w:val="20"/>
          <w:color w:val="auto"/>
        </w:rPr>
      </w:pPr>
    </w:p>
    <w:p>
      <w:pPr>
        <w:ind w:left="560"/>
        <w:spacing w:after="0"/>
        <w:tabs>
          <w:tab w:leader="none" w:pos="10020" w:val="left"/>
        </w:tabs>
        <w:rPr>
          <w:sz w:val="20"/>
          <w:szCs w:val="20"/>
          <w:color w:val="auto"/>
        </w:rPr>
      </w:pPr>
      <w:r>
        <w:rPr>
          <w:rFonts w:ascii="Times New Roman" w:cs="Times New Roman" w:eastAsia="Times New Roman" w:hAnsi="Times New Roman"/>
          <w:sz w:val="18"/>
          <w:szCs w:val="18"/>
          <w:i w:val="1"/>
          <w:iCs w:val="1"/>
          <w:color w:val="auto"/>
        </w:rPr>
        <w:t>Nominating and Corporate Governance Committee</w:t>
      </w:r>
      <w:r>
        <w:rPr>
          <w:rFonts w:ascii="Times New Roman" w:cs="Times New Roman" w:eastAsia="Times New Roman" w:hAnsi="Times New Roman"/>
          <w:sz w:val="18"/>
          <w:szCs w:val="18"/>
          <w:color w:val="auto"/>
        </w:rPr>
        <w:t>. Our nominating and corporate governance committee will consist of</w:t>
      </w:r>
      <w:r>
        <w:rPr>
          <w:sz w:val="20"/>
          <w:szCs w:val="20"/>
          <w:color w:val="auto"/>
        </w:rPr>
        <w:tab/>
      </w:r>
      <w:r>
        <w:rPr>
          <w:rFonts w:ascii="Times New Roman" w:cs="Times New Roman" w:eastAsia="Times New Roman" w:hAnsi="Times New Roman"/>
          <w:sz w:val="16"/>
          <w:szCs w:val="16"/>
          <w:color w:val="auto"/>
        </w:rPr>
        <w:t>,</w:t>
      </w:r>
    </w:p>
    <w:p>
      <w:pPr>
        <w:spacing w:after="0" w:line="29" w:lineRule="exact"/>
        <w:rPr>
          <w:sz w:val="20"/>
          <w:szCs w:val="20"/>
          <w:color w:val="auto"/>
        </w:rPr>
      </w:pPr>
    </w:p>
    <w:p>
      <w:pPr>
        <w:ind w:left="840"/>
        <w:spacing w:after="0"/>
        <w:tabs>
          <w:tab w:leader="none" w:pos="1620" w:val="left"/>
          <w:tab w:leader="none" w:pos="99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will be the chairperson of our nominating and corporate governance committee. We have determined that</w:t>
      </w:r>
      <w:r>
        <w:rPr>
          <w:sz w:val="20"/>
          <w:szCs w:val="20"/>
          <w:color w:val="auto"/>
        </w:rPr>
        <w:tab/>
      </w:r>
      <w:r>
        <w:rPr>
          <w:rFonts w:ascii="Times New Roman" w:cs="Times New Roman" w:eastAsia="Times New Roman" w:hAnsi="Times New Roman"/>
          <w:sz w:val="18"/>
          <w:szCs w:val="18"/>
          <w:color w:val="auto"/>
        </w:rPr>
        <w:t>and</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43" w:lineRule="exact"/>
        <w:rPr>
          <w:sz w:val="20"/>
          <w:szCs w:val="20"/>
          <w:color w:val="auto"/>
        </w:rPr>
      </w:pPr>
    </w:p>
    <w:p>
      <w:pPr>
        <w:sectPr>
          <w:pgSz w:w="11900" w:h="16838" w:orient="portrait"/>
          <w:cols w:equalWidth="0" w:num="2">
            <w:col w:w="10240" w:space="600"/>
            <w:col w:w="280"/>
          </w:cols>
          <w:pgMar w:left="320" w:top="455" w:right="459" w:bottom="1440" w:gutter="0" w:footer="0" w:header="0"/>
          <w:type w:val="continuous"/>
        </w:sect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satisfy the “independence” requirements of [Section 303A of the Corporate Governance Rules of the New York Stock Exchange/ Rule 5605(a)(2) of the Listing Rules of the Nasdaq Stock Market]. The nominating and corporate governance committee will assist the board of directors in selecting individuals qualified to become our directors and in determining the composition of the board and its committees. The nominating and corporate governance committee will be responsible for, among other things:</w:t>
      </w:r>
    </w:p>
    <w:p>
      <w:pPr>
        <w:spacing w:after="0" w:line="94" w:lineRule="exact"/>
        <w:rPr>
          <w:sz w:val="20"/>
          <w:szCs w:val="20"/>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recommending to the board nominees for election by the shareholders or appointment by the board;</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annually with the board the current composition of the board with regards to characteristics such as independence, knowledge, skills, experience and diversity;</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on the frequency and structure of board meetings and monitoring the functioning of the committees of the board; and</w:t>
      </w:r>
    </w:p>
    <w:p>
      <w:pPr>
        <w:spacing w:after="0" w:line="67"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board periodically with regards to significant developments in the law and practice of corporate governance as well as our compliance with applicable laws and regulations, and making recommendations to the board on all matters of corporate governance and on any remedial action to be taken.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Duties of Directors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Under Cayman Islands law, our directors owe fiduciary duties to our company, including a duty of loyalty, a duty to act honestly, and a duty to act in what they consider in good faith to be in our best interests. Our directors must also exercise their powers only for a proper purpose. Our directors also owe to our company a duty to act with skill and care.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as amended and restated from time to time. We have the right to seek damages if a duty owed by our directors is breached. In certain limited exceptional circumstances, a shareholder may have the right to seek damages in our name if a duty owed by the directors is breached.</w:t>
      </w:r>
    </w:p>
    <w:p>
      <w:pPr>
        <w:spacing w:after="0" w:line="192"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Our board of directors has all the powers necessary for managing, and for directing and supervising, our business affairs. The functions and powers of our board of directors include, among others:</w:t>
      </w:r>
    </w:p>
    <w:p>
      <w:pPr>
        <w:spacing w:after="0" w:line="67" w:lineRule="exact"/>
        <w:rPr>
          <w:sz w:val="20"/>
          <w:szCs w:val="20"/>
          <w:color w:val="auto"/>
        </w:rPr>
      </w:pPr>
    </w:p>
    <w:p>
      <w:pPr>
        <w:ind w:left="5480" w:right="5100" w:hanging="4824"/>
        <w:spacing w:after="0" w:line="454" w:lineRule="auto"/>
        <w:tabs>
          <w:tab w:leader="none" w:pos="107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convening shareholders’ annual and extraordinary general meetings; 188</w:t>
      </w:r>
    </w:p>
    <w:p>
      <w:pPr>
        <w:sectPr>
          <w:pgSz w:w="11900" w:h="16838" w:orient="portrait"/>
          <w:cols w:equalWidth="0" w:num="1">
            <w:col w:w="11120"/>
          </w:cols>
          <w:pgMar w:left="320" w:top="455" w:right="459" w:bottom="1440" w:gutter="0" w:footer="0" w:header="0"/>
          <w:type w:val="continuous"/>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declaring dividends and distributions;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officers and determining the term of office of the officers;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the borrowing powers of our company and mortgaging the property of our company;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transfer of shares in our company, including the registration of such shares in our register of members.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Terms of Directors and Officers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directors may be appointed by an ordinary resolution of our shareholders. Alternatively, our board of directors may, by the affirmative vote of a simple majority of the directors present and voting at a board meeting appoint any person as a director to fill a casual vacancy on our board or as an addition to the existing board. Our directors are not automatically subject to a term of office and hold office until such time as their office is vacated or where they are removed from office by an ordinary resolution of our shareholders. The service of our independent directors may be terminated by the director or by us with a 30-day advance written notice or such other shorter period of notice as mutually agreed. In addition, a director will cease to be a director if, among other things, the director (i) becomes bankrupt or makes any arrangement or composition with his or her creditors; (ii) dies or is found to be or becomes of unsound mind; (iii) resigns his or her office by notice in writing to our company, or (iv) without special leave of absence from our board, is absent from three consecutive board meetings and our directors resolve that his or her office be vacated; or (v) is removed from office pursuant to any other provision of our articles of association.</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officers are appointed by and serve at the discretion of the board of directors, and may be removed by our board of directors.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12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executive officers. Under these agreements, each of our executive officers is employed for a specified time period. We may terminate employment for cause, at any time, for certain acts of the executive officer, such as continued failure to satisfactorily perform, willful misconduct or gross negligence in the performance of agreed duties, conviction or entry of a guilty or nolo contendere plea of any felony or any misdemeanor involving moral turpitude, or dishonest act that results in material detriment to us. We may also terminate an executive officer’s employment without cause upon 60-day advance written notice. In such case of termination by us, we will provide severance payments to the executive officer as may be agreed between the executive officer and us. The executive officer may resign at any time with a 60-day advance written notice.</w:t>
      </w:r>
    </w:p>
    <w:p>
      <w:pPr>
        <w:spacing w:after="0" w:line="18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Each executive officer has agreed to hold, both during and after the termination or expiry of his or her employment agreement, in strict confidence and not to use, except as required in the performance of his or her duties in connection with the employment or pursuant to applicable law, any of our confidential information or trade secrets, any confidential information or trade secrets of our clients or prospective clients, or the confidential or proprietary information of any third-party received by us and for which we have confidential obligations. The executive officers have also agreed to disclose in confidence to us all inventions, designs and trade secrets which they conceive, develop or reduce to practice during the executive officer’s employment with us and to assign all right, title and interest in them to us, and assist us in obtaining and enforcing patents, copyrights and other legal rights for these inventions, designs and trade secrets.</w:t>
      </w:r>
    </w:p>
    <w:p>
      <w:pPr>
        <w:spacing w:after="0" w:line="189"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In addition, each executive officer has agreed to be bound by non-competition and non-solicitation restrictions during the term of his or her employment and typically for [two years] following the last date of employment. Specifically, each executive officer has agreed not to (i) solicit from any customer doing business with us during the effective term of the employment agreement business of the same or of a similar nature to our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120"/>
          </w:cols>
          <w:pgMar w:left="320" w:top="455" w:right="45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business; (ii) solicit from any of our known potential customer business of the same or of a similar nature to that which has been the subject of our known written or oral bid, offer or proposal, or of substantial preparation with a view to making such a bid, proposal or offer; (iii) solicit the employment or services of, or hire or engage, any person who is known to be employed or engaged by us; or (iv) otherwise interfere with our business or accounts, including, but not limited to, with respect to any relationship or agreement between any vendor or supplier and us.</w:t>
      </w:r>
    </w:p>
    <w:p>
      <w:pPr>
        <w:spacing w:after="0" w:line="180"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We have also entered into indemnification agreements with each of our directors and executive officers. Under these agreements, we agree to indemnify our directors and executive officers against certain liabilities and expenses incurred by such persons in connection with claims made by reason of their being a director or officer of our company.]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of Directors and Executive Officers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For the fiscal year ended December 31, 2021, we paid an aggregate of RMB25.1 million (US$3.7 million) in cash to our executive officers, and we did not pay any compensation to our directors who are not our executive officers. We have not set aside or accrued any amount to provide pension, retirement or other similar benefits to our directors and executive officers. Our mainland China subsidiaries are required by law to make contributions equal to certain percentages of each employee’s salary for his or her pension insurance, medical insurance, unemployment insurance and other statutory benefits and a housing provident fund.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 Incentive Plan</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June 2018, our shareholders and board of directors approved the 2018 Share Plan, which was amended and restated from time to time by the shareholders of our company, in order to attract, incentivize and retain employees, outside directors and consultants of our company and to promote the success of our business. The maximum aggregate number of ordinary shares that may be issued under the 2018 Share Plan is 394,406,107 shares. As of the date of this prospectus, 194,085,796 restricted share units and options to purchase a total of 104,108,581 ordinary shares under the 2018 Share Plan have been granted and remain outstanding.</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paragraphs summarize the principal terms of the 2018 Share Plan.</w:t>
      </w:r>
    </w:p>
    <w:p>
      <w:pPr>
        <w:spacing w:after="0" w:line="223" w:lineRule="exact"/>
        <w:rPr>
          <w:sz w:val="20"/>
          <w:szCs w:val="20"/>
          <w:color w:val="auto"/>
        </w:rPr>
      </w:pPr>
    </w:p>
    <w:p>
      <w:pPr>
        <w:ind w:left="120" w:right="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Type of Awards. </w:t>
      </w:r>
      <w:r>
        <w:rPr>
          <w:rFonts w:ascii="Times New Roman" w:cs="Times New Roman" w:eastAsia="Times New Roman" w:hAnsi="Times New Roman"/>
          <w:sz w:val="18"/>
          <w:szCs w:val="18"/>
          <w:color w:val="auto"/>
        </w:rPr>
        <w:t>The 2018 Share Plan provides for the direct award or sale of shares, the grant of options to purchase shares and the grant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share units to acquire shares. Options granted under the plan may be ISOs intended to qualify under Code Section 422 or NSOs which are not intended to so qualify.</w:t>
      </w:r>
    </w:p>
    <w:p>
      <w:pPr>
        <w:spacing w:after="0" w:line="173" w:lineRule="exact"/>
        <w:rPr>
          <w:sz w:val="20"/>
          <w:szCs w:val="20"/>
          <w:color w:val="auto"/>
        </w:rPr>
      </w:pPr>
    </w:p>
    <w:p>
      <w:pPr>
        <w:ind w:left="120" w:right="2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Plan Administration. </w:t>
      </w:r>
      <w:r>
        <w:rPr>
          <w:rFonts w:ascii="Times New Roman" w:cs="Times New Roman" w:eastAsia="Times New Roman" w:hAnsi="Times New Roman"/>
          <w:sz w:val="18"/>
          <w:szCs w:val="18"/>
          <w:color w:val="auto"/>
        </w:rPr>
        <w:t>Our board of directors or one or more committees appointed by the board of directors will administer the plan.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or the board of directors, as applicable, shall have full authority and discretion to take any actions it deems necessary or advisable for the administration of the plan.</w:t>
      </w:r>
    </w:p>
    <w:p>
      <w:pPr>
        <w:spacing w:after="0" w:line="173"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Award Agreement. </w:t>
      </w:r>
      <w:r>
        <w:rPr>
          <w:rFonts w:ascii="Times New Roman" w:cs="Times New Roman" w:eastAsia="Times New Roman" w:hAnsi="Times New Roman"/>
          <w:sz w:val="18"/>
          <w:szCs w:val="18"/>
          <w:color w:val="auto"/>
        </w:rPr>
        <w:t>Each award of shares, each sale of shares, each grant of an option and each grant of restricted share units under the plan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evidenced by a share grant agreement, a share purchase agreement, a share option agreement and restricted share unit agreement, respectively. Such award, sale and option shall be subject to all applicable terms and conditions of the plan and which the board of directors deems appropriate for inclusion in a share grant agreement or share purchase agreement.</w:t>
      </w:r>
    </w:p>
    <w:p>
      <w:pPr>
        <w:spacing w:after="0" w:line="180" w:lineRule="exact"/>
        <w:rPr>
          <w:sz w:val="20"/>
          <w:szCs w:val="20"/>
          <w:color w:val="auto"/>
        </w:rPr>
      </w:pPr>
    </w:p>
    <w:p>
      <w:pPr>
        <w:ind w:left="120" w:right="2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Eligibility. </w:t>
      </w:r>
      <w:r>
        <w:rPr>
          <w:rFonts w:ascii="Times New Roman" w:cs="Times New Roman" w:eastAsia="Times New Roman" w:hAnsi="Times New Roman"/>
          <w:sz w:val="18"/>
          <w:szCs w:val="18"/>
          <w:color w:val="auto"/>
        </w:rPr>
        <w:t>Our employees, outside directors and consultants are eligible for the grant of awards under the plan, while only employees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eligible for the grant ISOs.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Vesting Schedule. </w:t>
      </w:r>
      <w:r>
        <w:rPr>
          <w:rFonts w:ascii="Times New Roman" w:cs="Times New Roman" w:eastAsia="Times New Roman" w:hAnsi="Times New Roman"/>
          <w:sz w:val="18"/>
          <w:szCs w:val="18"/>
          <w:color w:val="auto"/>
        </w:rPr>
        <w:t>In general, the plan administrator determines the vesting schedule, which is specified in the relevant share option agreement.</w:t>
      </w:r>
    </w:p>
    <w:p>
      <w:pPr>
        <w:spacing w:after="0" w:line="225" w:lineRule="exact"/>
        <w:rPr>
          <w:sz w:val="20"/>
          <w:szCs w:val="20"/>
          <w:color w:val="auto"/>
        </w:rPr>
      </w:pPr>
    </w:p>
    <w:p>
      <w:pPr>
        <w:ind w:left="120" w:right="6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Exercise of Awards. </w:t>
      </w:r>
      <w:r>
        <w:rPr>
          <w:rFonts w:ascii="Times New Roman" w:cs="Times New Roman" w:eastAsia="Times New Roman" w:hAnsi="Times New Roman"/>
          <w:sz w:val="18"/>
          <w:szCs w:val="18"/>
          <w:color w:val="auto"/>
        </w:rPr>
        <w:t>The plan administrator determines the exercise or purchase price, as applicable, for shares to be offered or options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share units to be granted, which is specified in the relevant award agreement.</w:t>
      </w:r>
    </w:p>
    <w:p>
      <w:pPr>
        <w:spacing w:after="0" w:line="9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040"/>
          </w:cols>
          <w:pgMar w:left="320" w:top="455" w:right="5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Transfer Restrictions. </w:t>
      </w:r>
      <w:r>
        <w:rPr>
          <w:rFonts w:ascii="Times New Roman" w:cs="Times New Roman" w:eastAsia="Times New Roman" w:hAnsi="Times New Roman"/>
          <w:sz w:val="18"/>
          <w:szCs w:val="18"/>
          <w:color w:val="auto"/>
        </w:rPr>
        <w:t>Awards may not be transferred in any manner by the participant other than in accordance with the exceptions provided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plan or the relevant award agreement or otherwise determined by the plan administrator, such as transfers by a beneficiary designation, by will or the laws of descent and distribution.</w:t>
      </w:r>
    </w:p>
    <w:p>
      <w:pPr>
        <w:spacing w:after="0" w:line="173"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Termination and Amendment. </w:t>
      </w:r>
      <w:r>
        <w:rPr>
          <w:rFonts w:ascii="Times New Roman" w:cs="Times New Roman" w:eastAsia="Times New Roman" w:hAnsi="Times New Roman"/>
          <w:sz w:val="18"/>
          <w:szCs w:val="18"/>
          <w:color w:val="auto"/>
        </w:rPr>
        <w:t>Unless terminated earlier, the plan has a term of ten years after the later of (i) the date when the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adopted the plan or (ii) the date when the board of directors and company’s shareholders approved the most recent increase in the number of shares reserved. Our board of directors has the authority amend, suspend, or terminate the plan at any time and for any reason. Any amendment to the plan, however, is subject to the company’s shareholder approval only to the extent required to comply with applicable laws, regulations and rules.</w:t>
      </w:r>
    </w:p>
    <w:p>
      <w:pPr>
        <w:spacing w:after="0" w:line="182"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On November 4, 2022, we granted (i) options to purchase 22,662,519 ordinary shares to Dr. Tony Xu Han; (ii) options to purchase 7,554,173 ordinary shares to Dr. Yan Li; and (iii) options to purchase 3,777,087 ordinary shares to Dr. Hua Zhong. These options are with exercise price at US$1.24 per share, and will expire on November 3, 2032.</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October 10, 2021, we granted Li Zhang certain options with exercise price at US$1.03 per share. The options will expire on October 9, 2031.</w:t>
      </w:r>
    </w:p>
    <w:p>
      <w:pPr>
        <w:spacing w:after="0" w:line="225"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From February 5, 2021 to November 4, 2022, we granted Jennifer Xuan Li options to purchase 11,163,257 ordinary shares with exercise price ranging from US$0.464 to US$1.24 per share. The options will expire on various dates from February 4, 2031 to November 3, 2032.</w:t>
      </w:r>
    </w:p>
    <w:p>
      <w:pPr>
        <w:spacing w:after="0" w:line="162"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On February 11, 2020 and October 25, 2021, we granted Dr. Huazhong Ning certain options with exercise price ranging from US$0.464 to US$0.55 per share. The options will expire on February 1, 2030 and October 24, 2031.</w:t>
      </w:r>
    </w:p>
    <w:p>
      <w:pPr>
        <w:spacing w:after="0" w:line="162"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On October 25, 2021, we granted Dr. Qingxiong Yang certain options with exercise price at US$0.55 per share. The options will expire on October 14, 2031.</w:t>
      </w:r>
    </w:p>
    <w:p>
      <w:pPr>
        <w:spacing w:after="0" w:line="162"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On June 13, 2018, we granted (i) 50,000,000 restricted share units to Dr. Tony Xu Han; (ii) 49,687,100 restricted share units to Dr. Yan Li; and (iii) 26,307,050 restricted share units to Dr. Hua Zhong.</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June 13, 2018 and May 30, 2019, respectively, we granted certain restricted share units to Li Zhang and Dr. Huazhong Ning, respectively.</w:t>
      </w:r>
    </w:p>
    <w:p>
      <w:pPr>
        <w:spacing w:after="0" w:line="225"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As of the date of this prospectus, other employees and consultants as a group hold options to purchase a total of 54,265,855 ordinary shares of our company and 63,433,366 restricted share units.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100"/>
          </w:cols>
          <w:pgMar w:left="320" w:top="455" w:right="47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PRINCIPAL [AND SELLING] SHAREHOLDERS</w:t>
      </w:r>
    </w:p>
    <w:p>
      <w:pPr>
        <w:spacing w:after="0" w:line="229"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Except as specifically noted, the following table sets forth information with respect to the beneficial ownership of our ordinary shares on an as-converted basis as of the date of this prospectus by:</w:t>
      </w:r>
    </w:p>
    <w:p>
      <w:pPr>
        <w:spacing w:after="0" w:line="67" w:lineRule="exact"/>
        <w:rPr>
          <w:sz w:val="20"/>
          <w:szCs w:val="20"/>
          <w:color w:val="auto"/>
        </w:rPr>
      </w:pPr>
    </w:p>
    <w:p>
      <w:pPr>
        <w:ind w:left="1080" w:hanging="424"/>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us to own beneficially 5% or more of our total outstanding ordinary shares;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selling shareholder.]</w:t>
      </w:r>
    </w:p>
    <w:p>
      <w:pPr>
        <w:spacing w:after="0" w:line="225" w:lineRule="exact"/>
        <w:rPr>
          <w:sz w:val="20"/>
          <w:szCs w:val="20"/>
          <w:color w:val="auto"/>
        </w:rPr>
      </w:pPr>
    </w:p>
    <w:p>
      <w:pPr>
        <w:ind w:left="120" w:right="360" w:firstLine="440"/>
        <w:spacing w:after="0" w:line="272" w:lineRule="auto"/>
        <w:rPr>
          <w:sz w:val="20"/>
          <w:szCs w:val="20"/>
          <w:color w:val="auto"/>
        </w:rPr>
      </w:pPr>
      <w:r>
        <w:rPr>
          <w:rFonts w:ascii="Times New Roman" w:cs="Times New Roman" w:eastAsia="Times New Roman" w:hAnsi="Times New Roman"/>
          <w:sz w:val="17"/>
          <w:szCs w:val="17"/>
          <w:color w:val="auto"/>
        </w:rPr>
        <w:t>The calculations in the table below are based on 627,077,956 ordinary shares on an as-converted basis issued and outstanding and 50 golden shares issued and outstanding as of the date of this prospectus (taking into consideration (i) the 99,687,100 ordinary shares to be issued to certain directors of our company pursuant to their vested restricted share units and (ii) the 20,084,781 ordinary shares, on an as-converted basis, that certain</w:t>
      </w:r>
    </w:p>
    <w:p>
      <w:pPr>
        <w:spacing w:after="0" w:line="2"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RMB investors have the right to acquire pursuant to warrants we issued in relation to our offshore reorganization), and Class A ordinary shares and Class B ordinary shares issued and outstanding immediately after the completion of this offering, assuming the underwriters do not exercise their option to purchase additional ADSs.</w:t>
      </w:r>
    </w:p>
    <w:p>
      <w:pPr>
        <w:spacing w:after="0" w:line="186"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100" w:type="dxa"/>
            <w:vAlign w:val="bottom"/>
          </w:tcPr>
          <w:p>
            <w:pPr>
              <w:spacing w:after="0"/>
              <w:rPr>
                <w:sz w:val="15"/>
                <w:szCs w:val="15"/>
                <w:color w:val="auto"/>
              </w:rPr>
            </w:pPr>
          </w:p>
        </w:tc>
        <w:tc>
          <w:tcPr>
            <w:tcW w:w="4200" w:type="dxa"/>
            <w:vAlign w:val="bottom"/>
            <w:gridSpan w:val="8"/>
          </w:tcPr>
          <w:p>
            <w:pPr>
              <w:ind w:left="420"/>
              <w:spacing w:after="0"/>
              <w:rPr>
                <w:sz w:val="20"/>
                <w:szCs w:val="20"/>
                <w:color w:val="auto"/>
              </w:rPr>
            </w:pPr>
            <w:r>
              <w:rPr>
                <w:rFonts w:ascii="Times New Roman" w:cs="Times New Roman" w:eastAsia="Times New Roman" w:hAnsi="Times New Roman"/>
                <w:sz w:val="14"/>
                <w:szCs w:val="14"/>
                <w:b w:val="1"/>
                <w:bCs w:val="1"/>
                <w:color w:val="auto"/>
              </w:rPr>
              <w:t>Shares Beneficially Owned Prior to This Offering</w:t>
            </w:r>
          </w:p>
        </w:tc>
        <w:tc>
          <w:tcPr>
            <w:tcW w:w="4720" w:type="dxa"/>
            <w:vAlign w:val="bottom"/>
            <w:gridSpan w:val="8"/>
          </w:tcPr>
          <w:p>
            <w:pPr>
              <w:ind w:left="500"/>
              <w:spacing w:after="0"/>
              <w:rPr>
                <w:sz w:val="20"/>
                <w:szCs w:val="20"/>
                <w:color w:val="auto"/>
              </w:rPr>
            </w:pPr>
            <w:r>
              <w:rPr>
                <w:rFonts w:ascii="Times New Roman" w:cs="Times New Roman" w:eastAsia="Times New Roman" w:hAnsi="Times New Roman"/>
                <w:sz w:val="14"/>
                <w:szCs w:val="14"/>
                <w:b w:val="1"/>
                <w:bCs w:val="1"/>
                <w:color w:val="auto"/>
              </w:rPr>
              <w:t>Shares Beneficially Owned Immediately After This Offering</w:t>
            </w:r>
          </w:p>
        </w:tc>
        <w:tc>
          <w:tcPr>
            <w:tcW w:w="0" w:type="dxa"/>
            <w:vAlign w:val="bottom"/>
          </w:tcPr>
          <w:p>
            <w:pPr>
              <w:spacing w:after="0"/>
              <w:rPr>
                <w:sz w:val="1"/>
                <w:szCs w:val="1"/>
                <w:color w:val="auto"/>
              </w:rPr>
            </w:pPr>
          </w:p>
        </w:tc>
      </w:tr>
      <w:tr>
        <w:trPr>
          <w:trHeight w:val="117"/>
        </w:trPr>
        <w:tc>
          <w:tcPr>
            <w:tcW w:w="210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 of total</w:t>
            </w:r>
          </w:p>
        </w:tc>
        <w:tc>
          <w:tcPr>
            <w:tcW w:w="6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360" w:type="dxa"/>
            <w:vAlign w:val="bottom"/>
          </w:tcPr>
          <w:p>
            <w:pPr>
              <w:spacing w:after="0"/>
              <w:rPr>
                <w:sz w:val="10"/>
                <w:szCs w:val="10"/>
                <w:color w:val="auto"/>
              </w:rPr>
            </w:pPr>
          </w:p>
        </w:tc>
        <w:tc>
          <w:tcPr>
            <w:tcW w:w="900" w:type="dxa"/>
            <w:vAlign w:val="bottom"/>
            <w:tcBorders>
              <w:top w:val="single" w:sz="8" w:color="auto"/>
            </w:tcBorders>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920" w:type="dxa"/>
            <w:vAlign w:val="bottom"/>
            <w:tcBorders>
              <w:top w:val="single" w:sz="8" w:color="auto"/>
            </w:tcBorders>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8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00" w:type="dxa"/>
            <w:vAlign w:val="bottom"/>
          </w:tcPr>
          <w:p>
            <w:pPr>
              <w:spacing w:after="0"/>
              <w:rPr>
                <w:sz w:val="12"/>
                <w:szCs w:val="12"/>
                <w:color w:val="auto"/>
              </w:rPr>
            </w:pPr>
          </w:p>
        </w:tc>
        <w:tc>
          <w:tcPr>
            <w:tcW w:w="11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Ordinary</w:t>
            </w: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Golden</w:t>
            </w:r>
          </w:p>
        </w:tc>
        <w:tc>
          <w:tcPr>
            <w:tcW w:w="12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shares on an</w:t>
            </w:r>
          </w:p>
        </w:tc>
        <w:tc>
          <w:tcPr>
            <w:tcW w:w="10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90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1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 of total ordinary shares on</w:t>
            </w: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as-converted</w:t>
            </w:r>
          </w:p>
        </w:tc>
        <w:tc>
          <w:tcPr>
            <w:tcW w:w="10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voting</w:t>
            </w:r>
          </w:p>
        </w:tc>
        <w:tc>
          <w:tcPr>
            <w:tcW w:w="9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9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2180" w:type="dxa"/>
            <w:vAlign w:val="bottom"/>
            <w:gridSpan w:val="2"/>
            <w:vMerge w:val="continue"/>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voting</w:t>
            </w:r>
          </w:p>
        </w:tc>
        <w:tc>
          <w:tcPr>
            <w:tcW w:w="0" w:type="dxa"/>
            <w:vAlign w:val="bottom"/>
          </w:tcPr>
          <w:p>
            <w:pPr>
              <w:spacing w:after="0"/>
              <w:rPr>
                <w:sz w:val="1"/>
                <w:szCs w:val="1"/>
                <w:color w:val="auto"/>
              </w:rPr>
            </w:pPr>
          </w:p>
        </w:tc>
      </w:tr>
      <w:tr>
        <w:trPr>
          <w:trHeight w:val="173"/>
        </w:trPr>
        <w:tc>
          <w:tcPr>
            <w:tcW w:w="2100" w:type="dxa"/>
            <w:vAlign w:val="bottom"/>
          </w:tcPr>
          <w:p>
            <w:pPr>
              <w:spacing w:after="0"/>
              <w:rPr>
                <w:sz w:val="15"/>
                <w:szCs w:val="15"/>
                <w:color w:val="auto"/>
              </w:rPr>
            </w:pPr>
          </w:p>
        </w:tc>
        <w:tc>
          <w:tcPr>
            <w:tcW w:w="11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basis</w:t>
            </w: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9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an as-converted basis</w:t>
            </w: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0" w:type="dxa"/>
            <w:vAlign w:val="bottom"/>
          </w:tcPr>
          <w:p>
            <w:pPr>
              <w:spacing w:after="0"/>
              <w:rPr>
                <w:sz w:val="1"/>
                <w:szCs w:val="1"/>
                <w:color w:val="auto"/>
              </w:rPr>
            </w:pPr>
          </w:p>
        </w:tc>
      </w:tr>
      <w:tr>
        <w:trPr>
          <w:trHeight w:val="167"/>
        </w:trPr>
        <w:tc>
          <w:tcPr>
            <w:tcW w:w="2100" w:type="dxa"/>
            <w:vAlign w:val="bottom"/>
            <w:tcBorders>
              <w:top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Directors and Executive</w:t>
            </w:r>
          </w:p>
        </w:tc>
        <w:tc>
          <w:tcPr>
            <w:tcW w:w="82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182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Officers**:</w:t>
            </w: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100" w:type="dxa"/>
            <w:vAlign w:val="bottom"/>
          </w:tcPr>
          <w:p>
            <w:pPr>
              <w:spacing w:after="0" w:line="202" w:lineRule="exact"/>
              <w:rPr>
                <w:sz w:val="20"/>
                <w:szCs w:val="20"/>
                <w:color w:val="auto"/>
              </w:rPr>
            </w:pPr>
            <w:r>
              <w:rPr>
                <w:rFonts w:ascii="Times New Roman" w:cs="Times New Roman" w:eastAsia="Times New Roman" w:hAnsi="Times New Roman"/>
                <w:sz w:val="16"/>
                <w:szCs w:val="16"/>
                <w:color w:val="auto"/>
              </w:rPr>
              <w:t>Tony Xu Han</w:t>
            </w:r>
            <w:r>
              <w:rPr>
                <w:rFonts w:ascii="Times New Roman" w:cs="Times New Roman" w:eastAsia="Times New Roman" w:hAnsi="Times New Roman"/>
                <w:sz w:val="23"/>
                <w:szCs w:val="23"/>
                <w:color w:val="auto"/>
                <w:vertAlign w:val="superscript"/>
              </w:rPr>
              <w:t>(1)</w:t>
            </w: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66,399,550</w:t>
            </w:r>
          </w:p>
        </w:tc>
        <w:tc>
          <w:tcPr>
            <w:tcW w:w="480" w:type="dxa"/>
            <w:vAlign w:val="bottom"/>
          </w:tcPr>
          <w:p>
            <w:pPr>
              <w:ind w:left="320"/>
              <w:spacing w:after="0"/>
              <w:rPr>
                <w:sz w:val="20"/>
                <w:szCs w:val="20"/>
                <w:color w:val="auto"/>
              </w:rPr>
            </w:pPr>
            <w:r>
              <w:rPr>
                <w:rFonts w:ascii="Times New Roman" w:cs="Times New Roman" w:eastAsia="Times New Roman" w:hAnsi="Times New Roman"/>
                <w:sz w:val="16"/>
                <w:szCs w:val="16"/>
                <w:color w:val="auto"/>
                <w:w w:val="87"/>
              </w:rPr>
              <w:t>40</w:t>
            </w:r>
          </w:p>
        </w:tc>
        <w:tc>
          <w:tcPr>
            <w:tcW w:w="340" w:type="dxa"/>
            <w:vAlign w:val="bottom"/>
          </w:tcPr>
          <w:p>
            <w:pPr>
              <w:spacing w:after="0"/>
              <w:rPr>
                <w:sz w:val="17"/>
                <w:szCs w:val="17"/>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9.1</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6"/>
                <w:szCs w:val="16"/>
                <w:color w:val="auto"/>
              </w:rPr>
              <w:t>Yan Li</w:t>
            </w:r>
            <w:r>
              <w:rPr>
                <w:rFonts w:ascii="Times New Roman" w:cs="Times New Roman" w:eastAsia="Times New Roman" w:hAnsi="Times New Roman"/>
                <w:sz w:val="23"/>
                <w:szCs w:val="23"/>
                <w:color w:val="auto"/>
                <w:vertAlign w:val="superscript"/>
              </w:rPr>
              <w:t>(2)</w:t>
            </w: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65,687,100</w:t>
            </w:r>
          </w:p>
        </w:tc>
        <w:tc>
          <w:tcPr>
            <w:tcW w:w="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w w:val="87"/>
              </w:rPr>
              <w:t>10</w:t>
            </w:r>
          </w:p>
        </w:tc>
        <w:tc>
          <w:tcPr>
            <w:tcW w:w="3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9.0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3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00" w:type="dxa"/>
            <w:vAlign w:val="bottom"/>
          </w:tcPr>
          <w:p>
            <w:pPr>
              <w:spacing w:after="0" w:line="202" w:lineRule="exact"/>
              <w:rPr>
                <w:sz w:val="20"/>
                <w:szCs w:val="20"/>
                <w:color w:val="auto"/>
              </w:rPr>
            </w:pPr>
            <w:r>
              <w:rPr>
                <w:rFonts w:ascii="Times New Roman" w:cs="Times New Roman" w:eastAsia="Times New Roman" w:hAnsi="Times New Roman"/>
                <w:sz w:val="16"/>
                <w:szCs w:val="16"/>
                <w:color w:val="auto"/>
              </w:rPr>
              <w:t>Duane Ziping Kuang</w:t>
            </w:r>
            <w:r>
              <w:rPr>
                <w:rFonts w:ascii="Times New Roman" w:cs="Times New Roman" w:eastAsia="Times New Roman" w:hAnsi="Times New Roman"/>
                <w:sz w:val="23"/>
                <w:szCs w:val="23"/>
                <w:color w:val="auto"/>
                <w:vertAlign w:val="superscript"/>
              </w:rPr>
              <w:t>(3)</w:t>
            </w: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62,045,370</w:t>
            </w:r>
          </w:p>
        </w:tc>
        <w:tc>
          <w:tcPr>
            <w:tcW w:w="8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8.5</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6"/>
                <w:szCs w:val="16"/>
                <w:color w:val="auto"/>
              </w:rPr>
              <w:t>Jingzhao Wan</w:t>
            </w:r>
            <w:r>
              <w:rPr>
                <w:rFonts w:ascii="Times New Roman" w:cs="Times New Roman" w:eastAsia="Times New Roman" w:hAnsi="Times New Roman"/>
                <w:sz w:val="23"/>
                <w:szCs w:val="23"/>
                <w:color w:val="auto"/>
                <w:vertAlign w:val="superscript"/>
              </w:rPr>
              <w:t>(4)</w:t>
            </w: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00" w:type="dxa"/>
            <w:vAlign w:val="bottom"/>
          </w:tcPr>
          <w:p>
            <w:pPr>
              <w:spacing w:after="0" w:line="202" w:lineRule="exact"/>
              <w:rPr>
                <w:sz w:val="20"/>
                <w:szCs w:val="20"/>
                <w:color w:val="auto"/>
              </w:rPr>
            </w:pPr>
            <w:r>
              <w:rPr>
                <w:rFonts w:ascii="Times New Roman" w:cs="Times New Roman" w:eastAsia="Times New Roman" w:hAnsi="Times New Roman"/>
                <w:sz w:val="16"/>
                <w:szCs w:val="16"/>
                <w:color w:val="auto"/>
              </w:rPr>
              <w:t>Takao Asami</w:t>
            </w:r>
            <w:r>
              <w:rPr>
                <w:rFonts w:ascii="Times New Roman" w:cs="Times New Roman" w:eastAsia="Times New Roman" w:hAnsi="Times New Roman"/>
                <w:sz w:val="23"/>
                <w:szCs w:val="23"/>
                <w:color w:val="auto"/>
                <w:vertAlign w:val="superscript"/>
              </w:rPr>
              <w:t>(5)</w:t>
            </w:r>
          </w:p>
        </w:tc>
        <w:tc>
          <w:tcPr>
            <w:tcW w:w="116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6"/>
                <w:szCs w:val="16"/>
                <w:color w:val="auto"/>
              </w:rPr>
              <w:t>Yibing Xu</w:t>
            </w:r>
            <w:r>
              <w:rPr>
                <w:rFonts w:ascii="Times New Roman" w:cs="Times New Roman" w:eastAsia="Times New Roman" w:hAnsi="Times New Roman"/>
                <w:sz w:val="23"/>
                <w:szCs w:val="23"/>
                <w:color w:val="auto"/>
                <w:vertAlign w:val="superscript"/>
              </w:rPr>
              <w:t>(6)</w:t>
            </w:r>
          </w:p>
        </w:tc>
        <w:tc>
          <w:tcPr>
            <w:tcW w:w="11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Hua Zhong</w:t>
            </w:r>
          </w:p>
        </w:tc>
        <w:tc>
          <w:tcPr>
            <w:tcW w:w="116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Li Zhang</w:t>
            </w:r>
          </w:p>
        </w:tc>
        <w:tc>
          <w:tcPr>
            <w:tcW w:w="11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Qingxiong Yang</w:t>
            </w:r>
          </w:p>
        </w:tc>
        <w:tc>
          <w:tcPr>
            <w:tcW w:w="116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Jennifer Xuan Li</w:t>
            </w:r>
          </w:p>
        </w:tc>
        <w:tc>
          <w:tcPr>
            <w:tcW w:w="11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Huazhong Ning</w:t>
            </w:r>
          </w:p>
        </w:tc>
        <w:tc>
          <w:tcPr>
            <w:tcW w:w="116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140"/>
          </w:cols>
          <w:pgMar w:left="320" w:top="455" w:right="4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040" w:type="dxa"/>
            <w:vAlign w:val="bottom"/>
          </w:tcPr>
          <w:p>
            <w:pPr>
              <w:spacing w:after="0"/>
              <w:rPr>
                <w:sz w:val="15"/>
                <w:szCs w:val="15"/>
                <w:color w:val="auto"/>
              </w:rPr>
            </w:pPr>
          </w:p>
        </w:tc>
        <w:tc>
          <w:tcPr>
            <w:tcW w:w="4280" w:type="dxa"/>
            <w:vAlign w:val="bottom"/>
            <w:gridSpan w:val="8"/>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Shares Beneficially Owned Prior to This Offering</w:t>
            </w:r>
          </w:p>
        </w:tc>
        <w:tc>
          <w:tcPr>
            <w:tcW w:w="4700" w:type="dxa"/>
            <w:vAlign w:val="bottom"/>
            <w:gridSpan w:val="8"/>
          </w:tcPr>
          <w:p>
            <w:pPr>
              <w:ind w:left="480"/>
              <w:spacing w:after="0"/>
              <w:rPr>
                <w:sz w:val="20"/>
                <w:szCs w:val="20"/>
                <w:color w:val="auto"/>
              </w:rPr>
            </w:pPr>
            <w:r>
              <w:rPr>
                <w:rFonts w:ascii="Times New Roman" w:cs="Times New Roman" w:eastAsia="Times New Roman" w:hAnsi="Times New Roman"/>
                <w:sz w:val="14"/>
                <w:szCs w:val="14"/>
                <w:b w:val="1"/>
                <w:bCs w:val="1"/>
                <w:color w:val="auto"/>
              </w:rPr>
              <w:t>Shares Beneficially Owned Immediately After This Offering</w:t>
            </w:r>
          </w:p>
        </w:tc>
        <w:tc>
          <w:tcPr>
            <w:tcW w:w="0" w:type="dxa"/>
            <w:vAlign w:val="bottom"/>
          </w:tcPr>
          <w:p>
            <w:pPr>
              <w:spacing w:after="0"/>
              <w:rPr>
                <w:sz w:val="1"/>
                <w:szCs w:val="1"/>
                <w:color w:val="auto"/>
              </w:rPr>
            </w:pPr>
          </w:p>
        </w:tc>
      </w:tr>
      <w:tr>
        <w:trPr>
          <w:trHeight w:val="117"/>
        </w:trPr>
        <w:tc>
          <w:tcPr>
            <w:tcW w:w="204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 of total</w:t>
            </w:r>
          </w:p>
        </w:tc>
        <w:tc>
          <w:tcPr>
            <w:tcW w:w="6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380" w:type="dxa"/>
            <w:vAlign w:val="bottom"/>
          </w:tcPr>
          <w:p>
            <w:pPr>
              <w:spacing w:after="0"/>
              <w:rPr>
                <w:sz w:val="10"/>
                <w:szCs w:val="10"/>
                <w:color w:val="auto"/>
              </w:rPr>
            </w:pPr>
          </w:p>
        </w:tc>
        <w:tc>
          <w:tcPr>
            <w:tcW w:w="900" w:type="dxa"/>
            <w:vAlign w:val="bottom"/>
            <w:tcBorders>
              <w:top w:val="single" w:sz="8" w:color="auto"/>
            </w:tcBorders>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900" w:type="dxa"/>
            <w:vAlign w:val="bottom"/>
            <w:tcBorders>
              <w:top w:val="single" w:sz="8" w:color="auto"/>
            </w:tcBorders>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8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13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Ordinary</w:t>
            </w:r>
          </w:p>
        </w:tc>
        <w:tc>
          <w:tcPr>
            <w:tcW w:w="8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Golden</w:t>
            </w:r>
          </w:p>
        </w:tc>
        <w:tc>
          <w:tcPr>
            <w:tcW w:w="11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shares on an</w:t>
            </w:r>
          </w:p>
        </w:tc>
        <w:tc>
          <w:tcPr>
            <w:tcW w:w="9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9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1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 of total ordinary shares on</w:t>
            </w: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as-converted</w:t>
            </w:r>
          </w:p>
        </w:tc>
        <w:tc>
          <w:tcPr>
            <w:tcW w:w="9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voting</w:t>
            </w:r>
          </w:p>
        </w:tc>
        <w:tc>
          <w:tcPr>
            <w:tcW w:w="9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9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2180" w:type="dxa"/>
            <w:vAlign w:val="bottom"/>
            <w:gridSpan w:val="2"/>
            <w:vMerge w:val="continue"/>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voting</w:t>
            </w:r>
          </w:p>
        </w:tc>
        <w:tc>
          <w:tcPr>
            <w:tcW w:w="0" w:type="dxa"/>
            <w:vAlign w:val="bottom"/>
          </w:tcPr>
          <w:p>
            <w:pPr>
              <w:spacing w:after="0"/>
              <w:rPr>
                <w:sz w:val="1"/>
                <w:szCs w:val="1"/>
                <w:color w:val="auto"/>
              </w:rPr>
            </w:pPr>
          </w:p>
        </w:tc>
      </w:tr>
      <w:tr>
        <w:trPr>
          <w:trHeight w:val="173"/>
        </w:trPr>
        <w:tc>
          <w:tcPr>
            <w:tcW w:w="2040" w:type="dxa"/>
            <w:vAlign w:val="bottom"/>
          </w:tcPr>
          <w:p>
            <w:pPr>
              <w:spacing w:after="0"/>
              <w:rPr>
                <w:sz w:val="15"/>
                <w:szCs w:val="15"/>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8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basis</w:t>
            </w:r>
          </w:p>
        </w:tc>
        <w:tc>
          <w:tcPr>
            <w:tcW w:w="9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9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9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2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an as-converted basis</w:t>
            </w: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0" w:type="dxa"/>
            <w:vAlign w:val="bottom"/>
          </w:tcPr>
          <w:p>
            <w:pPr>
              <w:spacing w:after="0"/>
              <w:rPr>
                <w:sz w:val="1"/>
                <w:szCs w:val="1"/>
                <w:color w:val="auto"/>
              </w:rPr>
            </w:pPr>
          </w:p>
        </w:tc>
      </w:tr>
      <w:tr>
        <w:trPr>
          <w:trHeight w:val="174"/>
        </w:trPr>
        <w:tc>
          <w:tcPr>
            <w:tcW w:w="204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All directors and</w:t>
            </w:r>
          </w:p>
        </w:tc>
        <w:tc>
          <w:tcPr>
            <w:tcW w:w="9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8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officers as a group</w:t>
            </w:r>
          </w:p>
        </w:tc>
        <w:tc>
          <w:tcPr>
            <w:tcW w:w="13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197,808,030</w:t>
            </w: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50</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27.2</w:t>
            </w: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51.3</w:t>
            </w:r>
          </w:p>
        </w:tc>
        <w:tc>
          <w:tcPr>
            <w:tcW w:w="5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Principal [and Selling]</w:t>
            </w: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4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Shareholders:</w:t>
            </w: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4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6"/>
                <w:szCs w:val="16"/>
                <w:color w:val="auto"/>
              </w:rPr>
              <w:t>Tonyhan Limited</w:t>
            </w:r>
            <w:r>
              <w:rPr>
                <w:rFonts w:ascii="Times New Roman" w:cs="Times New Roman" w:eastAsia="Times New Roman" w:hAnsi="Times New Roman"/>
                <w:sz w:val="23"/>
                <w:szCs w:val="23"/>
                <w:color w:val="auto"/>
                <w:vertAlign w:val="superscript"/>
              </w:rPr>
              <w:t>(7)</w:t>
            </w:r>
          </w:p>
        </w:tc>
        <w:tc>
          <w:tcPr>
            <w:tcW w:w="13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16,339,550</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3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40" w:type="dxa"/>
            <w:vAlign w:val="bottom"/>
          </w:tcPr>
          <w:p>
            <w:pPr>
              <w:spacing w:after="0" w:line="202" w:lineRule="exact"/>
              <w:rPr>
                <w:sz w:val="20"/>
                <w:szCs w:val="20"/>
                <w:color w:val="auto"/>
              </w:rPr>
            </w:pPr>
            <w:r>
              <w:rPr>
                <w:rFonts w:ascii="Times New Roman" w:cs="Times New Roman" w:eastAsia="Times New Roman" w:hAnsi="Times New Roman"/>
                <w:sz w:val="16"/>
                <w:szCs w:val="16"/>
                <w:color w:val="auto"/>
              </w:rPr>
              <w:t>Yanli Holdings Limited</w:t>
            </w:r>
            <w:r>
              <w:rPr>
                <w:rFonts w:ascii="Times New Roman" w:cs="Times New Roman" w:eastAsia="Times New Roman" w:hAnsi="Times New Roman"/>
                <w:sz w:val="23"/>
                <w:szCs w:val="23"/>
                <w:color w:val="auto"/>
                <w:vertAlign w:val="superscript"/>
              </w:rPr>
              <w:t>(8)</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16,000,000</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3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Yutong</w:t>
            </w:r>
          </w:p>
        </w:tc>
        <w:tc>
          <w:tcPr>
            <w:tcW w:w="9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40" w:type="dxa"/>
            <w:vAlign w:val="bottom"/>
            <w:shd w:val="clear" w:color="auto" w:fill="CCEEFF"/>
          </w:tcPr>
          <w:p>
            <w:pPr>
              <w:ind w:left="160"/>
              <w:spacing w:after="0" w:line="217" w:lineRule="exact"/>
              <w:rPr>
                <w:sz w:val="20"/>
                <w:szCs w:val="20"/>
                <w:color w:val="auto"/>
              </w:rPr>
            </w:pPr>
            <w:r>
              <w:rPr>
                <w:rFonts w:ascii="Times New Roman" w:cs="Times New Roman" w:eastAsia="Times New Roman" w:hAnsi="Times New Roman"/>
                <w:sz w:val="16"/>
                <w:szCs w:val="16"/>
                <w:color w:val="auto"/>
              </w:rPr>
              <w:t>entities</w:t>
            </w:r>
            <w:r>
              <w:rPr>
                <w:rFonts w:ascii="Times New Roman" w:cs="Times New Roman" w:eastAsia="Times New Roman" w:hAnsi="Times New Roman"/>
                <w:sz w:val="24"/>
                <w:szCs w:val="24"/>
                <w:color w:val="auto"/>
                <w:vertAlign w:val="superscript"/>
              </w:rPr>
              <w:t>(9)</w:t>
            </w:r>
          </w:p>
        </w:tc>
        <w:tc>
          <w:tcPr>
            <w:tcW w:w="13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132,494,900</w:t>
            </w: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40" w:type="dxa"/>
            <w:vAlign w:val="bottom"/>
          </w:tcPr>
          <w:p>
            <w:pPr>
              <w:spacing w:after="0" w:line="202" w:lineRule="exact"/>
              <w:rPr>
                <w:sz w:val="20"/>
                <w:szCs w:val="20"/>
                <w:color w:val="auto"/>
              </w:rPr>
            </w:pPr>
            <w:r>
              <w:rPr>
                <w:rFonts w:ascii="Times New Roman" w:cs="Times New Roman" w:eastAsia="Times New Roman" w:hAnsi="Times New Roman"/>
                <w:sz w:val="16"/>
                <w:szCs w:val="16"/>
                <w:color w:val="auto"/>
              </w:rPr>
              <w:t>Qiming entities</w:t>
            </w:r>
            <w:r>
              <w:rPr>
                <w:rFonts w:ascii="Times New Roman" w:cs="Times New Roman" w:eastAsia="Times New Roman" w:hAnsi="Times New Roman"/>
                <w:sz w:val="23"/>
                <w:szCs w:val="23"/>
                <w:color w:val="auto"/>
                <w:vertAlign w:val="superscript"/>
              </w:rPr>
              <w:t>(10)</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62,045,370</w:t>
            </w: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3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6"/>
                <w:szCs w:val="16"/>
                <w:color w:val="auto"/>
              </w:rPr>
              <w:t xml:space="preserve">Alliance Ventures B.V. </w:t>
            </w:r>
            <w:r>
              <w:rPr>
                <w:rFonts w:ascii="Times New Roman" w:cs="Times New Roman" w:eastAsia="Times New Roman" w:hAnsi="Times New Roman"/>
                <w:sz w:val="23"/>
                <w:szCs w:val="23"/>
                <w:color w:val="auto"/>
                <w:vertAlign w:val="superscript"/>
              </w:rPr>
              <w:t>(11)</w:t>
            </w:r>
          </w:p>
        </w:tc>
        <w:tc>
          <w:tcPr>
            <w:tcW w:w="13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42,446,871</w:t>
            </w: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3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w:t>
      </w:r>
    </w:p>
    <w:p>
      <w:pPr>
        <w:spacing w:after="0" w:line="131" w:lineRule="exact"/>
        <w:rPr>
          <w:sz w:val="20"/>
          <w:szCs w:val="20"/>
          <w:color w:val="auto"/>
        </w:rPr>
      </w:pPr>
    </w:p>
    <w:p>
      <w:pPr>
        <w:ind w:left="540" w:hanging="424"/>
        <w:spacing w:after="0"/>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shares account for less than one percent of our total ordinary shares outstanding as of the date of this prospectus.</w:t>
      </w:r>
    </w:p>
    <w:p>
      <w:pPr>
        <w:spacing w:after="0" w:line="131" w:lineRule="exact"/>
        <w:rPr>
          <w:sz w:val="20"/>
          <w:szCs w:val="20"/>
          <w:color w:val="auto"/>
        </w:rPr>
      </w:pPr>
    </w:p>
    <w:p>
      <w:pPr>
        <w:ind w:left="540" w:right="200" w:hanging="424"/>
        <w:spacing w:after="0" w:line="282" w:lineRule="auto"/>
        <w:tabs>
          <w:tab w:leader="none" w:pos="5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indicated otherwise below, the business address of our directors and executive officers is 21st Floor, Tower A, Guanzhou Life Science Innovation Center, No. 51, Luoxuan Road, Guangzhou International Biotech Island, Guangzhou, People’s Republic of China.</w:t>
      </w:r>
    </w:p>
    <w:p>
      <w:pPr>
        <w:spacing w:after="0" w:line="67" w:lineRule="exact"/>
        <w:rPr>
          <w:rFonts w:ascii="Times New Roman" w:cs="Times New Roman" w:eastAsia="Times New Roman" w:hAnsi="Times New Roman"/>
          <w:sz w:val="18"/>
          <w:szCs w:val="18"/>
          <w:color w:val="auto"/>
        </w:rPr>
      </w:pPr>
    </w:p>
    <w:p>
      <w:pPr>
        <w:ind w:left="540" w:right="20" w:hanging="424"/>
        <w:spacing w:after="0" w:line="266" w:lineRule="auto"/>
        <w:tabs>
          <w:tab w:leader="none" w:pos="5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person or group included in this column, percentage of total voting power represents voting power based on both ordinary shares on an as converted basis and golden shares held by such person or group with respect to all of our outstanding shares as a single class. Each holder of our ordinary shares is entitled to one vote per share. Each holder of our golden shares is entitled to 7,200,000 votes per share.</w:t>
      </w:r>
    </w:p>
    <w:p>
      <w:pPr>
        <w:spacing w:after="0" w:line="8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person or group included in this column, percentage of total voting power represents voting power based on both class A and class B</w:t>
      </w:r>
    </w:p>
    <w:p>
      <w:pPr>
        <w:spacing w:after="0" w:line="27"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held by such person or group with respect to all of our outstanding class A and class B ordinary shares as a single class. Each</w:t>
      </w:r>
    </w:p>
    <w:p>
      <w:pPr>
        <w:spacing w:after="0" w:line="225" w:lineRule="exact"/>
        <w:rPr>
          <w:sz w:val="20"/>
          <w:szCs w:val="20"/>
          <w:color w:val="auto"/>
        </w:rPr>
      </w:pPr>
    </w:p>
    <w:p>
      <w:pPr>
        <w:ind w:left="540" w:right="180"/>
        <w:spacing w:after="0" w:line="282" w:lineRule="auto"/>
        <w:rPr>
          <w:sz w:val="20"/>
          <w:szCs w:val="20"/>
          <w:color w:val="auto"/>
        </w:rPr>
      </w:pPr>
      <w:r>
        <w:rPr>
          <w:rFonts w:ascii="Times New Roman" w:cs="Times New Roman" w:eastAsia="Times New Roman" w:hAnsi="Times New Roman"/>
          <w:sz w:val="18"/>
          <w:szCs w:val="18"/>
          <w:color w:val="auto"/>
        </w:rPr>
        <w:t>holder of our class A ordinary shares is entitled to one vote per share. Each holder of our class B ordinary shares is entitled to votes per share. Our class B ordinary shares are convertible at any time by the holder into class A ordinary shares on a one-for-one basis</w:t>
      </w:r>
    </w:p>
    <w:p>
      <w:pPr>
        <w:spacing w:after="0" w:line="67" w:lineRule="exact"/>
        <w:rPr>
          <w:sz w:val="20"/>
          <w:szCs w:val="20"/>
          <w:color w:val="auto"/>
        </w:rPr>
      </w:pPr>
    </w:p>
    <w:p>
      <w:pPr>
        <w:ind w:left="540" w:right="20" w:hanging="424"/>
        <w:spacing w:after="0" w:line="256" w:lineRule="auto"/>
        <w:tabs>
          <w:tab w:leader="none" w:pos="5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16,000,000 ordinary shares, 399,550 Series Seed-2 preferred shares and 40 golden shares held by Tonyhan Limited; and (ii) 50,000,000 ordinary shares issuable upon the exercise of the 50,000,000 restricted share units held by Dr. Tony Xu Han that have been fully vested as of the date of this prospectus. Dr. Tony Xu Han is the sole shareholder and the sole director of Tonyhan Limited. The registered address of Tonyhan Limited is Craigmuir Chambers, Road Town, Tortola, VG 1110, British Virgin Islands. All of the ordinary shares, Series Seed-2 preferred shares and golden shares held by Tonyhan Limited will be converted into Class B ordinary shares immediately prior to the completion of this offering.</w:t>
      </w:r>
    </w:p>
    <w:p>
      <w:pPr>
        <w:spacing w:after="0" w:line="92" w:lineRule="exact"/>
        <w:rPr>
          <w:rFonts w:ascii="Times New Roman" w:cs="Times New Roman" w:eastAsia="Times New Roman" w:hAnsi="Times New Roman"/>
          <w:sz w:val="18"/>
          <w:szCs w:val="18"/>
          <w:color w:val="auto"/>
        </w:rPr>
      </w:pPr>
    </w:p>
    <w:p>
      <w:pPr>
        <w:jc w:val="both"/>
        <w:ind w:left="540" w:right="40" w:hanging="424"/>
        <w:spacing w:after="0" w:line="266" w:lineRule="auto"/>
        <w:tabs>
          <w:tab w:leader="none" w:pos="5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16,000,000 ordinary shares and 10 golden shares held by Yanli Holdings Limited; and (ii) 49,687,100 ordinary shares issuable upon the exercise of the 49,687,100 restricted share units held by Dr. Yan Li that have been fully vested as of the date of this prospectus. Yanli Holdings Limited has appointed Dr. Yan Li as its power of attorney to vote and exercise all rights with respect to all of the</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1140"/>
          </w:cols>
          <w:pgMar w:left="320" w:top="455" w:right="4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380"/>
        <w:spacing w:after="0" w:line="266" w:lineRule="auto"/>
        <w:rPr>
          <w:sz w:val="20"/>
          <w:szCs w:val="20"/>
          <w:color w:val="auto"/>
        </w:rPr>
      </w:pPr>
      <w:r>
        <w:rPr>
          <w:rFonts w:ascii="Times New Roman" w:cs="Times New Roman" w:eastAsia="Times New Roman" w:hAnsi="Times New Roman"/>
          <w:sz w:val="18"/>
          <w:szCs w:val="18"/>
          <w:color w:val="auto"/>
        </w:rPr>
        <w:t>ordinary shares and golden shares held by Yanli Holdings Limited. The registered address of Yanli Holdings Limited is Craigmuir Chambers, Road Town, Tortola, VG 1110, British Virgin Islands. All of the ordinary shares and golden shares held by Yanli Holdings Limited will be converted into Class B ordinary shares immediately prior to the completion of this offering.</w:t>
      </w:r>
    </w:p>
    <w:p>
      <w:pPr>
        <w:spacing w:after="0" w:line="81" w:lineRule="exact"/>
        <w:rPr>
          <w:sz w:val="20"/>
          <w:szCs w:val="20"/>
          <w:color w:val="auto"/>
        </w:rPr>
      </w:pPr>
    </w:p>
    <w:p>
      <w:pPr>
        <w:ind w:left="540" w:hanging="424"/>
        <w:spacing w:after="0" w:line="253" w:lineRule="auto"/>
        <w:tabs>
          <w:tab w:leader="none" w:pos="5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15,126,220 ordinary shares, 21,028,574 Series Seed-1 preferred shares, 6,212,951 Series Seed-2 preferred shares and 5,419,450 Series A preferred shares held by Qiming Venture Partners V, L.P.; (ii) 469,320 ordinary shares, 652,446 Series Seed-1 preferred shares, 192,769 Series Seed-2 preferred shares and 168,140 Series A preferred shares held by Qiming Managing Directors Fund V, L.P.; (iii) 5,907,830 ordinary shares, 3,965,980 Series Seed-1 preferred shares, 99,660 Series A preferred shares and 2,685,370 Series B-2 preferred shares held by Qiming Venture Partners VII, L.P.; and (iv) 54,440 ordinary shares, 36,550 Series Seed-1 preferred shares, 920 Series A preferred shares and 24,750 Series B-2 preferred shares held by Qiming VII Strategic Investors Fund, L.P. We refer to Qiming Venture Partners V, L.P., Qiming Managing Directors Fund V, L.P., Qiming Venture Partners VII, L.P. and Qiming VII Strategic Investors Fund, L.P. together as Qiming Entities in this prospectus. The general partner of Qiming Venture Partners V, L.P. is Qiming GP V, L.P., whose general partner is Qiming Corporate GP V, Ltd. The general partner of Qiming Managing Directors Fund V, L.P. is Qiming Corporate GP V, Ltd. The general partner of Qiming Venture Partners VII, L.P. and Qiming VII Strategic Investors Fund, L.P. is Qiming GP VII, LLC. Mr. Duane Kuang is a shareholder and director of both Qiming Corporate GP V, Ltd. and Qiming GP VII, LLC. Mr. Kuang disclaims beneficial ownership of such securities except to the extent of his pecuniary interest. All of the ordinary shares and preferred shares held by Qiming Entities will be converted into Class A ordinary shares immediately prior to the completion of this offering.</w:t>
      </w:r>
    </w:p>
    <w:p>
      <w:pPr>
        <w:spacing w:after="0" w:line="92" w:lineRule="exact"/>
        <w:rPr>
          <w:rFonts w:ascii="Times New Roman" w:cs="Times New Roman" w:eastAsia="Times New Roman" w:hAnsi="Times New Roman"/>
          <w:sz w:val="18"/>
          <w:szCs w:val="18"/>
          <w:color w:val="auto"/>
        </w:rPr>
      </w:pPr>
    </w:p>
    <w:p>
      <w:pPr>
        <w:ind w:left="540" w:right="460" w:hanging="424"/>
        <w:spacing w:after="0" w:line="282" w:lineRule="auto"/>
        <w:tabs>
          <w:tab w:leader="none" w:pos="5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Mr. Jingzhao Wan is Room 412 administrative North building, Yutong Industrial Partk, Shibalihe Town, Guancheng District, Zhengzhou, Henan, PRC.</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Mr. Takao Asami is 560-2 Okatsukoku, Atsugi-shi, Kanagawa-ken, 243-0192, Japan.</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Mr. Yibing Xu is 9F, Block C, Financial Street Center, No.B9, Financial Street, Xicheng District, Beijing, PRC.</w:t>
      </w:r>
    </w:p>
    <w:p>
      <w:pPr>
        <w:spacing w:after="0" w:line="130" w:lineRule="exact"/>
        <w:rPr>
          <w:rFonts w:ascii="Times New Roman" w:cs="Times New Roman" w:eastAsia="Times New Roman" w:hAnsi="Times New Roman"/>
          <w:sz w:val="18"/>
          <w:szCs w:val="18"/>
          <w:color w:val="auto"/>
        </w:rPr>
      </w:pPr>
    </w:p>
    <w:p>
      <w:pPr>
        <w:ind w:left="540" w:right="100" w:hanging="424"/>
        <w:spacing w:after="0" w:line="261" w:lineRule="auto"/>
        <w:tabs>
          <w:tab w:leader="none" w:pos="5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16,000,000 ordinary shares, 399,550 Series Seed-2 preferred shares and 40 golden shares held by Tonyhan Limited. Dr. Tony Xu Han is the sole shareholder and the sole director of Tonyhan Limited. The registered address of Tonyhan Limited is Craigmuir Chambers, Road Town, Tortola, VG 1110, British Virgin Islands. All of the ordinary shares, Series Seed-2 preferred shares and golden shares held by Tonyhan Limited will be converted into Class B ordinary shares immediately prior to the completion of this offering.</w:t>
      </w:r>
    </w:p>
    <w:p>
      <w:pPr>
        <w:spacing w:after="0" w:line="85" w:lineRule="exact"/>
        <w:rPr>
          <w:rFonts w:ascii="Times New Roman" w:cs="Times New Roman" w:eastAsia="Times New Roman" w:hAnsi="Times New Roman"/>
          <w:sz w:val="18"/>
          <w:szCs w:val="18"/>
          <w:color w:val="auto"/>
        </w:rPr>
      </w:pPr>
    </w:p>
    <w:p>
      <w:pPr>
        <w:ind w:left="540" w:right="80" w:hanging="424"/>
        <w:spacing w:after="0" w:line="258" w:lineRule="auto"/>
        <w:tabs>
          <w:tab w:leader="none" w:pos="5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16,000,000 ordinary shares and 10 golden shares held by Yanli Holdings Limited. Yanli Holdings Limited has appointed Dr. Yan Li as its power of attorney to vote and exercise all rights with respect to all of the ordinary shares and golden shares held by Yanli Holdings Limited. The registered address of Yanli Holdings Limited is Craigmuir Chambers, Road Town, Tortola, VG 1110, British Virgin Islands. All of the ordinary shares and golden shares held by Yanli Holdings Limited will be converted into Class B ordinary shares immediately prior to the completion of this offering.</w:t>
      </w:r>
    </w:p>
    <w:p>
      <w:pPr>
        <w:spacing w:after="0" w:line="88" w:lineRule="exact"/>
        <w:rPr>
          <w:rFonts w:ascii="Times New Roman" w:cs="Times New Roman" w:eastAsia="Times New Roman" w:hAnsi="Times New Roman"/>
          <w:sz w:val="18"/>
          <w:szCs w:val="18"/>
          <w:color w:val="auto"/>
        </w:rPr>
      </w:pPr>
    </w:p>
    <w:p>
      <w:pPr>
        <w:ind w:left="540" w:right="40" w:hanging="424"/>
        <w:spacing w:after="0" w:line="256" w:lineRule="auto"/>
        <w:tabs>
          <w:tab w:leader="none" w:pos="5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66,247,450 Series B-1 preferred shares held by Zhengzhou Xufeng Jiayuan Intelligent Connected Eterprise Management Center (Limited Partnership), or Zhengzhou Xufeng; and (ii) 66,247,450 Series B-1 preferred shares held by Beijing Xufeng Zhiyuan Intelligent Technology Partnership (Limited Partnership), or Beijing Xufeng. We refer to Zhengzhou Xufeng and Beijing Xufeng collectively as Yutong entities in this prospectus. Zhengzhou Xufeng holds 92.2% equity interests in Beijing Xufeng. The general partner of both Zhengzhou Xufeng and Beijing Xufeng is Zhengzhou Xuxin Industrial Co., Ltd., which is wholly owned by Zhengzhou Yutong Group Co., Ltd., which, in turn, is controlled by seven individuals, namely Yuxiang Tang, Mingshe You, Jianwei Cao, Baofeng Zhang, Yiguo Zhang, Bo Yang and Xinlei Lu.</w:t>
      </w:r>
    </w:p>
    <w:p>
      <w:pPr>
        <w:spacing w:after="0" w:line="92" w:lineRule="exact"/>
        <w:rPr>
          <w:rFonts w:ascii="Times New Roman" w:cs="Times New Roman" w:eastAsia="Times New Roman" w:hAnsi="Times New Roman"/>
          <w:sz w:val="18"/>
          <w:szCs w:val="18"/>
          <w:color w:val="auto"/>
        </w:rPr>
      </w:pPr>
    </w:p>
    <w:p>
      <w:pPr>
        <w:ind w:left="540" w:right="320" w:hanging="424"/>
        <w:spacing w:after="0" w:line="282" w:lineRule="auto"/>
        <w:tabs>
          <w:tab w:leader="none" w:pos="5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15,126,220 ordinary shares, 21,028,574 Series Seed-1 preferred shares, 6,212,951 Series Seed-2 preferred shares and 5,419,450 Series A preferred shares held by Qiming Venture Partners V, L.P.;</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120"/>
          </w:cols>
          <w:pgMar w:left="320" w:top="455" w:right="45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firstLine="8"/>
        <w:spacing w:after="0" w:line="256" w:lineRule="auto"/>
        <w:tabs>
          <w:tab w:leader="none" w:pos="80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469,320 ordinary shares, 652,446 Series Seed-1 preferred shares, 192,769 Series Seed-2 preferred shares and 168,140 Series A preferred shares held by Qiming Managing Directors Fund V, L.P.; (iii) 5,907,830 ordinary shares, 3,965,980 Series Seed-1 preferred shares, 99,660 Series A preferred shares and 2,685,370 Series B-2 preferred shares held by Qiming Venture Partners VII, L.P.; and (iv) 54,440 ordinary shares, 36,550 Series Seed-1 preferred shares, 920 Series A preferred shares and 24,750 Series B-2 preferred shares held by Qiming VII Strategic Investors Fund, L.P. All of the ordinary shares and preferred shares held by Qiming Entities will be converted into Class A ordinary shares immediately prior to the completion of this offering.</w:t>
      </w:r>
    </w:p>
    <w:p>
      <w:pPr>
        <w:spacing w:after="0" w:line="79" w:lineRule="exact"/>
        <w:rPr>
          <w:sz w:val="20"/>
          <w:szCs w:val="20"/>
          <w:color w:val="auto"/>
        </w:rPr>
      </w:pPr>
    </w:p>
    <w:p>
      <w:pPr>
        <w:ind w:left="560" w:right="20"/>
        <w:spacing w:after="0" w:line="255" w:lineRule="auto"/>
        <w:rPr>
          <w:sz w:val="20"/>
          <w:szCs w:val="20"/>
          <w:color w:val="auto"/>
        </w:rPr>
      </w:pPr>
      <w:r>
        <w:rPr>
          <w:rFonts w:ascii="Times New Roman" w:cs="Times New Roman" w:eastAsia="Times New Roman" w:hAnsi="Times New Roman"/>
          <w:sz w:val="18"/>
          <w:szCs w:val="18"/>
          <w:color w:val="auto"/>
        </w:rPr>
        <w:t>The general partner of Qiming Venture Partners V, L.P. is Qiming GP V, L.P., a Cayman Islands exempted limited partnership, whose general partner is Qiming Corporate GP V, Ltd., a Cayman Islands limited company which is also the general partner of Qiming Managing Directors Fund V, L.P. The voting and investment power of the shares held by Qiming Venture Partners V, L.P. and Qiming Managing Directors Fund V, L.P. in the company is exercised by Qiming Corporate GP V, Ltd., which is beneficially owned by Messrs. Duane Kuang, Gary Rieschel, Nisa Leung and Robert Headley. Messrs. Duane Kuang, Gary Rieschel, Nisa Leung and Robert Headley disclaim beneficial ownership of such shares, except to the extent of any pecuniary interest therein. The registered address of Qiming Venture Partners V, L.P. and Qiming Managing Directors Fund V, L.P. is P.O. Box 309, Ugland House, Grand Cayman, KY1-1104, Cayman Islands.</w:t>
      </w:r>
    </w:p>
    <w:p>
      <w:pPr>
        <w:spacing w:after="0" w:line="81" w:lineRule="exact"/>
        <w:rPr>
          <w:sz w:val="20"/>
          <w:szCs w:val="20"/>
          <w:color w:val="auto"/>
        </w:rPr>
      </w:pPr>
    </w:p>
    <w:p>
      <w:pPr>
        <w:ind w:left="560" w:right="20"/>
        <w:spacing w:after="0" w:line="256" w:lineRule="auto"/>
        <w:rPr>
          <w:sz w:val="20"/>
          <w:szCs w:val="20"/>
          <w:color w:val="auto"/>
        </w:rPr>
      </w:pPr>
      <w:r>
        <w:rPr>
          <w:rFonts w:ascii="Times New Roman" w:cs="Times New Roman" w:eastAsia="Times New Roman" w:hAnsi="Times New Roman"/>
          <w:sz w:val="18"/>
          <w:szCs w:val="18"/>
          <w:color w:val="auto"/>
        </w:rPr>
        <w:t>The general partner of Qiming Venture Partners VII, L.P. and Qiming VII Strategic Investors Fund, L.P. is Qiming GP VII, LLC, a Cayman Islands limited liability company. The voting and investment power of the shares held by Qiming Venture Partners VII, L.P. and Qiming VII Strategic Investors Fund, L.P. in our company are exercised by Qiming GP VII, LLC, which is beneficially owned by Messrs. Duane Kuang, Gary Rieschel, Nisa Leung and Robert Headley. Messrs. Duane Kuang, Gary Rieschel, Nisa Leung and Robert Headley disclaim beneficial ownership of such shares, except to the extent of any pecuniary interest therein. The registered address of Qiming Venture Partners VII, L.P. and Qiming VII Strategic Investors Fund, L.P. is PO Box 309, Ugland House, Grand Cayman, KY1-1104, Cayman Islands.</w:t>
      </w:r>
    </w:p>
    <w:p>
      <w:pPr>
        <w:spacing w:after="0" w:line="93" w:lineRule="exact"/>
        <w:rPr>
          <w:sz w:val="20"/>
          <w:szCs w:val="20"/>
          <w:color w:val="auto"/>
        </w:rPr>
      </w:pPr>
    </w:p>
    <w:p>
      <w:pPr>
        <w:ind w:left="540" w:right="20" w:hanging="424"/>
        <w:spacing w:after="0" w:line="254" w:lineRule="auto"/>
        <w:tabs>
          <w:tab w:leader="none" w:pos="5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30,173,040 Series A preferred shares and 7,873,602 Series C-1 preferred shares held by Alliance Ventures B.V.; and (ii) 4,400,229 Series A preferred shares that Alliance Ventures B.V. has the right to acquire if it elects to exercise the warrant it holds in full. Alliance Ventures B.V. has three shareholders: Renault s.a.s., Nissan Motor Co., Ltd. and Mitsubishi Motor Corp. Renault s.a.s. is wholly owned by Renault S.A., which is in turn owned by French state, Nissan Finance Co., Ltd. and certain minority shareholders. Nissan Motor Co., Ltd. is owned by Renult S.A. and certain minority shareholders. Mitsubishi Motor Corp. is owned by Mitsubishi Corporation, Nissan Mortor Co., Ltd. and certain minority shareholders. Renault S.A., Nissan Motor Co., Ltd., Mitsubishi Corporation, and Mitsubishi Motors Corporation are public companies. The registered address of Alliance Ventures B.V. is Boeingavenue 275, 1119PD Schiphol-Rijk, The Netherlands. All of the preferred shares held by Alliance Ventures B.V. will be converted into Class A ordinary shares immediately prior to the completion of this offering, and the share issued to Alliance Ventures B.V. upon the exercise of its warrant will be Class A ordinary shares.</w:t>
      </w:r>
    </w:p>
    <w:p>
      <w:pPr>
        <w:spacing w:after="0" w:line="188"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As of the date of this prospectus, none of our ordinary shares, preferred shares or golden shares are held by record holders in the United States. None of our shareholders has informed us that it is affiliated with a member of Financial Industry Regulatory Authority, or FINRA. We are not aware of any arrangement that may, at a subsequent date, result in a change of control of our company. See “Description of Share Capital—History of Securities Issuances” for a description of issuances of our ordinary shares, preferred shares and golden shares that have resulted in significant changes in ownership held by our major shareholders.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1120"/>
          </w:cols>
          <w:pgMar w:left="320" w:top="455" w:right="45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Contractual Arrangements with the Consolidated VIE and Its Nominee Shareholders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“Corporate History and Structure.”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Shareholders Agreement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“Description of Share Capital—History of Securities Issuances.”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“Management—Employment Agreements and Indemnification Agreements.”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 Incentive Plan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“Management—Share Incentive Plan.”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Related Party Transactions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Yutong</w:t>
      </w:r>
    </w:p>
    <w:p>
      <w:pPr>
        <w:spacing w:after="0" w:line="119"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Transactions with Yutong Bus Co., Ltd. </w:t>
      </w:r>
      <w:r>
        <w:rPr>
          <w:rFonts w:ascii="Times New Roman" w:cs="Times New Roman" w:eastAsia="Times New Roman" w:hAnsi="Times New Roman"/>
          <w:sz w:val="18"/>
          <w:szCs w:val="18"/>
          <w:color w:val="auto"/>
        </w:rPr>
        <w:t>In 2020, 2021 and the six months ended June 30, 2022, we sold goods to Yutong Bus Co., Ltd., an affiliate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shareholder, the Yutong entities, with an aggregate amount of RMB42 thousand, RMB14.3 million (US$2.1 million) and RMB215 thousand (US$32 thousand), respectively. In 2021 and the six months ended June 30, 2022, we also provided services to Yutong Bus Co., Ltd. with an aggregate consideration of RMB918 thousand (US$137 thousand) and RMB332 thousand (US$50 thousand). In 2021 and the six months ended June 30, 2022, we purchased goods from Yutong Bus Co., Ltd. with an aggregate amount of RMB116.5 million (US$17.4 million) and RMB34.6 million (US$5.2 million), respectively.</w:t>
      </w:r>
    </w:p>
    <w:p>
      <w:pPr>
        <w:spacing w:after="0" w:line="182"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Transactions with Zhengzhou Yutong Heavy Industries Co., Ltd. </w:t>
      </w:r>
      <w:r>
        <w:rPr>
          <w:rFonts w:ascii="Times New Roman" w:cs="Times New Roman" w:eastAsia="Times New Roman" w:hAnsi="Times New Roman"/>
          <w:sz w:val="18"/>
          <w:szCs w:val="18"/>
          <w:color w:val="auto"/>
        </w:rPr>
        <w:t>In 2021 and the six months ended June 30, 2022, we purchased goods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Zhengzhou Yutong Heavy Industries Co., Ltd., an affiliate of the Yutong entities, with an aggregate amount of RMB3.4 million (US$0.5 million) and RMB73.3 million (US$10.9 million), respectively. In 2021 and the six months ended June 30, 2022, we sold goods to Zhengzhou Yutong Heavy Industries Co., Ltd. with an aggregate amount of RMB4.1 million (US$0.6 million) and RMB331 thousand (US$49 thousand), respectively.</w:t>
      </w:r>
    </w:p>
    <w:p>
      <w:pPr>
        <w:spacing w:after="0" w:line="180" w:lineRule="exact"/>
        <w:rPr>
          <w:sz w:val="20"/>
          <w:szCs w:val="20"/>
          <w:color w:val="auto"/>
        </w:rPr>
      </w:pPr>
    </w:p>
    <w:p>
      <w:pPr>
        <w:ind w:left="120" w:right="3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Transactions with Yutong Heavy Equipment Co., Ltd. </w:t>
      </w:r>
      <w:r>
        <w:rPr>
          <w:rFonts w:ascii="Times New Roman" w:cs="Times New Roman" w:eastAsia="Times New Roman" w:hAnsi="Times New Roman"/>
          <w:sz w:val="18"/>
          <w:szCs w:val="18"/>
          <w:color w:val="auto"/>
        </w:rPr>
        <w:t>In 2021, we sold goods to Yutong Heavy Equipment Co., Ltd., an affiliate of the Yutong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entities, with an aggregate amount of RMB408 thousand (US$61 thousand).</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Alliance</w:t>
      </w:r>
    </w:p>
    <w:p>
      <w:pPr>
        <w:spacing w:after="0" w:line="121"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In 2020, 2021 and the six months ended June 30, 2022, we provided services to Alliance Automotive R&amp;D (Shanghai) Co., Ltd., an affiliate of our shareholder, Alliance Ventures B.V., with an aggregate amount of RMB6.2 million, RMB17.5 million (US$2.6 million) and RMB1.7 million (US$0.3 million), respectively. In 2020, we sold goods to Alliance Automotive R&amp;D (Shanghai) Co., Ltd. with an aggregate amount of RMB1.9 million.</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Guangzhou Yuji</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In 2021 and the six months ended June 30, 2022, Guangzhou Yuji Technology Co., Ltd. provided surveying and mapping services to our company in the amount of RMB51 thousand (US$7.6 thousand) and RMB7.9 million (US$1.2 million).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140"/>
          </w:cols>
          <w:pgMar w:left="320" w:top="455" w:right="43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SHARE CAPITAL</w:t>
      </w:r>
    </w:p>
    <w:p>
      <w:pPr>
        <w:spacing w:after="0" w:line="229"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are a Cayman Islands exempted company incorporated with limited liability and our affairs are governed by our memorandum and articles of association, the Companies Act (Revised) of the Cayman Islands, which we refer to as the Companies Act below, and the common law of the Cayman Islands.</w:t>
      </w:r>
    </w:p>
    <w:p>
      <w:pPr>
        <w:spacing w:after="0" w:line="176" w:lineRule="exact"/>
        <w:rPr>
          <w:sz w:val="20"/>
          <w:szCs w:val="20"/>
          <w:color w:val="auto"/>
        </w:rPr>
      </w:pPr>
    </w:p>
    <w:p>
      <w:pPr>
        <w:jc w:val="both"/>
        <w:ind w:left="120" w:right="40" w:firstLine="440"/>
        <w:spacing w:after="0" w:line="276" w:lineRule="auto"/>
        <w:rPr>
          <w:sz w:val="20"/>
          <w:szCs w:val="20"/>
          <w:color w:val="auto"/>
        </w:rPr>
      </w:pPr>
      <w:r>
        <w:rPr>
          <w:rFonts w:ascii="Times New Roman" w:cs="Times New Roman" w:eastAsia="Times New Roman" w:hAnsi="Times New Roman"/>
          <w:sz w:val="17"/>
          <w:szCs w:val="17"/>
          <w:color w:val="auto"/>
        </w:rPr>
        <w:t>As of the date hereof, our authorized share capital is US$50,000 divided into (i) 4,418,175,061 ordinary shares of par value US$0.00001 each, (ii) 64,318,860 Series Seed-1 preferred shares of par value US$0.00001 each, (iii) 52,959,930 Series Seed-2 preferred shares of par value US$0.00001 each,</w:t>
      </w:r>
    </w:p>
    <w:p>
      <w:pPr>
        <w:spacing w:after="0" w:line="1" w:lineRule="exact"/>
        <w:rPr>
          <w:sz w:val="20"/>
          <w:szCs w:val="20"/>
          <w:color w:val="auto"/>
        </w:rPr>
      </w:pPr>
    </w:p>
    <w:p>
      <w:pPr>
        <w:ind w:left="420" w:hanging="304"/>
        <w:spacing w:after="0"/>
        <w:tabs>
          <w:tab w:leader="none" w:pos="4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93,343,020 Series A preferred shares of par value US$0.00001 each, (v) 132,494,900 Series B-1 preferred shares of par value US$0.00001 each,</w:t>
      </w:r>
    </w:p>
    <w:p>
      <w:pPr>
        <w:spacing w:after="0" w:line="9" w:lineRule="exact"/>
        <w:rPr>
          <w:rFonts w:ascii="Times New Roman" w:cs="Times New Roman" w:eastAsia="Times New Roman" w:hAnsi="Times New Roman"/>
          <w:sz w:val="18"/>
          <w:szCs w:val="18"/>
          <w:color w:val="auto"/>
        </w:rPr>
      </w:pPr>
    </w:p>
    <w:p>
      <w:pPr>
        <w:ind w:left="420" w:hanging="304"/>
        <w:spacing w:after="0"/>
        <w:tabs>
          <w:tab w:leader="none" w:pos="4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13,964,530 Series B-2 preferred shares of par value US$0.00001 each, (vii) 32,104,530 Series B-3 preferred shares of par value US$0.00001 each,</w:t>
      </w:r>
    </w:p>
    <w:p>
      <w:pPr>
        <w:spacing w:after="0" w:line="9" w:lineRule="exact"/>
        <w:rPr>
          <w:rFonts w:ascii="Times New Roman" w:cs="Times New Roman" w:eastAsia="Times New Roman" w:hAnsi="Times New Roman"/>
          <w:sz w:val="18"/>
          <w:szCs w:val="18"/>
          <w:color w:val="auto"/>
        </w:rPr>
      </w:pPr>
    </w:p>
    <w:p>
      <w:pPr>
        <w:ind w:left="120" w:right="160" w:hanging="4"/>
        <w:spacing w:after="0" w:line="260" w:lineRule="auto"/>
        <w:tabs>
          <w:tab w:leader="none" w:pos="52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85,296,913 Series C-1 preferred shares of par value US$0.00001 each, (ix) 107,342,206 Series D preferred shares of par value US$0.00001 each, and (x) 50 golden shares of par value US$0.00001 each.</w:t>
      </w:r>
    </w:p>
    <w:p>
      <w:pPr>
        <w:spacing w:after="0" w:line="181"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As of the date of this prospectus, 103,850,420 ordinary shares, 62,819,128 Series Seed-1 preferred shares, 52,959,930 Series Seed-2 preferred shares, 87,308,420 Series A preferred shares, 132,494,900 Series B-1 preferred shares, 13,964,530 Series B-2 preferred shares, 28,537,370 Series B-3 preferred shares, 71,387,327 Series C-1 preferred shares, 53,671,100 Series D preferred shares, 50 golden shares, and warrants to purchase 4,400,229 Series A preferred shares, 5,149,871 Series D preferred shares and 14,934,910 Series D+ preferred shares are issued and outstanding. All of our issued and outstanding shares are duly authorized, validly issued and fully paid.</w:t>
      </w:r>
    </w:p>
    <w:p>
      <w:pPr>
        <w:spacing w:after="0" w:line="183" w:lineRule="exact"/>
        <w:rPr>
          <w:sz w:val="20"/>
          <w:szCs w:val="20"/>
          <w:color w:val="auto"/>
        </w:rPr>
      </w:pPr>
    </w:p>
    <w:p>
      <w:pPr>
        <w:ind w:left="560"/>
        <w:spacing w:after="0"/>
        <w:tabs>
          <w:tab w:leader="none" w:pos="9040" w:val="left"/>
        </w:tabs>
        <w:rPr>
          <w:sz w:val="20"/>
          <w:szCs w:val="20"/>
          <w:color w:val="auto"/>
        </w:rPr>
      </w:pPr>
      <w:r>
        <w:rPr>
          <w:rFonts w:ascii="Times New Roman" w:cs="Times New Roman" w:eastAsia="Times New Roman" w:hAnsi="Times New Roman"/>
          <w:sz w:val="18"/>
          <w:szCs w:val="18"/>
          <w:color w:val="auto"/>
        </w:rPr>
        <w:t>Immediately prior to the completion of this offering, our authorized share capital will be changed into US$</w:t>
      </w:r>
      <w:r>
        <w:rPr>
          <w:sz w:val="20"/>
          <w:szCs w:val="20"/>
          <w:color w:val="auto"/>
        </w:rPr>
        <w:tab/>
      </w:r>
      <w:r>
        <w:rPr>
          <w:rFonts w:ascii="Times New Roman" w:cs="Times New Roman" w:eastAsia="Times New Roman" w:hAnsi="Times New Roman"/>
          <w:sz w:val="17"/>
          <w:szCs w:val="17"/>
          <w:color w:val="auto"/>
        </w:rPr>
        <w:t>divided into</w:t>
      </w:r>
    </w:p>
    <w:p>
      <w:pPr>
        <w:spacing w:after="0" w:line="27" w:lineRule="exact"/>
        <w:rPr>
          <w:sz w:val="20"/>
          <w:szCs w:val="20"/>
          <w:color w:val="auto"/>
        </w:rPr>
      </w:pPr>
    </w:p>
    <w:p>
      <w:pPr>
        <w:ind w:left="120"/>
        <w:spacing w:after="0"/>
        <w:tabs>
          <w:tab w:leader="none" w:pos="3020" w:val="left"/>
          <w:tab w:leader="none" w:pos="5480" w:val="left"/>
          <w:tab w:leader="none" w:pos="8300" w:val="left"/>
        </w:tabs>
        <w:rPr>
          <w:sz w:val="20"/>
          <w:szCs w:val="20"/>
          <w:color w:val="auto"/>
        </w:rPr>
      </w:pPr>
      <w:r>
        <w:rPr>
          <w:rFonts w:ascii="Times New Roman" w:cs="Times New Roman" w:eastAsia="Times New Roman" w:hAnsi="Times New Roman"/>
          <w:sz w:val="18"/>
          <w:szCs w:val="18"/>
          <w:color w:val="auto"/>
        </w:rPr>
        <w:t>shares with a par value of US$</w:t>
      </w:r>
      <w:r>
        <w:rPr>
          <w:sz w:val="20"/>
          <w:szCs w:val="20"/>
          <w:color w:val="auto"/>
        </w:rPr>
        <w:tab/>
      </w:r>
      <w:r>
        <w:rPr>
          <w:rFonts w:ascii="Times New Roman" w:cs="Times New Roman" w:eastAsia="Times New Roman" w:hAnsi="Times New Roman"/>
          <w:sz w:val="18"/>
          <w:szCs w:val="18"/>
          <w:color w:val="auto"/>
        </w:rPr>
        <w:t>each, comprising of (i)</w:t>
      </w:r>
      <w:r>
        <w:rPr>
          <w:sz w:val="20"/>
          <w:szCs w:val="20"/>
          <w:color w:val="auto"/>
        </w:rPr>
        <w:tab/>
      </w:r>
      <w:r>
        <w:rPr>
          <w:rFonts w:ascii="Times New Roman" w:cs="Times New Roman" w:eastAsia="Times New Roman" w:hAnsi="Times New Roman"/>
          <w:sz w:val="18"/>
          <w:szCs w:val="18"/>
          <w:color w:val="auto"/>
        </w:rPr>
        <w:t>Class A ordinary shares, (ii)</w:t>
      </w:r>
      <w:r>
        <w:rPr>
          <w:sz w:val="20"/>
          <w:szCs w:val="20"/>
          <w:color w:val="auto"/>
        </w:rPr>
        <w:tab/>
      </w:r>
      <w:r>
        <w:rPr>
          <w:rFonts w:ascii="Times New Roman" w:cs="Times New Roman" w:eastAsia="Times New Roman" w:hAnsi="Times New Roman"/>
          <w:sz w:val="17"/>
          <w:szCs w:val="17"/>
          <w:color w:val="auto"/>
        </w:rPr>
        <w:t>Class B ordinary shares, and (iii)</w:t>
      </w:r>
    </w:p>
    <w:p>
      <w:pPr>
        <w:spacing w:after="0" w:line="9" w:lineRule="exact"/>
        <w:rPr>
          <w:sz w:val="20"/>
          <w:szCs w:val="20"/>
          <w:color w:val="auto"/>
        </w:rPr>
      </w:pPr>
    </w:p>
    <w:p>
      <w:pPr>
        <w:ind w:left="120" w:right="200" w:firstLine="765"/>
        <w:spacing w:after="0" w:line="252" w:lineRule="auto"/>
        <w:rPr>
          <w:sz w:val="20"/>
          <w:szCs w:val="20"/>
          <w:color w:val="auto"/>
        </w:rPr>
      </w:pPr>
      <w:r>
        <w:rPr>
          <w:rFonts w:ascii="Times New Roman" w:cs="Times New Roman" w:eastAsia="Times New Roman" w:hAnsi="Times New Roman"/>
          <w:sz w:val="18"/>
          <w:szCs w:val="18"/>
          <w:color w:val="auto"/>
        </w:rPr>
        <w:t>shares of such class or classes (however designated) as the board of directors may determine in accordance with our post-offering memorandum and articles of association. Immediately prior to the completion of this offering, (i) all of our issued and outstanding ordinary shares and preferred shares will be converted into, and/or re-designated and re-classified, as Class A ordinary shares on a one-for-one basis; and (ii) all of our issued and outstanding golden shares will be converted into, and/or re-designated and re-classified, as Class B ordinary shares on a one-for-one basis. All of our shares issued and outstanding prior to the completion of the offering are and will be fully paid, and all of our shares to be issued in the offering will be issued as fully paid.</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Post-Offering Memorandum and Articles of Association</w:t>
      </w:r>
    </w:p>
    <w:p>
      <w:pPr>
        <w:spacing w:after="0" w:line="121"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We will adopt an eighth amended and restated memorandum and articles of association, which will become effective and replace our current amended and restated memorandum and articles of association in its entirety immediately prior to the completion of this offering. The following are summaries of material provisions of the post-offering memorandum and articles of association and of the Companies Act, insofar as they relate to the material terms of our ordinary shares.</w:t>
      </w:r>
    </w:p>
    <w:p>
      <w:pPr>
        <w:spacing w:after="0" w:line="178" w:lineRule="exact"/>
        <w:rPr>
          <w:sz w:val="20"/>
          <w:szCs w:val="20"/>
          <w:color w:val="auto"/>
        </w:rPr>
      </w:pPr>
    </w:p>
    <w:p>
      <w:pPr>
        <w:ind w:left="120" w:right="2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Objects of Our Company</w:t>
      </w:r>
      <w:r>
        <w:rPr>
          <w:rFonts w:ascii="Times New Roman" w:cs="Times New Roman" w:eastAsia="Times New Roman" w:hAnsi="Times New Roman"/>
          <w:sz w:val="18"/>
          <w:szCs w:val="18"/>
          <w:color w:val="auto"/>
        </w:rPr>
        <w:t>. Under our post-offering memorandum and articles of association, the objects of our company are unrestricted and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the full power and authority to carry out any object not prohibited by the Cayman Islands law.</w:t>
      </w:r>
    </w:p>
    <w:p>
      <w:pPr>
        <w:spacing w:after="0" w:line="15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Ordinary Shares</w:t>
      </w:r>
      <w:r>
        <w:rPr>
          <w:rFonts w:ascii="Times New Roman" w:cs="Times New Roman" w:eastAsia="Times New Roman" w:hAnsi="Times New Roman"/>
          <w:sz w:val="18"/>
          <w:szCs w:val="18"/>
          <w:color w:val="auto"/>
        </w:rPr>
        <w:t>. Our ordinary shares are divided into Class A ordinary shares and Class B ordinary shares. Holders of our Class A ordinary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Class B ordinary shares will have the same rights except for voting and conversion rights. Our ordinary shares are issued in registered form and are issued when registered in our register of members (shareholders). We may not issue shares to bearer. Our shareholders who are nonresidents of the Cayman Islands may freely hold and vote their shares.</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140"/>
          </w:cols>
          <w:pgMar w:left="320" w:top="455" w:right="4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right="1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Conversion. </w:t>
      </w:r>
      <w:r>
        <w:rPr>
          <w:rFonts w:ascii="Times New Roman" w:cs="Times New Roman" w:eastAsia="Times New Roman" w:hAnsi="Times New Roman"/>
          <w:sz w:val="18"/>
          <w:szCs w:val="18"/>
          <w:color w:val="auto"/>
        </w:rPr>
        <w:t>Class B ordinary shares may be converted into the same number of Class A ordinary shares by the holders thereof at any time, while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A ordinary shares cannot be converted into Class B ordinary shares under any circumstances.</w:t>
      </w:r>
    </w:p>
    <w:p>
      <w:pPr>
        <w:spacing w:after="0" w:line="158"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The holders of our ordinary shares are entitled to such dividends as may be declared by our board of directors or declared by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by ordinary resolution (provided that no dividend may be declared by our shareholders which exceeds the amount recommended by our directors). Our post-offering memorandum and articles of association provide that dividends may be declared and paid out of the funds of our Company lawfully available therefor. Under the laws of the Cayman Islands, our company may pay a dividend out of either profit or share premium account, provided that in no circumstances may a dividend be paid if this would result in our company being unable to pay its debts as they fall due in the ordinary course of business.</w:t>
      </w:r>
    </w:p>
    <w:p>
      <w:pPr>
        <w:spacing w:after="0" w:line="182" w:lineRule="exact"/>
        <w:rPr>
          <w:sz w:val="20"/>
          <w:szCs w:val="20"/>
          <w:color w:val="auto"/>
        </w:rPr>
      </w:pPr>
    </w:p>
    <w:p>
      <w:pPr>
        <w:ind w:left="120" w:right="40" w:firstLine="440"/>
        <w:spacing w:after="0" w:line="277" w:lineRule="auto"/>
        <w:rPr>
          <w:sz w:val="20"/>
          <w:szCs w:val="20"/>
          <w:color w:val="auto"/>
        </w:rPr>
      </w:pPr>
      <w:r>
        <w:rPr>
          <w:rFonts w:ascii="Times New Roman" w:cs="Times New Roman" w:eastAsia="Times New Roman" w:hAnsi="Times New Roman"/>
          <w:sz w:val="17"/>
          <w:szCs w:val="17"/>
          <w:i w:val="1"/>
          <w:iCs w:val="1"/>
          <w:color w:val="auto"/>
        </w:rPr>
        <w:t>Voting Rights</w:t>
      </w:r>
      <w:r>
        <w:rPr>
          <w:rFonts w:ascii="Times New Roman" w:cs="Times New Roman" w:eastAsia="Times New Roman" w:hAnsi="Times New Roman"/>
          <w:sz w:val="17"/>
          <w:szCs w:val="17"/>
          <w:color w:val="auto"/>
        </w:rPr>
        <w:t>. Holders of class A ordinary shares and class B ordinary shares shall, at all times, vote together as one class on all matters submitted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a vote by the members at any general meeting of the Company. Each class A ordinary share shall be entitled to one vote on all matters subject to the</w:t>
      </w:r>
    </w:p>
    <w:p>
      <w:pPr>
        <w:spacing w:after="0" w:line="1"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vote at general meetings of our company, and each class B ordinary share shall be entitled to votes on all matters subject to the vote at general meetings of our company. Voting at any meeting of shareholders is by show of hands unless a poll is demanded. A poll may be demanded by the chairman of such meeting or any one shareholder present in person or by proxy.</w:t>
      </w:r>
    </w:p>
    <w:p>
      <w:pPr>
        <w:spacing w:after="0" w:line="18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An ordinary resolution to be passed at a meeting by the shareholders requires the affirmative vote of a simple majority of the votes attaching to the ordinary shares cast at a meeting, while a special resolution requires the affirmative vote of no less than two-thirds of the votes attaching to the outstanding ordinary shares cast at a meeting. Both ordinary resolutions and special resolutions may also be passed by a unanimous written resolution signed by all members entitled to vote. A special resolution will be required for important matters such as a change of name or making changes to our post-offering memorandum and articles of association. Our shareholders may, among other things, sub-divide or consolidate all or any of our company’s share capital by ordinary resolution.</w:t>
      </w:r>
    </w:p>
    <w:p>
      <w:pPr>
        <w:spacing w:after="0" w:line="185"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General Meetings of Shareholders</w:t>
      </w:r>
      <w:r>
        <w:rPr>
          <w:rFonts w:ascii="Times New Roman" w:cs="Times New Roman" w:eastAsia="Times New Roman" w:hAnsi="Times New Roman"/>
          <w:sz w:val="18"/>
          <w:szCs w:val="18"/>
          <w:color w:val="auto"/>
        </w:rPr>
        <w:t>. As a Cayman Islands exempted company, we are not obliged by the Companies Act to call shareholders’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general meetings. Our post-offering memorandum and articles of association provide that we may (but are not obliged to) in each year hold a general meeting as our annual general meeting in which case we shall specify the meeting as such in the notices calling it, and the annual general meeting shall be held at such time and place as may be determined by our directors.</w:t>
      </w:r>
    </w:p>
    <w:p>
      <w:pPr>
        <w:spacing w:after="0" w:line="182"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Shareholders’ general meetings may be convened by a majority of our board of directors. Advance notice of at least [seven] days is required for the convening of our annual general shareholders’ meeting (if any) and any other general meeting of our shareholders. A quorum required for any general meeting of shareholders consists of at least one shareholder present in person or by proxy, representing not less than [one-third] of all votes attaching to the issued and outstanding shares in our company entitled to vote at general meeting.</w:t>
      </w:r>
    </w:p>
    <w:p>
      <w:pPr>
        <w:spacing w:after="0" w:line="180"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The Companies Act does not provide shareholders with the right to requisition a general meeting, and does not provide shareholders with any right to put any proposal before a general meeting. However, these rights may be provided in a company’s articles of association. Our post-offering memorandum and articles of association provide that upon the requisition of any one or more of our shareholders who together hold shares which carry in aggregate [not less than one-third] of all votes attaching to the issued and outstanding shares of our company entitled to vote at general meetings, our board will convene an extraordinary general meeting and put the resolutions so requisitioned to a vote at such meeting. However, our post-offering memorandum and articles of association do not provide our shareholders with any right to put any proposals before annual general meetings or extraordinary general meetings not called by such shareholders.</w:t>
      </w:r>
    </w:p>
    <w:p>
      <w:pPr>
        <w:spacing w:after="0" w:line="187" w:lineRule="exact"/>
        <w:rPr>
          <w:sz w:val="20"/>
          <w:szCs w:val="20"/>
          <w:color w:val="auto"/>
        </w:rPr>
      </w:pPr>
    </w:p>
    <w:p>
      <w:pPr>
        <w:ind w:left="120" w:right="1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Transfer of Ordinary Shares</w:t>
      </w:r>
      <w:r>
        <w:rPr>
          <w:rFonts w:ascii="Times New Roman" w:cs="Times New Roman" w:eastAsia="Times New Roman" w:hAnsi="Times New Roman"/>
          <w:sz w:val="18"/>
          <w:szCs w:val="18"/>
          <w:color w:val="auto"/>
        </w:rPr>
        <w:t>. Subject to the restrictions set out in our post-offering memorandum and articles of association as set out below,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shareholders may transfer all or any of his or her ordinary</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1120"/>
          </w:cols>
          <w:pgMar w:left="320" w:top="455" w:right="45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shares by an instrument of transfer in the usual or common form or any other form approved by our board of directors.</w:t>
      </w:r>
    </w:p>
    <w:p>
      <w:pPr>
        <w:spacing w:after="0" w:line="225"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67" w:lineRule="exact"/>
        <w:rPr>
          <w:sz w:val="20"/>
          <w:szCs w:val="20"/>
          <w:color w:val="auto"/>
        </w:rPr>
      </w:pPr>
    </w:p>
    <w:p>
      <w:pPr>
        <w:ind w:left="1080" w:right="540" w:hanging="424"/>
        <w:spacing w:after="0" w:line="282"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ordinary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if required;</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ordinary share is to be transferred does not exceed four; and</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such maximum sum as the [New York Stock Exchange/Nasdaq Stock Market] may determine to be payable or such lesser sum as our directors may from time to time require is paid to us in respect thereof.</w:t>
      </w:r>
    </w:p>
    <w:p>
      <w:pPr>
        <w:spacing w:after="0" w:line="162"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If our directors refuse to register a transfer they shall, within three months after the date on which the instrument of transfer was lodged, send to each of the transferor and the transferee notice of such refusal.</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registration of transfers may, after compliance with any notice required of the [New York Stock Exchange/Nasdaq Stock Market], be suspended and the register closed at such times and for such periods as our board of directors may from time to time determine, provided, however, that the registration of transfers shall not be suspended nor the register closed for more than 30 days in any year as our board may determine.</w:t>
      </w:r>
    </w:p>
    <w:p>
      <w:pPr>
        <w:spacing w:after="0" w:line="17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Liquidation</w:t>
      </w:r>
      <w:r>
        <w:rPr>
          <w:rFonts w:ascii="Times New Roman" w:cs="Times New Roman" w:eastAsia="Times New Roman" w:hAnsi="Times New Roman"/>
          <w:sz w:val="18"/>
          <w:szCs w:val="18"/>
          <w:color w:val="auto"/>
        </w:rPr>
        <w:t>. On the winding up of our company, if the assets available for distribution amongst our shareholders shall be more than sufficient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repay the whole of our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our share capital, the assets will be distributed so that the losses are borne by our shareholders in proportion to the par value of the shares held by them.</w:t>
      </w:r>
    </w:p>
    <w:p>
      <w:pPr>
        <w:spacing w:after="0" w:line="183" w:lineRule="exact"/>
        <w:rPr>
          <w:sz w:val="20"/>
          <w:szCs w:val="20"/>
          <w:color w:val="auto"/>
        </w:rPr>
      </w:pPr>
    </w:p>
    <w:p>
      <w:pPr>
        <w:ind w:left="120" w:right="10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Calls on Shares and Forfeiture of Shares</w:t>
      </w:r>
      <w:r>
        <w:rPr>
          <w:rFonts w:ascii="Times New Roman" w:cs="Times New Roman" w:eastAsia="Times New Roman" w:hAnsi="Times New Roman"/>
          <w:sz w:val="18"/>
          <w:szCs w:val="18"/>
          <w:color w:val="auto"/>
        </w:rPr>
        <w:t>. Our board of directors may from time to time make calls upon shareholders for any amounts unpaid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shares in a notice served to such shareholders at least 14 days prior to the specified time and place of payment. The shares that have been called upon and remain unpaid are subject to forfeiture.</w:t>
      </w:r>
    </w:p>
    <w:p>
      <w:pPr>
        <w:spacing w:after="0" w:line="17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Redemption, Repurchase and Surrender of Shares</w:t>
      </w:r>
      <w:r>
        <w:rPr>
          <w:rFonts w:ascii="Times New Roman" w:cs="Times New Roman" w:eastAsia="Times New Roman" w:hAnsi="Times New Roman"/>
          <w:sz w:val="18"/>
          <w:szCs w:val="18"/>
          <w:color w:val="auto"/>
        </w:rPr>
        <w:t>. We may issue shares on terms that such shares are subject to redemption, at our option or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 of the holders of these shares, on such terms and in such manner as may be determined by our board of directors. Our company may also repurchase any of our shares on such terms and in such manner as have been approved by our board of directors or by an ordinary resolution of our shareholders. Under the Companies Act, the redemption or repurchase of any share may be paid out of our Company’s profits or out of the proceeds of a new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spacing w:after="0" w:line="1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1100"/>
          </w:cols>
          <w:pgMar w:left="320" w:top="455" w:right="47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Variations of Rights of Shares</w:t>
      </w:r>
      <w:r>
        <w:rPr>
          <w:rFonts w:ascii="Times New Roman" w:cs="Times New Roman" w:eastAsia="Times New Roman" w:hAnsi="Times New Roman"/>
          <w:sz w:val="18"/>
          <w:szCs w:val="18"/>
          <w:color w:val="auto"/>
        </w:rPr>
        <w:t>. If at any time, our share capital is divided into different classes or series of shares, the rights attached to any class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series of shares (unless otherwise provided by the terms of issue of the shares of that class or series), whether or not our company is being wound-up, may be varied with the consent in writing of all the holders of the issued shares of that class or series or with the sanction of a resolution passed by a majority of the votes cast at a separate meeting of the holders of the shares of the class or series. The rights conferred upon the holders of the shares of any class issued shall not, unless otherwise expressly provided by the terms of issue of the shares of that class, be deemed to be varied by the creation or issue of further shares ranking pari passu with or subsequent to such existing class of shares, or the redemption or purchase of any shares of any class by our company. The rights of the holders of shares shall not be deemed to be varied by the creation or issue of shares with preferred or other rights including, without limitation, the creation of shares with enhanced or weighted voting rights.</w:t>
      </w:r>
    </w:p>
    <w:p>
      <w:pPr>
        <w:spacing w:after="0" w:line="185" w:lineRule="exact"/>
        <w:rPr>
          <w:sz w:val="20"/>
          <w:szCs w:val="20"/>
          <w:color w:val="auto"/>
        </w:rPr>
      </w:pPr>
    </w:p>
    <w:p>
      <w:pPr>
        <w:ind w:left="120" w:right="4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Issuance of Additional Shares</w:t>
      </w:r>
      <w:r>
        <w:rPr>
          <w:rFonts w:ascii="Times New Roman" w:cs="Times New Roman" w:eastAsia="Times New Roman" w:hAnsi="Times New Roman"/>
          <w:sz w:val="18"/>
          <w:szCs w:val="18"/>
          <w:color w:val="auto"/>
        </w:rPr>
        <w:t>. Our post-offering memorandum and articles of association authorize our board of directors to issue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shares from time to time as our board of directors shall determine, to the extent of available authorized but unissued shares.</w:t>
      </w:r>
    </w:p>
    <w:p>
      <w:pPr>
        <w:spacing w:after="0" w:line="160"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Our post-offering memorandum and articles of association also authorize our board of directors to establish from time to time one or more series of preference shares and to determine, with respect to any series of preference shares, the terms and rights of that series, including:</w:t>
      </w:r>
    </w:p>
    <w:p>
      <w:pPr>
        <w:spacing w:after="0" w:line="67" w:lineRule="exact"/>
        <w:rPr>
          <w:sz w:val="20"/>
          <w:szCs w:val="20"/>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rights, dividend rates, conversion rights, voting rights; and the rights and terms of redemption and liquidation preferences.</w:t>
      </w:r>
    </w:p>
    <w:p>
      <w:pPr>
        <w:spacing w:after="0" w:line="225"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Our board of directors may issue preference shares without action by our shareholders to the extent authorized but unissued. Issuance of these shares may dilute the voting power of holders of ordinary shares.</w:t>
      </w:r>
    </w:p>
    <w:p>
      <w:pPr>
        <w:spacing w:after="0" w:line="16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Inspection of Books and Records</w:t>
      </w:r>
      <w:r>
        <w:rPr>
          <w:rFonts w:ascii="Times New Roman" w:cs="Times New Roman" w:eastAsia="Times New Roman" w:hAnsi="Times New Roman"/>
          <w:sz w:val="18"/>
          <w:szCs w:val="18"/>
          <w:color w:val="auto"/>
        </w:rPr>
        <w:t>. Holders of our ordinary shares will have no general right under Cayman Islands law to inspect or obtain copies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list of shareholders or our corporate records (other than our memorandum and articles of association, special resolutions, and our register of mortgages and charges). However, we will provide our shareholders with annual audited financial statements. See “Where You Can Find Additional Information.”</w:t>
      </w:r>
    </w:p>
    <w:p>
      <w:pPr>
        <w:spacing w:after="0" w:line="180" w:lineRule="exact"/>
        <w:rPr>
          <w:sz w:val="20"/>
          <w:szCs w:val="20"/>
          <w:color w:val="auto"/>
        </w:rPr>
      </w:pPr>
    </w:p>
    <w:p>
      <w:pPr>
        <w:ind w:left="120" w:right="4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Anti-Takeover Provisions</w:t>
      </w:r>
      <w:r>
        <w:rPr>
          <w:rFonts w:ascii="Times New Roman" w:cs="Times New Roman" w:eastAsia="Times New Roman" w:hAnsi="Times New Roman"/>
          <w:sz w:val="18"/>
          <w:szCs w:val="18"/>
          <w:color w:val="auto"/>
        </w:rPr>
        <w:t>. Some provisions of our post-offering memorandum and articles of association may discourage, delay or prevent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 of control of our company or management that shareholders may consider favorable, including provisions that:</w:t>
      </w:r>
    </w:p>
    <w:p>
      <w:pPr>
        <w:spacing w:after="0" w:line="66" w:lineRule="exact"/>
        <w:rPr>
          <w:sz w:val="20"/>
          <w:szCs w:val="20"/>
          <w:color w:val="auto"/>
        </w:rPr>
      </w:pPr>
    </w:p>
    <w:p>
      <w:pPr>
        <w:ind w:left="1080" w:right="200" w:hanging="424"/>
        <w:spacing w:after="0" w:line="282"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preference shares in one or more series and to designate the price, rights, preferences, privileges and restrictions of such preference shares without any further vote or action by our shareholders;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ability of shareholders to requisition and convene general meetings of shareholders.</w:t>
      </w:r>
    </w:p>
    <w:p>
      <w:pPr>
        <w:spacing w:after="0" w:line="225"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However, under Cayman Islands law, our directors may only exercise the rights and powers granted to them under our post-offering memorandum and articles of association for a proper purpose and for what they believe in good faith to be in the best interests of our company.</w:t>
      </w:r>
    </w:p>
    <w:p>
      <w:pPr>
        <w:spacing w:after="0" w:line="160"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Exempted Company</w:t>
      </w:r>
      <w:r>
        <w:rPr>
          <w:rFonts w:ascii="Times New Roman" w:cs="Times New Roman" w:eastAsia="Times New Roman" w:hAnsi="Times New Roman"/>
          <w:sz w:val="18"/>
          <w:szCs w:val="18"/>
          <w:color w:val="auto"/>
        </w:rPr>
        <w:t>. We are an exempted company incorporated with limited liability under the Companies Act. The Companies Act distinguishes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between ordinary resident companies and exempted companies. Any company that is registered in the Cayman Islands but conducts business mainly outside of the Cayman Islands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1120"/>
          </w:cols>
          <w:pgMar w:left="320" w:top="455" w:right="45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may apply to be registered as an exempted company. The requirements for an exempted company are essentially the same as for an ordinary company except that an exempted company:</w:t>
      </w:r>
    </w:p>
    <w:p>
      <w:pPr>
        <w:spacing w:after="0" w:line="67" w:lineRule="exact"/>
        <w:rPr>
          <w:sz w:val="20"/>
          <w:szCs w:val="20"/>
          <w:color w:val="auto"/>
        </w:rPr>
      </w:pPr>
    </w:p>
    <w:p>
      <w:pPr>
        <w:ind w:left="1080" w:hanging="424"/>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file an annual return of its shareholders with the Registrar of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required to open its register of members for inspection;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hold an annual general meeting;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issue negotiable or bearer shares or shares with no par value;</w:t>
      </w:r>
    </w:p>
    <w:p>
      <w:pPr>
        <w:spacing w:after="0" w:line="130"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obtain an undertaking against the imposition of any future taxation (such undertakings are usually given for 20 years in the first instance);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by way of continuation in another jurisdiction and be deregistered in the Cayman Islands;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limited duration company;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segregated portfolio company.</w:t>
      </w:r>
    </w:p>
    <w:p>
      <w:pPr>
        <w:spacing w:after="0" w:line="225"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17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Exclusive Forum. </w:t>
      </w:r>
      <w:r>
        <w:rPr>
          <w:rFonts w:ascii="Times New Roman" w:cs="Times New Roman" w:eastAsia="Times New Roman" w:hAnsi="Times New Roman"/>
          <w:sz w:val="18"/>
          <w:szCs w:val="18"/>
          <w:color w:val="auto"/>
        </w:rPr>
        <w:t>Unless we consent in writing to the selection of an alternative forum, the United States District Court for the Southern District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New York (or, if the United States District Court for the Southern District of New York lacks subject matter jurisdiction over a particular dispute, the state courts in New York County, New York) shall be the exclusive forum within the United States for the resolution of any complaint asserting a cause of action arising out of or relating in any way to the federal securities laws of the United States, including those arising from the Securities Act and the Exchange Act, regardless of whether such legal suit, action, or proceeding also involves parties other than our company. Any person or entity purchasing or otherwise acquiring any share or other securities in our company, or purchasing or otherwise acquiring American depositary shares issued pursuant to deposit agreements, shall be deemed to have notice of and consented to the provisions of this article. Without prejudice to the foregoing, if the provision in this article is held to be illegal, invalid or unenforceable under applicable law, the legality, validity or enforceability of the rest of articles of association shall not be affected and this article shall be interpreted and construed to the maximum extent possible to apply in the relevant jurisdiction with whatever modification or deletion may be necessary so as best to give effect to our intention.]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Differences in Corporate Law</w:t>
      </w:r>
    </w:p>
    <w:p>
      <w:pPr>
        <w:spacing w:after="0" w:line="121" w:lineRule="exact"/>
        <w:rPr>
          <w:sz w:val="20"/>
          <w:szCs w:val="20"/>
          <w:color w:val="auto"/>
        </w:rPr>
      </w:pPr>
    </w:p>
    <w:p>
      <w:pPr>
        <w:ind w:left="120" w:right="360" w:firstLine="440"/>
        <w:spacing w:after="0" w:line="258" w:lineRule="auto"/>
        <w:rPr>
          <w:sz w:val="20"/>
          <w:szCs w:val="20"/>
          <w:color w:val="auto"/>
        </w:rPr>
      </w:pPr>
      <w:r>
        <w:rPr>
          <w:rFonts w:ascii="Times New Roman" w:cs="Times New Roman" w:eastAsia="Times New Roman" w:hAnsi="Times New Roman"/>
          <w:sz w:val="18"/>
          <w:szCs w:val="18"/>
          <w:color w:val="auto"/>
        </w:rPr>
        <w:t>The Companies Act of the Cayman Islands is derived, to a large extent, from the older Companies Acts of England but does not follow recent English statutory enactments and, accordingly, there are significant differences between the Companies Act of the Cayman Islands and the current Companies Act of England. In addition, the Companies Act of the Cayman Islands differs from laws applicable to U.S. corporations and their shareholders. Set forth below is a summary of certain significant differences between the provisions of the Companies Act of the Cayman Islands applicable to us and the laws applicable to companies incorporated in the United States and their shareholders.</w:t>
      </w:r>
    </w:p>
    <w:p>
      <w:pPr>
        <w:spacing w:after="0" w:line="18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Mergers and Similar Arrangements. </w:t>
      </w:r>
      <w:r>
        <w:rPr>
          <w:rFonts w:ascii="Times New Roman" w:cs="Times New Roman" w:eastAsia="Times New Roman" w:hAnsi="Times New Roman"/>
          <w:sz w:val="18"/>
          <w:szCs w:val="18"/>
          <w:color w:val="auto"/>
        </w:rPr>
        <w:t>The Companies Act permits mergers and consolidations between Cayman Islands companies and between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Cayman Islands companies and non-Cayman Islands companies. For these purposes, (i) “merger” means the merging of two or more constituent companies and the vesting of their undertaking, property and liabilities in one of such companies as the surviving company, and (ii) a “consolidation” means the combination of two or more constituent companies into a consolidated company and the vesting of the undertaking, property and liabilities of such companies to the consolidated company. In order</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1120"/>
          </w:cols>
          <w:pgMar w:left="320" w:top="455" w:right="45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of the Cayman Islands together with a declaration as to the solvency of the surviving or consolidated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spacing w:after="0" w:line="189"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90% of the votes at a general meeting of the subsidiary.</w:t>
      </w:r>
    </w:p>
    <w:p>
      <w:pPr>
        <w:spacing w:after="0" w:line="180"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consent of each holder of a fixed or floating security interest over a constituent company is required unless this requirement is waived by a court in the Cayman Islands.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provided that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83"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Separate from the statutory provisions relating to mergers and consolidations, the Companies Act also contains statutory provisions that facilitate the reconstruction and amalgamation of companies by way of schemes of arrangement; provided that the arrangement is approved by (a) 75% in value of the shareholders or class of shareholders, or (b) a majority in number representing 75% in value of the creditors or class of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93" w:lineRule="exact"/>
        <w:rPr>
          <w:sz w:val="20"/>
          <w:szCs w:val="20"/>
          <w:color w:val="auto"/>
        </w:rPr>
      </w:pPr>
    </w:p>
    <w:p>
      <w:pPr>
        <w:ind w:left="1080" w:hanging="424"/>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provisions as to the required majority vote have been met;</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that may be reasonably approved by an intelligent and honest man of that class acting in respect of his interest;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Act.</w:t>
      </w:r>
    </w:p>
    <w:p>
      <w:pPr>
        <w:spacing w:after="0" w:line="225"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Companies Act also contains a statutory power of compulsory acquisition which may facilitate the “squeeze out” of dissentient minority shareholder(s) upon a tender offer. When a tender offer is made and accepted by holders of 90.0%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1120"/>
          </w:cols>
          <w:pgMar w:left="320" w:top="455" w:right="45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If an arrangement and reconstruction by way of scheme of arrangement is thus approved and sanctioned, or if a tender offer is made and accepted, in accordance with the foregoing statutory procedures,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78"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Shareholders’ Suits</w:t>
      </w:r>
      <w:r>
        <w:rPr>
          <w:rFonts w:ascii="Times New Roman" w:cs="Times New Roman" w:eastAsia="Times New Roman" w:hAnsi="Times New Roman"/>
          <w:sz w:val="18"/>
          <w:szCs w:val="18"/>
          <w:color w:val="auto"/>
        </w:rPr>
        <w:t>. In principle, we will normally be the proper plaintiff to sue for a wrong done to us as a company, and as a general rule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Foss v. Harbottle and the exceptions thereto) so that a non-controlling shareholder may be permitted to commence a class action against or derivative actions in the name of the company to challenge actions where:</w:t>
      </w:r>
    </w:p>
    <w:p>
      <w:pPr>
        <w:spacing w:after="0" w:line="91" w:lineRule="exact"/>
        <w:rPr>
          <w:sz w:val="20"/>
          <w:szCs w:val="20"/>
          <w:color w:val="auto"/>
        </w:rPr>
      </w:pPr>
    </w:p>
    <w:p>
      <w:pPr>
        <w:ind w:left="1080" w:hanging="424"/>
        <w:spacing w:after="0"/>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acts or proposes to act illegally or ultra vires (and is therefore incapable of ratification by the shareholder);</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ultra vires, could only be effected duly if authorized by more than a simple majority vote that has not been obtained;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 control the company are perpetrating a “fraud on the minority.”</w:t>
      </w:r>
    </w:p>
    <w:p>
      <w:pPr>
        <w:spacing w:after="0" w:line="223"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Indemnification of Directors and Executive Officers and Limitation of Liability</w:t>
      </w:r>
      <w:r>
        <w:rPr>
          <w:rFonts w:ascii="Times New Roman" w:cs="Times New Roman" w:eastAsia="Times New Roman" w:hAnsi="Times New Roman"/>
          <w:sz w:val="18"/>
          <w:szCs w:val="18"/>
          <w:color w:val="auto"/>
        </w:rPr>
        <w:t>. Cayman Islands law does not limit the extent to which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post-offering memorandum and articles of association provide that we shall indemnify our officers and directors against all actions, proceedings, costs, charges, expenses, losses, damages or liabilities incurred or sustained by such directors or officer, 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spacing w:after="0" w:line="187"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In addition, we have entered into indemnification agreements with our directors and executive officers that provide such persons with additional indemnification beyond that provided in our post-offering memorandum and articles of association.</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74"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Directors’ Fiduciary Duties. </w:t>
      </w:r>
      <w:r>
        <w:rPr>
          <w:rFonts w:ascii="Times New Roman" w:cs="Times New Roman" w:eastAsia="Times New Roman" w:hAnsi="Times New Roman"/>
          <w:sz w:val="18"/>
          <w:szCs w:val="18"/>
          <w:color w:val="auto"/>
        </w:rPr>
        <w:t>Under Delaware corporate law, a director of a Delaware corporation has a fiduciary duty to the corporation and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1100"/>
          </w:cols>
          <w:pgMar w:left="320" w:top="455" w:right="47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83"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As a matter of Cayman Islands law, a director of a Cayman Islands company is in the position of a fiduciary with respect to the company and, therefore, it is considered that he owes the following duties to the company—a duty to act bona fide in the best interests of the company, a duty not to make a profit based on his position as director (unless the company permits him to do so), a duty not to put himself in a position where the interests of the company conflict with his personal interest or his duty to a third-party, and a duty to exercise powers for the purpose for which such powers were intended. A director of a Cayman Islands company owes to the company a duty to exercise the skill they actually possess and such care and diligence that a reasonably prudent person would exercise in comparable circumstances.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spacing w:after="0" w:line="186"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Shareholder Action by Written Consent. </w:t>
      </w:r>
      <w:r>
        <w:rPr>
          <w:rFonts w:ascii="Times New Roman" w:cs="Times New Roman" w:eastAsia="Times New Roman" w:hAnsi="Times New Roman"/>
          <w:sz w:val="18"/>
          <w:szCs w:val="18"/>
          <w:color w:val="auto"/>
        </w:rPr>
        <w:t>Under the Delaware General Corporation Law, a corporation may eliminate the right of shareholders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 by written consent by amendment to its certificate of incorporation. Cayman Islands law and our post-offering memorandum and articles of association provide that our shareholders may approve corporate matters by way of a unanimous written resolution signed by or on behalf of each shareholder who would have been entitled to vote on such matter at a general meeting without a meeting being held.</w:t>
      </w:r>
    </w:p>
    <w:p>
      <w:pPr>
        <w:spacing w:after="0" w:line="180" w:lineRule="exact"/>
        <w:rPr>
          <w:sz w:val="20"/>
          <w:szCs w:val="20"/>
          <w:color w:val="auto"/>
        </w:rPr>
      </w:pPr>
    </w:p>
    <w:p>
      <w:pPr>
        <w:ind w:left="120" w:right="160" w:firstLine="440"/>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Shareholder Proposals. </w:t>
      </w:r>
      <w:r>
        <w:rPr>
          <w:rFonts w:ascii="Times New Roman" w:cs="Times New Roman" w:eastAsia="Times New Roman" w:hAnsi="Times New Roman"/>
          <w:sz w:val="17"/>
          <w:szCs w:val="17"/>
          <w:color w:val="auto"/>
        </w:rPr>
        <w:t>Under the Delaware General Corporation Law, a shareholder has the right to put any proposal before the annual meeting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shareholders; provided that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57"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The Companies Act does not provide shareholders with the right to requisition a general meeting, and does not provide shareholders with any right to put any proposal before a general meeting. However, these rights may be provided in a company’s articles of association. Our post-offering memorandum and articles of association allow any one or more of our shareholders who together hold shares which carry in aggregate not less than [one-third] of the total number votes attaching to all issued and outstanding shares of our company entitled to vote at general meetings to requisition an extraordinary general meeting of our shareholders, in which case our board is obliged to convene an extraordinary general meeting and to put the resolutions so requisitioned to a vote at such meeting. Other than this right to requisition a shareholders’ meeting, our post-offering memorandum and articles of association do not provide our shareholders with any other right to put proposals before annual general meetings or extraordinary general meetings. As a Cayman Islands exempted company, we are not obliged by law to call shareholders’ annual general meetings.</w:t>
      </w:r>
    </w:p>
    <w:p>
      <w:pPr>
        <w:spacing w:after="0" w:line="190"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Cumulative Voting</w:t>
      </w:r>
      <w:r>
        <w:rPr>
          <w:rFonts w:ascii="Times New Roman" w:cs="Times New Roman" w:eastAsia="Times New Roman" w:hAnsi="Times New Roman"/>
          <w:sz w:val="18"/>
          <w:szCs w:val="18"/>
          <w:color w:val="auto"/>
        </w:rPr>
        <w:t>. Under the Delaware General Corporation Law, cumulative voting for elections of directors is not permitted unless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post-offering memorandum and articles of association do not provide for cumulative voting. As a result, our shareholders are not afforded any less protections or rights on this issue than shareholders of a Delaware corporation.</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204</w:t>
      </w:r>
    </w:p>
    <w:p>
      <w:pPr>
        <w:sectPr>
          <w:pgSz w:w="11900" w:h="16838" w:orient="portrait"/>
          <w:cols w:equalWidth="0" w:num="1">
            <w:col w:w="11120"/>
          </w:cols>
          <w:pgMar w:left="320" w:top="455" w:right="45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Removal of Directors</w:t>
      </w:r>
      <w:r>
        <w:rPr>
          <w:rFonts w:ascii="Times New Roman" w:cs="Times New Roman" w:eastAsia="Times New Roman" w:hAnsi="Times New Roman"/>
          <w:sz w:val="18"/>
          <w:szCs w:val="18"/>
          <w:color w:val="auto"/>
        </w:rPr>
        <w:t>. Under the Delaware General Corporation Law, a director of a corporation with a classified board may be removed only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cause with the approval of a majority of the issued and outstanding shares entitled to vote, unless the certificate of incorporation provides otherwise. Under our post-offering memorandum and articles of association, directors may be removed with or without cause, by an ordinary resolution of our shareholders. A director will also cease to be a director if he (i) becomes bankrupt or makes any arrangement or composition with his creditors; (ii) dies or is found to be or becomes of unsound mind; (iii) resigns his office by notice in writing; (iv) without special leave of absence from our board, is absent from meetings of our board for three consecutive meetings and our board resolves that his office be vacated; or (v) is removed from office pursuant to any other provision of our articles of association.</w:t>
      </w:r>
    </w:p>
    <w:p>
      <w:pPr>
        <w:spacing w:after="0" w:line="18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Transactions with Interested Shareholders</w:t>
      </w:r>
      <w:r>
        <w:rPr>
          <w:rFonts w:ascii="Times New Roman" w:cs="Times New Roman" w:eastAsia="Times New Roman" w:hAnsi="Times New Roman"/>
          <w:sz w:val="18"/>
          <w:szCs w:val="18"/>
          <w:color w:val="auto"/>
        </w:rPr>
        <w:t>. The Delaware General Corporation Law contains a business combination statute applicable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9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not with the effect of constituting a fraud on the minority shareholders.</w:t>
      </w:r>
    </w:p>
    <w:p>
      <w:pPr>
        <w:spacing w:after="0" w:line="178"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Dissolution; Winding up. </w:t>
      </w:r>
      <w:r>
        <w:rPr>
          <w:rFonts w:ascii="Times New Roman" w:cs="Times New Roman" w:eastAsia="Times New Roman" w:hAnsi="Times New Roman"/>
          <w:sz w:val="18"/>
          <w:szCs w:val="18"/>
          <w:color w:val="auto"/>
        </w:rPr>
        <w:t>Under the Delaware General Corporation Law, unless the board of directors approves the proposal to dissolve,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either an order of the courts of the Cayman Islands or by the board of directors.</w:t>
      </w:r>
    </w:p>
    <w:p>
      <w:pPr>
        <w:spacing w:after="0" w:line="18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spacing w:after="0" w:line="174" w:lineRule="exact"/>
        <w:rPr>
          <w:sz w:val="20"/>
          <w:szCs w:val="20"/>
          <w:color w:val="auto"/>
        </w:rPr>
      </w:pPr>
    </w:p>
    <w:p>
      <w:pPr>
        <w:ind w:left="120" w:right="2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Restructuring. </w:t>
      </w:r>
      <w:r>
        <w:rPr>
          <w:rFonts w:ascii="Times New Roman" w:cs="Times New Roman" w:eastAsia="Times New Roman" w:hAnsi="Times New Roman"/>
          <w:sz w:val="18"/>
          <w:szCs w:val="18"/>
          <w:color w:val="auto"/>
        </w:rPr>
        <w:t>A company may present a petition to the Grand Court of the Cayman Islands for the appointment of a restructuring officer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grounds that the company:</w:t>
      </w:r>
    </w:p>
    <w:p>
      <w:pPr>
        <w:spacing w:after="0" w:line="160" w:lineRule="exact"/>
        <w:rPr>
          <w:sz w:val="20"/>
          <w:szCs w:val="20"/>
          <w:color w:val="auto"/>
        </w:rPr>
      </w:pPr>
    </w:p>
    <w:p>
      <w:pPr>
        <w:ind w:left="940" w:hanging="384"/>
        <w:spacing w:after="0"/>
        <w:tabs>
          <w:tab w:leader="none" w:pos="9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 is likely to become unable to pay its debts; and</w:t>
      </w:r>
    </w:p>
    <w:p>
      <w:pPr>
        <w:spacing w:after="0" w:line="225" w:lineRule="exact"/>
        <w:rPr>
          <w:rFonts w:ascii="Times New Roman" w:cs="Times New Roman" w:eastAsia="Times New Roman" w:hAnsi="Times New Roman"/>
          <w:sz w:val="18"/>
          <w:szCs w:val="18"/>
          <w:color w:val="auto"/>
        </w:rPr>
      </w:pPr>
    </w:p>
    <w:p>
      <w:pPr>
        <w:ind w:left="120" w:firstLine="436"/>
        <w:spacing w:after="0" w:line="282" w:lineRule="auto"/>
        <w:tabs>
          <w:tab w:leader="none" w:pos="95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intends to present a compromise or arrangement to its creditors (or classes thereof) either pursuant to the Companies Act, the law of a foreign country or by way of a consensual restructuring.</w:t>
      </w:r>
    </w:p>
    <w:p>
      <w:pPr>
        <w:spacing w:after="0" w:line="162"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Grand Court may, among other things, make an order appointing a restructuring officer upon hearing of such petition, with such powers and to carry out such functions as the court may order. At any time (i) after the presentation of a petition for the appointment of a restructuring officer but before an order for the appointment of</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205</w:t>
      </w:r>
    </w:p>
    <w:p>
      <w:pPr>
        <w:sectPr>
          <w:pgSz w:w="11900" w:h="16838" w:orient="portrait"/>
          <w:cols w:equalWidth="0" w:num="1">
            <w:col w:w="11120"/>
          </w:cols>
          <w:pgMar w:left="320" w:top="455" w:right="45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a restructuring officer has been made, and (ii) when an order for the appointment of a restructuring officer is made, until such order has been discharged, no suit, action or other proceedings (other than criminal proceedings) shall be proceeded with or commenced against the company, no resolution to wind up the company shall be passed, and no winding up petition may be presented against the company, except with the leave of the court. However, notwithstanding the presentation of a petition for the appointment of a restructuring officer or the appointment of a restructuring officer, a creditor who has security over the whole or part of the assets of the company is entitled to enforce the security without the leave of the court and without reference to the restructuring officer appointed.</w:t>
      </w:r>
    </w:p>
    <w:p>
      <w:pPr>
        <w:spacing w:after="0" w:line="18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Variation of Rights of Shares</w:t>
      </w:r>
      <w:r>
        <w:rPr>
          <w:rFonts w:ascii="Times New Roman" w:cs="Times New Roman" w:eastAsia="Times New Roman" w:hAnsi="Times New Roman"/>
          <w:sz w:val="18"/>
          <w:szCs w:val="18"/>
          <w:color w:val="auto"/>
        </w:rPr>
        <w:t>. Under the Delaware General Corporation Law, a corporation may vary the rights of a class of shares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approval of a majority of the outstanding shares of such class, unless the certificate of incorporation provides otherwise. Under our post-offering memorandum and articles of association, if at any time our share capital is divided into different classes or series of shares, the rights attached to any class or series of shares (unless otherwise provided by the terms of issue of the shares of that class or series), whether or not our company is being wound-up, may be varied with the consent in writing of all the holders of the issued shares of that class or series or with the sanction of a resolution passed by a majority of the votes cast at a separate meeting of the holders of the shares of the class or series. The rights conferred upon the holders of the shares of any class issued shall not, unless otherwise expressly provided by the terms of issue of the shares of that class, be deemed to be varied by the creation or issue of further shares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or subsequent to such existing class of shares, or the redemption or purchase of any shares of any class by our company. The rights of the holders of shares shall not be deemed to be varied by the creation or issue of shares with preferred or other rights including, without limitation, the creation of shares with enhanced or weighted voting rights.</w:t>
      </w:r>
    </w:p>
    <w:p>
      <w:pPr>
        <w:spacing w:after="0" w:line="185"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Amendment of Governing Documents</w:t>
      </w:r>
      <w:r>
        <w:rPr>
          <w:rFonts w:ascii="Times New Roman" w:cs="Times New Roman" w:eastAsia="Times New Roman" w:hAnsi="Times New Roman"/>
          <w:sz w:val="18"/>
          <w:szCs w:val="18"/>
          <w:color w:val="auto"/>
        </w:rPr>
        <w:t>. Under the Delaware General Corporation Law, a corporation’s governing documents may be amended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approval of a majority of the outstanding shares entitled to vote, unless the certificate of incorporation provides otherwise. Under the Companies Act and our post-offering memorandum and articles of association, our memorandum and articles of association may only be amended by a special resolution of our shareholders.</w:t>
      </w:r>
    </w:p>
    <w:p>
      <w:pPr>
        <w:spacing w:after="0" w:line="180" w:lineRule="exact"/>
        <w:rPr>
          <w:sz w:val="20"/>
          <w:szCs w:val="20"/>
          <w:color w:val="auto"/>
        </w:rPr>
      </w:pPr>
    </w:p>
    <w:p>
      <w:pPr>
        <w:ind w:left="120" w:right="20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Rights of Non-resident or Foreign Shareholders</w:t>
      </w:r>
      <w:r>
        <w:rPr>
          <w:rFonts w:ascii="Times New Roman" w:cs="Times New Roman" w:eastAsia="Times New Roman" w:hAnsi="Times New Roman"/>
          <w:sz w:val="18"/>
          <w:szCs w:val="18"/>
          <w:color w:val="auto"/>
        </w:rPr>
        <w:t>. There are no limitations imposed by our post-offering memorandum and articles of association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rights of nonresident or foreign shareholders to hold or exercise voting rights on our shares. In addition, there are no provisions in our post-offering memorandum and articles of association governing the ownership threshold above which shareholder ownership must be disclosed.</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History of Securities Issuances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is a summary of our securities issuances in the past three years.</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Ordinary Shares</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On September 16, 2020 and November 11, 2020, we issued a total of 3,816,368 ordinary shares to certain individual shareholders, primarily our directors and officers at the time, for an aggregate consideration of US$19,196,331.</w:t>
      </w:r>
    </w:p>
    <w:p>
      <w:pPr>
        <w:spacing w:after="0" w:line="162"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On January 13, 2021, we issued a total of 823,785 ordinary shares to certain key employees of our company at the time, for an aggregate consideration of US$8,707,407.</w:t>
      </w:r>
    </w:p>
    <w:p>
      <w:pPr>
        <w:spacing w:after="0" w:line="162"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On June 30, 2021, we issued 4,731,960 ordinary shares to Tianjin Wenze Equity Investment Fund Partnership (Limited Partnership) for a consideration of US$5,000,000.</w:t>
      </w:r>
    </w:p>
    <w:p>
      <w:pPr>
        <w:spacing w:after="0" w:line="162"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On September 1, 2021, we issued 1,892,780 ordinary shares to Nanjing Jianye Jushi Technology Innovation Growth Fund Partnership (Limited Partnership) for a consideration of US$2,000,000.</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206</w:t>
      </w:r>
    </w:p>
    <w:p>
      <w:pPr>
        <w:sectPr>
          <w:pgSz w:w="11900" w:h="16838" w:orient="portrait"/>
          <w:cols w:equalWidth="0" w:num="1">
            <w:col w:w="11120"/>
          </w:cols>
          <w:pgMar w:left="320" w:top="455" w:right="45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80" w:firstLine="440"/>
        <w:spacing w:after="0" w:line="282" w:lineRule="auto"/>
        <w:rPr>
          <w:sz w:val="20"/>
          <w:szCs w:val="20"/>
          <w:color w:val="auto"/>
        </w:rPr>
      </w:pPr>
      <w:r>
        <w:rPr>
          <w:rFonts w:ascii="Times New Roman" w:cs="Times New Roman" w:eastAsia="Times New Roman" w:hAnsi="Times New Roman"/>
          <w:sz w:val="18"/>
          <w:szCs w:val="18"/>
          <w:color w:val="auto"/>
        </w:rPr>
        <w:t>On July 12, 2022, we issued 1,892,780 ordinary shares to Guangzhou Hengdazhixing Industrial Investment Fund Partnership (Limited Partnership) for a consideration of US$2,000,000.</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Golden Shares</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On December 4, 2020, we issued three golden shares to a wholly-owned holding vehicle of Dr. Tony Xu Han, our Founder, Director and Chief Executive Officer, for zero consideration. These shares were later sub-divided into 30 golden shares.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Series Seed-1 Preferred Shares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February 24, 2020, we issued 576,820 Series Seed-1 preferred shares to Space V Holdings Limited for a consideration of US$2,414.596.2.</w:t>
      </w:r>
    </w:p>
    <w:p>
      <w:pPr>
        <w:spacing w:after="0" w:line="225"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On January 20, 2022, we issued (i) 286,246 Series Seed-1 preferred shares to Homeric Spirit HK Limited Partnership Fund for a consideration of US$1,000,000; and (ii) 882,382 Series Seed-1 preferred shares to Zto Ljf Holding Limited for a consideration of US$3,082,602.</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Series Seed-2 Preferred Shares</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On December 23, 2020, we issued 316,528 Series Seed-2 preferred shares to Ningbo Meishan Free Trade Port Area Jiangmen Venture Investment Center L.P. for a consideration of US$1,943,338.</w:t>
      </w:r>
    </w:p>
    <w:p>
      <w:pPr>
        <w:spacing w:after="0" w:line="162"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On December 25, 2020, we issued 341,498 Series Seed-2 preferred shares to Suzhou Industrial Part Oriza Zhengze Venture Capital Two (Limited Partnership) for a consideration of US$2,096,641.4.</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Series A Preferred Shares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May 7, 2021, we issued 3,481,950 Series A preferred shares to Unified City Limited for a consideration of US$3,461,981.</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June 3, 2021, we issued 1,000,000 Series A preferred shares to EverestLu Holding Limited for a consideration of US$994,265.</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Series B-1 Preferred Shares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On June 17, 2021, we issued 66,247,450 Series B-1 Preferred Shares to Zhengzhou Xufeng Jiayuan Intelligent Connected Enterprise Management Center (Limited Partnership) for a consideration of US$100,000,000.</w:t>
      </w:r>
    </w:p>
    <w:p>
      <w:pPr>
        <w:spacing w:after="0" w:line="162"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On June 15, 2022, we issued 66,247,450 Series B-1 Preferred Shares to Beijing Xufeng Zhiyuan Intelligent Technology Partnership (Limited Partnership) for a consideration of US$100,000,000.</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Series B-2 Preferred Shares</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On December 14, 2020, we issued a total of 271,012 Series B-2 preferred shares to Qiming Venture Partners VII, L.P. and Qiming VII Strategic Investors Fund, L.P. for an aggregate consideration of US$5,000,000.</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June 2021, we issued a total of 9,560,580 Series B-2 preferred shares to the other Series B-2 investors, namely Shanghai Zhicai Enterprise Management Consulting Partnership (Limited Partnership), Guangzhou Flower City Venture Partnership Limited (Limited Partnership) and Guangdong-Zhuhai-Macao (Zhuhai) Frontier Industry Equity Investment Fund (Limited Partnership), for an aggregate consideration of US$14,940,983.</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207</w:t>
      </w:r>
    </w:p>
    <w:p>
      <w:pPr>
        <w:sectPr>
          <w:pgSz w:w="11900" w:h="16838" w:orient="portrait"/>
          <w:cols w:equalWidth="0" w:num="1">
            <w:col w:w="11120"/>
          </w:cols>
          <w:pgMar w:left="320" w:top="455" w:right="45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January 20, 2022, we issued 1,693,830 Series B-2 preferred shares to Zto Ljf Holding Limited for a consideration of US$5,917,395.</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Series B-3 Preferred Shares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On January 5, 2021, we issued a total of 1,223,030 Series B-3 preferred shares to certain investors, including CMC Warrior Holdings Limited, ZD Global Fund SP and Happy Wisdom Limited, for an aggregate consideration of US$24,000,000.</w:t>
      </w:r>
    </w:p>
    <w:p>
      <w:pPr>
        <w:spacing w:after="0" w:line="162"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From June 2021 to July 2022, we issued a total of 18,855,050 Series B-3 preferred shares upon the exercise of the warrants held by certain Series B-3 investors, including Guangzhou Ruosi Investment Partnership (Limited Partnership), Tianjin Wenze Equity Investment Fund Partnership (Limited Partnership), Nanjing Jianye Jushi Technology Innovation Growth Fund (Limited Partnership), Shanghai Daining Business Management Partnership (Limited Partnership), Anhui Hongxinli Equity Investment Partnership (Limited Partnership) and Guangzhou Hengda Zhixing Industrial Investment Fund Partnership (Limited Partnership).</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Share Sub-division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April 14, 2021, we subdivided each of our issued and unissued shares of a par value of US$0.0001 into 10 shares of a par value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US$0.00001 each, such that following the subdivision, our authorized share capital became US$50,000 divided into 5,000,000,000 shares of a par value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US$0.00001 each, comprising of (i) 4,524,432,667 ordinary shares of a par value US$0.00001 each; (ii) 65,403,460 Series Seed-1 preferred shares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par value US$0.00001 each, (iii) 52,959,930 Series Seed-2 preferred shares of par value US$0.00001 each, (iv) 93,343,020 Series A preferred shares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par value US$0.00001 each, (v) 132,494,900 Series B-1 preferred shares of par value US$0.00001 each, (vi) 13,964,530 Series B-2 preferred shares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par value US$0.00001 each, (vii) 32,104,530 Series B-3 preferred shares of par value US$0.00001 each, (viii) 85,296,913 Series C-1 preferred shares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par value US$0.00001 each, and (ix) 50 golden shares of par value US$0.00001 each.</w:t>
      </w:r>
    </w:p>
    <w:p>
      <w:pPr>
        <w:spacing w:after="0" w:line="3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Series C-1 Preferred Shares</w:t>
      </w:r>
    </w:p>
    <w:p>
      <w:pPr>
        <w:spacing w:after="0" w:line="121" w:lineRule="exact"/>
        <w:rPr>
          <w:sz w:val="20"/>
          <w:szCs w:val="20"/>
          <w:color w:val="auto"/>
        </w:rPr>
      </w:pPr>
    </w:p>
    <w:p>
      <w:pPr>
        <w:ind w:left="120" w:right="140" w:firstLine="440"/>
        <w:spacing w:after="0" w:line="276" w:lineRule="auto"/>
        <w:rPr>
          <w:sz w:val="20"/>
          <w:szCs w:val="20"/>
          <w:color w:val="auto"/>
        </w:rPr>
      </w:pPr>
      <w:r>
        <w:rPr>
          <w:rFonts w:ascii="Times New Roman" w:cs="Times New Roman" w:eastAsia="Times New Roman" w:hAnsi="Times New Roman"/>
          <w:sz w:val="17"/>
          <w:szCs w:val="17"/>
          <w:color w:val="auto"/>
        </w:rPr>
        <w:t>On May 7, 2021, we issued a total of 41,034,590 Series C-1 preferred shares for an aggregate consideration of US$156,350,000 to certain Series C-1 investors, including Leading View Holdings Limited, Unified City Limited, Novelty Venture Limited, Happy Wisdom Limited, K3 Auklet Capital</w:t>
      </w:r>
    </w:p>
    <w:p>
      <w:pPr>
        <w:spacing w:after="0" w:line="1" w:lineRule="exact"/>
        <w:rPr>
          <w:sz w:val="20"/>
          <w:szCs w:val="20"/>
          <w:color w:val="auto"/>
        </w:rPr>
      </w:pPr>
    </w:p>
    <w:p>
      <w:pPr>
        <w:ind w:left="120" w:right="240" w:hanging="4"/>
        <w:spacing w:after="0" w:line="260" w:lineRule="auto"/>
        <w:tabs>
          <w:tab w:leader="none" w:pos="34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Sky9 Capital MVP Fund, L.P., Cypress Star Holdings Limited, Homericapital HK Limited Partnership Fund and CMC Warrior Holdings Limited.</w:t>
      </w:r>
    </w:p>
    <w:p>
      <w:pPr>
        <w:spacing w:after="0" w:line="181"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On June 3, 2021, we issued a total of 30,352,737 Series C-1 preferred shares for an aggregate consideration of US$115,650,000 to the rest of the Series C-1 investors, including LeadingView Holdings Limited, EverestLu Holding Limited, ProRide Holdings Limited, Yangtze Global Growth Fund SPC - Costone NO.1 SP and Alliance Ventures B.V.</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Series D Preferred Shares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From January 20, 2022 to June 15, 2022, we issued a total of 39,716,614 Series D preferred shares to certain investors, including China-UAE Investment Cooperation Fund, L.P., Allindrive Capital (Cayman) Limited, Catalpa Investments, MOMENTUM VENTURE CAPITAL PTE. LTD., CCB International Overseas Limited and Robert Bosch GmbH, for an aggregate consideration of US$185,000,000.</w:t>
      </w:r>
    </w:p>
    <w:p>
      <w:pPr>
        <w:spacing w:after="0" w:line="176"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In December 2022, we issued a total of 13,954,486 Series D preferred shares to Hainan Kaiyi Investment Partnership (Limited Partnership) and China-UAE Investment Cooperation Fund, L.P., for an aggregate consideration of US$65,000,000.</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208</w:t>
      </w:r>
    </w:p>
    <w:p>
      <w:pPr>
        <w:sectPr>
          <w:pgSz w:w="11900" w:h="16838" w:orient="portrait"/>
          <w:cols w:equalWidth="0" w:num="1">
            <w:col w:w="11100"/>
          </w:cols>
          <w:pgMar w:left="320" w:top="455" w:right="47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ind w:left="120" w:right="80" w:firstLine="440"/>
        <w:spacing w:after="0" w:line="272" w:lineRule="auto"/>
        <w:rPr>
          <w:sz w:val="20"/>
          <w:szCs w:val="20"/>
          <w:color w:val="auto"/>
        </w:rPr>
      </w:pPr>
      <w:r>
        <w:rPr>
          <w:rFonts w:ascii="Times New Roman" w:cs="Times New Roman" w:eastAsia="Times New Roman" w:hAnsi="Times New Roman"/>
          <w:sz w:val="17"/>
          <w:szCs w:val="17"/>
          <w:color w:val="auto"/>
        </w:rPr>
        <w:t>On January 10, 2020, we issued a warrant to Guangzhou Flower City Venture Partnership Limited (Limited Partnership), pursuant to which the holder or its designated affiliates have the right to purchase certain number of shares of the same class and series of securities as those issued by our company in the next round of equity financing of our company with proceeds of no less than US$50 million, or the Next Qualified Financing. The exercise price of the warrant is RMB20,000,000. The number of shares that the holder is entitled to purchase is dividing RMB20,000,000 by either (i) 90%, if the closing of the Next Qualified Financing occurs on or prior to the six month anniversary of the date of the warrant; or (ii) 80%, if the closing of the Next Qualified Financing occurs after the six month anniversary of the date of the warrant but on or prior to the one year anniversary of the date of the warrant, of the lowest purchase price per share of the equity securities issued in the Next Qualified Financing. On June 30, 2021, we issued 2,024,590 Series B-2 preferred shares to Guangzhou Flower City Venture Partnership Limited (Limited Partnership) upon exercise of the warrant.</w:t>
      </w:r>
    </w:p>
    <w:p>
      <w:pPr>
        <w:spacing w:after="0" w:line="17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On February 12, 2020, we issued a warrant to Sinovation Intelligence (Guangzhou) Venture Capital Investment Limited Partnership (Limited Partnership), pursuant to which the holder or its designated affiliates have the right to purchase certain number of shares of the same class and series of securities as those issued by our company in the Next Qualified Financing. The exercise price of the warrant is RMB30,000,000. The number of shares that the holder is entitled to purchase is dividing RMB30,000,000 by either (i) 90%, if the closing of the Next Qualified Financing occurs on or prior to the six month anniversary of the date of the warrant; or (ii) 80%, if the closing of the Next Qualified Financing occurs after the six month anniversary of the date of the warrant but on or prior to the one year anniversary of the date of the warrant, of the lowest purchase price per share of the equity securities issued in the Next Qualified Financing. On June 24, 2021, we issued 3,036,890 Series B-2 preferred shares to Shanghai Zhicai Enterprise Management Consulting Partnership (Limited Partnership) upon exercise of the warrant.</w:t>
      </w:r>
    </w:p>
    <w:p>
      <w:pPr>
        <w:spacing w:after="0" w:line="19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On December 14, 2020, we issued a warrant to Guangdong-Zhuhai-Macao (Zhuhai) Frontier Industry Equity Investment Fund (Limited Partnership), pursuant to which the holder or its designated affiliates have the right to purchase certain number of shares of the same class and series of securities as those issued by our company in the Next Qualified Financing. The exercise price of the warrant is RMB50,000,000. The number of shares that the holder is entitled to purchase is dividing RMB50,000,000 by either (i) 90%, if the closing of the Next Qualified Financing occurs on or prior to the six month anniversary of the date of the warrant; or (ii) 80%, if the closing of the Next Qualified Financing occurs after the six month anniversary of the date of the warrant but on or prior to the one year anniversary of the date of the warrant, of the lowest purchase price per share of the equity securities issued in the Next Qualified Financing. On June 30, 2021, we issued 4,499,100 Series B-2 preferred shares to Guangdong-Zhuhai-Macao (Zhuhai) Frontier Industry Equity Investment Fund (Limited Partnership) upon exercise of the warrant.</w:t>
      </w:r>
    </w:p>
    <w:p>
      <w:pPr>
        <w:spacing w:after="0" w:line="19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 December 14, 2020, we issued a warrant to Zhengzhou Maoshu Jiayuan Intelligent Connected Industry Investment Fund (Limited Partnership), pursuant to which the holder or its designated affiliates have the right to purchase 6,624,745 Series B-1 preferred shares at a purchase price of US$15.09492 per share with the aggregate exercise price of US$100,000,000. On June 17, 2021, we issued 66,247,450 Series B-1 preferred shares to Zhengzhou Xufeng Jiayuan Intelligent Connected Enterprise Management Centre (Limited Partnership) upon exercise of the warrant.</w:t>
      </w:r>
    </w:p>
    <w:p>
      <w:pPr>
        <w:spacing w:after="0" w:line="180"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On January 15, 2021, we issued two warrants to Tianjin Wenze Equity Investment Fund Partnership (Limited Partnership). Pursuant to the terms of the warrants, the holder or its designated affiliates have the right to purchase from our company (i) certain amount of ordinary shares with an aggregate purchase price between US$10,000,000 and RMB101,000,000, at an exercise price of US$10.57 per share; and (ii) certain amount of Series B-3 preferred shares with an aggregate exercise price of US$10,000,000 at the per share issuance price calculated based on the fully-diluted and as-converted pre-money valuation of our company of US$1,300,000,000, or the Series B-3 Per Share Price. On June 30, 2021, we issued 4,731,960 ordinary shares and</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209</w:t>
      </w:r>
    </w:p>
    <w:p>
      <w:pPr>
        <w:sectPr>
          <w:pgSz w:w="11900" w:h="16838" w:orient="portrait"/>
          <w:cols w:equalWidth="0" w:num="1">
            <w:col w:w="11100"/>
          </w:cols>
          <w:pgMar w:left="320" w:top="455" w:right="47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5,095,960 Series B-3 preferred shares to Tianjin Wenze Equity Investment Fund Partnership (Limited Partnership) upon exercise of the two warrants.</w:t>
      </w:r>
    </w:p>
    <w:p>
      <w:pPr>
        <w:spacing w:after="0" w:line="225"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On January 15, 2021, we issued warrants to Anhui Hongxinli Equity Investment Partnership (Limited Partnership) and Guangzhou Ruosi Investment Partnership (Limited Partnership), pursuant to which each of the two holders or their respective designated affiliates have the right to purchase certain amount of Series B-3 preferred shares with an aggregate purchase price of US$7,000,000 and US$5,000,000, respectively, at the Series B-3 Per Share Price. On June 24, 2021, we issued 3,567,170 Series B-3 preferred shares to Guangzhou Ruosi Investment Partnership (Limited Partnership) upon exercise of the warrant held by it. On July 12, 2022, we issued 2,547,980 Series B-3 preferred shares to Anhui Hongxinli Equity Investment Partnership (Limited Partnership) upon exercise of the warrant held by it.</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On January 19, 2021, we issued two warrants to Nanjing Jianye Jushi Kechuang Growth Fund (Limited Partnership), pursuant to which the holder or its designated affiliates have the right to purchase (i) certain amount of ordinary shares with an aggregate purchase price of US$2,000,000 at an exercise price of US$10.57 per share; and (ii) certain amount of Series B-3 preferred shares with an aggregate purchase price of US$5,000,000 at the Series B-3 Per Share Price. On September 1, 2021, we issued 1,892,780 ordinary shares and 2,547,980 Series B-3 preferred shares to Nanjing Jianye Jushi Technology Innovation Growth Fund (Limited Partnership) upon exercise of the two warrants.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February 5, 2021, we issued a warrant to Shanghai Daining Enterprise Management Partnership (Limited Partnership), pursuant to which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holder or its designated affiliates have the right to purchase certain amount of Series B-3 preferred shares with an aggregate purchase price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US$5,000,000, at the Series B-3 Per Share Price. On January 21, 2022, we issued 2,547,980 Series B-3 preferred shares to Shanghai Daining Enterprise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Management Partnership (Limited Partnership) upon exercise of the warrant.</w:t>
      </w:r>
    </w:p>
    <w:p>
      <w:pPr>
        <w:spacing w:after="0" w:line="207"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On February 5, 2021, we issued two warrants to Guangzhou Hengda Zhixing Industry Investment Fund Limited Partnership (Limited Partnership), pursuant to which the holder or its designated affiliates have the right to purchase (i) certain amount of ordinary shares with an aggregate purchase price of US$2,000,000 at an exercise price of US$10,57 per share; and (ii) certain amount of Series B-3 preferred shares with an aggregate purchase price of US$5,000,000 at the Series B-3 Per Share Price. On July 12, 2022, we issued 1,892,780 ordinary shares and 2,547,980 Series B-3 preferred shares to Guangzhou Hengda Zhixing Industry Investment Fund Limited Partnership (Limited Partnership) upon exercise of the two warrant held by it.</w:t>
      </w:r>
    </w:p>
    <w:p>
      <w:pPr>
        <w:spacing w:after="0" w:line="187"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On January 20, 2022, we issued warrants to certain Series D investors, pursuant to which: (iii) Hainan Kaiyi Investment Partnership (Limited Partnership) or its affiliate is entitled to purchase 3,220,266 Series D preferred shares with an aggregate exercise price of US$15,000,000; (ii) Shanghai Huitianfu Yijian Equity Investment Management Co., Ltd. or its designated affiliate is entitled to purchase 1,610,133 Series D preferred shares with an aggregate exercise price of up to US$7,500,000; (iii) Guangzhou Yuexiu Jinchan III Equity Investment Partnership (Limited Partnership) or its affiliate is entitled to purchase 2,146,844 Series D preferred shares with an aggregate exercise price of up to US$10,000,000; (iv) Guangzhou Zhiruo Investment Partnership (Limited Partnership) or its affiliate is entitled to purchase 345,234 Series D preferred shares with an aggregate exercise price of up to US$1,608,100; and (v) CCB Pilot Strategic Emerging Industry Development Fund (Limited Partnership) or its designated affiliates have the right to purchase up to 6,440,532 Series D preferred shares with an aggregate exercise price of up to US$30,000,000. The warrants are exercisable within ten business days after the later of (A) the respective holder has delivered to us a certified true copy of the ODI approval, and (B) the principal amount of the loan was refunded to the respective holder. On December 20, 2022, we issued 3,220,266 Series D preferred shares to Hainan Kaiyi Investment Partnership (Limited Partnership) upon exercise of the warrant held by it.</w:t>
      </w:r>
    </w:p>
    <w:p>
      <w:pPr>
        <w:spacing w:after="0" w:line="192"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On January 20, 2022, we issued additional warrants to certain Series D investors, pursuant to which: (i) China-UAE Investment Cooperation Fund, L.P. or its designated affiliates have the right to purchase up to</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210</w:t>
      </w:r>
    </w:p>
    <w:p>
      <w:pPr>
        <w:sectPr>
          <w:pgSz w:w="11900" w:h="16838" w:orient="portrait"/>
          <w:cols w:equalWidth="0" w:num="1">
            <w:col w:w="11100"/>
          </w:cols>
          <w:pgMar w:left="320" w:top="455" w:right="47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10,734,220 Series D preferred shares with an aggregate exercise price of up to US$50,000,000; (ii) Allindrive Capital (Cayman) Limited is entitled to</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purchase up to 10,734,220 Series D preferred shares with an aggregate exercise price of up to US$50,000,000; (iii) Catalpa Investments is entitled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purchase up to 2,146,844 Series D preferred shares with an aggregate exercise price of up to US$10,000,000; and (iv) Hainan Kaiyi Investment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Partnership (Limited Partnership) or its affiliate is entitled to purchase 2,146,844 Series D preferred shares with an aggregate exercise price of up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US$10,000,000, each at a per share purchase price of US$4.6580. The warrants are exercisable at any time before the earlier of: (x) the later of (A)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expiration of the six (6)-month period following the date of the closing under the purchase agreement, and (B) the closing of the first bona fide equity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financing of our company after the date on which the warrant was issued with a per share issue price higher than US$4.6580, and (y) consummation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Qualified IPO of our company, which is defined as a firm commitment underwritten public offering of the ordinary shares of our company in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United States or another recognized international securities exchange with the per share issue price of no less than US$6.211 and the implied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pre-offering market capitalization of our company of not less than US$6,000,000,000, and the gross proceeds to our company of at least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US$250,000,000. On December 2, 2022, we issued 10,734,220 Series D preferred shares to China-UAE Investment Cooperation Fund, L.P. upon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exercise of the warrant held by it. The other three warrants we issued on January 20, 2022 have expired.</w:t>
      </w:r>
    </w:p>
    <w:p>
      <w:pPr>
        <w:spacing w:after="0" w:line="207"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On March 1, 2022, we issued a warrant to Xiamen Hechuang Junteng Investment Partnership (Limited Partnership) that grants it or its designated affiliates the right to purchase 1,133,534 Series D preferred shares or ordinary shares at a per share purchase price of US$4.6580 with an aggregate exercise price of up to US$5,280,000. The warrant is exercisable within ten business days after the later of (A) the holder has delivered to us a certified true copy of the ODI approval, and (B) the principal amount of the loan was refunded to the holder.</w:t>
      </w:r>
    </w:p>
    <w:p>
      <w:pPr>
        <w:spacing w:after="0" w:line="180"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On October 31, 2022, we issued two warrants to National Development and Manufacturing Industry Transformation and Upgrading Fund (Limited Partnership) that grant it or its affiliate the right to purchase 11,834,910 Series D+ preferred shares and 3,100,000 Series D+ preferred shares, respectively, with an aggregate exercise price of up to US$59,682,280 and US$10,317,730, respectively. The warrants are exercisable within ten business days after the later of (A) the holder has delivered to us a certified true copy of the ODI approval, and (B) the principal amount of the loan (when provide) was refunded to the holder.</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Options and Restricted Share Units</w:t>
      </w:r>
    </w:p>
    <w:p>
      <w:pPr>
        <w:spacing w:after="0" w:line="121"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We have granted options to purchase our ordinary shares and restricted share units to certain of our directors, officers and employees. See “Management—Share Incentive Plan.”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Shareholders Agreement</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entered into the sixth amended and restated shareholders agreement and the sixth amended and restated right of first refusal and co-sale agreement on October 29, 2022, with our shareholders, consisting of holders of ordinary shares, preferred shares and golden shares. The sixth amended and restated shareholders agreement provides for certain shareholders’ rights, including information and inspection rights, registration rights, preemptive right and protective provisions, and contain provisions governing our board of directors and other corporate governance matters. Except for the registration rights, all of these special rights, as well as the corporate governance provisions, will automatically terminate upon the completion of this offering. The sixth amended and restated right of first refusal and co-sale agreement provides that shareholders of our preferred shares enjoy certain right of first refusal and co-sale rights, which will also automatically terminate upon the completion of this offering.</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211</w:t>
      </w:r>
    </w:p>
    <w:p>
      <w:pPr>
        <w:sectPr>
          <w:pgSz w:w="11900" w:h="16838" w:orient="portrait"/>
          <w:cols w:equalWidth="0" w:num="1">
            <w:col w:w="11120"/>
          </w:cols>
          <w:pgMar w:left="320" w:top="455" w:right="45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Pursuant to sixth amended and restated shareholders agreement, we have granted certain registration rights to our shareholders as summarized below:</w:t>
      </w:r>
    </w:p>
    <w:p>
      <w:pPr>
        <w:spacing w:after="0" w:line="160"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Demand Registration Rights</w:t>
      </w:r>
      <w:r>
        <w:rPr>
          <w:rFonts w:ascii="Times New Roman" w:cs="Times New Roman" w:eastAsia="Times New Roman" w:hAnsi="Times New Roman"/>
          <w:sz w:val="18"/>
          <w:szCs w:val="18"/>
          <w:color w:val="auto"/>
        </w:rPr>
        <w:t>. At any time or from time to time following six months after the closing of our initial public offering, holders of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least 30% of the voting power of the then outstanding registrable securities may request in writing that we effect the registration of the registrable securities under the Securities Act where the anticipated aggregate offering price is in excess of US$15.0 million. Upon such a request, we shall</w:t>
      </w:r>
    </w:p>
    <w:p>
      <w:pPr>
        <w:spacing w:after="0" w:line="1" w:lineRule="exact"/>
        <w:rPr>
          <w:sz w:val="20"/>
          <w:szCs w:val="20"/>
          <w:color w:val="auto"/>
        </w:rPr>
      </w:pPr>
    </w:p>
    <w:p>
      <w:pPr>
        <w:jc w:val="both"/>
        <w:ind w:left="120" w:right="40" w:hanging="4"/>
        <w:spacing w:after="0" w:line="253" w:lineRule="auto"/>
        <w:tabs>
          <w:tab w:leader="none" w:pos="33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give written notice of the proposed registration to all other holders of registrable securities and (ii) as soon as practicable, use commercially reasonable efforts to cause the registrable securities specified in the request, together with any registrable securities of any holder who request in writing to join such registration within 15 days after our delivery of written notice, to be registered and/or qualified for sale and distribution in such jurisdiction as the holder may request. We are not be obligated to effect more than a total of two demand registrations.</w:t>
      </w:r>
    </w:p>
    <w:p>
      <w:pPr>
        <w:spacing w:after="0" w:line="187"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Piggyback Registration Rights</w:t>
      </w:r>
      <w:r>
        <w:rPr>
          <w:rFonts w:ascii="Times New Roman" w:cs="Times New Roman" w:eastAsia="Times New Roman" w:hAnsi="Times New Roman"/>
          <w:sz w:val="18"/>
          <w:szCs w:val="18"/>
          <w:color w:val="auto"/>
        </w:rPr>
        <w:t>. If we propose to register for our own account any of our securities, or for the account of any holder of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of such holder’s securities, in connection with the public offering of such securities, we shall give each holder of the registrable securities a written notice of such registration, and, upon the written request of any holder given within 15 days after the delivery of such notice, we shall use commercially reasonable efforts to include in such registration any registrable securities thereby requested to be registered by such holder</w:t>
      </w:r>
    </w:p>
    <w:p>
      <w:pPr>
        <w:spacing w:after="0" w:line="180"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Form F-3 Registration Rights</w:t>
      </w:r>
      <w:r>
        <w:rPr>
          <w:rFonts w:ascii="Times New Roman" w:cs="Times New Roman" w:eastAsia="Times New Roman" w:hAnsi="Times New Roman"/>
          <w:sz w:val="18"/>
          <w:szCs w:val="18"/>
          <w:color w:val="auto"/>
        </w:rPr>
        <w:t>. If we are eligible to use a Form F-3 registration statement, holders of at least 30% of our voting power of the then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registrable securities may request us to file a registration on Form F-3. Upon such a request, we shall (i) promptly give written notice of the proposed registration to all other holders of registrable securities and (ii) as soon as practicable, use commercially reasonable efforts to cause the registrable securities specified in the request, together with any registrable securities of any holder who request in writing to join such registration within 15 days after our delivery of written notice, to be registered and/or qualified for sale and distribution in such jurisdiction as the holder may request. We are not be obligated to effect more than two registrations within any 12-month period.</w:t>
      </w:r>
    </w:p>
    <w:p>
      <w:pPr>
        <w:spacing w:after="0" w:line="182" w:lineRule="exact"/>
        <w:rPr>
          <w:sz w:val="20"/>
          <w:szCs w:val="20"/>
          <w:color w:val="auto"/>
        </w:rPr>
      </w:pPr>
    </w:p>
    <w:p>
      <w:pPr>
        <w:ind w:left="120" w:right="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Expenses of Registration</w:t>
      </w:r>
      <w:r>
        <w:rPr>
          <w:rFonts w:ascii="Times New Roman" w:cs="Times New Roman" w:eastAsia="Times New Roman" w:hAnsi="Times New Roman"/>
          <w:sz w:val="18"/>
          <w:szCs w:val="18"/>
          <w:color w:val="auto"/>
        </w:rPr>
        <w:t>. We will bear all registration expenses, other than underwriting discounts and selling commissions, applicable to the 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registrable securities specified in the sixth amended and restated shareholders agreement.</w:t>
      </w:r>
    </w:p>
    <w:p>
      <w:pPr>
        <w:spacing w:after="0" w:line="158"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Termination of Obligations</w:t>
      </w:r>
      <w:r>
        <w:rPr>
          <w:rFonts w:ascii="Times New Roman" w:cs="Times New Roman" w:eastAsia="Times New Roman" w:hAnsi="Times New Roman"/>
          <w:sz w:val="18"/>
          <w:szCs w:val="18"/>
          <w:color w:val="auto"/>
        </w:rPr>
        <w:t>. The registration rights set forth above shall terminate on the earlier of (i) five years from the date of the closing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initial public offering, (ii) with respect to any holder of the registrable securities, the date when the holder of such registrable securities may sell all of such holder’s registrable securities under Rule 144 of the Securities Act within a 90-day period and (iii) the closing of a deemed liquidation event as defined in the sixth amended and restated shareholders agreement.</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212</w:t>
      </w:r>
    </w:p>
    <w:p>
      <w:pPr>
        <w:sectPr>
          <w:pgSz w:w="11900" w:h="16838" w:orient="portrait"/>
          <w:cols w:equalWidth="0" w:num="1">
            <w:col w:w="11120"/>
          </w:cols>
          <w:pgMar w:left="320" w:top="455" w:right="45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AMERICAN DEPOSITARY SHARES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American Depositary Receipts</w:t>
      </w:r>
    </w:p>
    <w:p>
      <w:pPr>
        <w:spacing w:after="0" w:line="12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 as depositary will issue the ADSs which you will be entitled to receive in this offering. Each ADS will represent an ownership interest</w:t>
      </w:r>
    </w:p>
    <w:p>
      <w:pPr>
        <w:spacing w:after="0" w:line="27"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in Class A ordinary shares which we will deposit with the custodian, as agent of the depositary, under the deposit agreement among ourselves, the depositary and yourself as an ADR holder. In the future, each ADS will also represent any securities, cash or other property deposited with the depositary that they have not distributed directly to you. Unless specifically requested by you, all ADSs will be issued on the books of our depositary in book-entry form and periodic statements will be mailed to you which reflect your ownership interest in such ADSs. In our description, references to American depositary receipts or ADRs shall include the statements you will receive which reflect your ownership of ADSs.</w:t>
      </w:r>
    </w:p>
    <w:p>
      <w:pPr>
        <w:spacing w:after="0" w:line="187" w:lineRule="exact"/>
        <w:rPr>
          <w:sz w:val="20"/>
          <w:szCs w:val="20"/>
          <w:color w:val="auto"/>
        </w:rPr>
      </w:pPr>
    </w:p>
    <w:p>
      <w:pPr>
        <w:ind w:left="560"/>
        <w:spacing w:after="0"/>
        <w:tabs>
          <w:tab w:leader="none" w:pos="3820" w:val="left"/>
        </w:tabs>
        <w:rPr>
          <w:sz w:val="20"/>
          <w:szCs w:val="20"/>
          <w:color w:val="auto"/>
        </w:rPr>
      </w:pPr>
      <w:r>
        <w:rPr>
          <w:rFonts w:ascii="Times New Roman" w:cs="Times New Roman" w:eastAsia="Times New Roman" w:hAnsi="Times New Roman"/>
          <w:sz w:val="18"/>
          <w:szCs w:val="18"/>
          <w:color w:val="auto"/>
        </w:rPr>
        <w:t>The depositary’s office is located at</w:t>
      </w:r>
      <w:r>
        <w:rPr>
          <w:sz w:val="20"/>
          <w:szCs w:val="20"/>
          <w:color w:val="auto"/>
        </w:rPr>
        <w:tab/>
      </w:r>
      <w:r>
        <w:rPr>
          <w:rFonts w:ascii="Times New Roman" w:cs="Times New Roman" w:eastAsia="Times New Roman" w:hAnsi="Times New Roman"/>
          <w:sz w:val="16"/>
          <w:szCs w:val="16"/>
          <w:color w:val="auto"/>
        </w:rPr>
        <w:t>.</w:t>
      </w:r>
    </w:p>
    <w:p>
      <w:pPr>
        <w:spacing w:after="0" w:line="225"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You may hold ADSs either directly or indirectly through your broker or other financial institution. If you hold ADSs directly, by having an ADS registered in your name on the books of the depositary, you are an ADR holder. This description assumes you hold your ADSs directly. If you hold the ADSs through your broker or financial institution nominee, you must rely on the procedures of such broker or financial institution to assert the rights of an ADR holder described in this section. You should consult with your broker or financial institution to find out what those procedures are.</w:t>
      </w:r>
    </w:p>
    <w:p>
      <w:pPr>
        <w:spacing w:after="0" w:line="18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As an ADR holder, we will not treat you as a shareholder of ours and you will not have any shareholder rights. Cayman Islands law governs shareholder rights. Because the depositary or its nominee will be the shareholder of record for the shares represented by all outstanding ADSs, shareholder rights rest with such record holder. Your rights are those of an ADR holder. Such rights derive from the terms of the deposit agreement to be entered into among us, the depositary and all registered holders from time to time of ADSs issued under the deposit agreement. The obligations of the depositary and its agents are also set out in the deposit agreement. Because the depositary or its nominee will actually be the registered owner of the shares, you must rely on it to exercise the rights of a shareholder on your behalf. The deposit agreement and the ADSs are governed by New York law.</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following is a summary of what we believe to be the material terms of the deposit agreement. Notwithstanding this, because it is a summary, it may not contain all the information that you may otherwise deem important. For more complete information, you should read the entire deposit agreement and the form of ADR which contains the terms of your ADSs. You can read a copy of the deposit agreement which is filed as an exhibit to the registration statement of which this prospectus forms apart.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 Dividends and Other Distributions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How will I receive dividends and other distributions on the shares underlying my ADSs?</w:t>
      </w:r>
    </w:p>
    <w:p>
      <w:pPr>
        <w:spacing w:after="0" w:line="121" w:lineRule="exact"/>
        <w:rPr>
          <w:sz w:val="20"/>
          <w:szCs w:val="20"/>
          <w:color w:val="auto"/>
        </w:rPr>
      </w:pPr>
    </w:p>
    <w:p>
      <w:pPr>
        <w:jc w:val="both"/>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We may make various types of distributions with respect to our securities. The depositary has agreed that, to the extent practicable, it will pay to you the cash dividends or other distributions it or the custodian receives on shares or other deposited securities, after converting any cash received into U.S. dollars and, in all cases, making any necessary deductions provided for in the deposit agreement. You will receive these distributions in proportion to the number of underlying securities that your ADSs represent.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Except as stated below, the depositary will deliver such distributions to ADR holders in proportion to their interests in the following manner:</w:t>
      </w:r>
    </w:p>
    <w:p>
      <w:pPr>
        <w:spacing w:after="0" w:line="129" w:lineRule="exact"/>
        <w:rPr>
          <w:sz w:val="20"/>
          <w:szCs w:val="20"/>
          <w:color w:val="auto"/>
        </w:rPr>
      </w:pPr>
    </w:p>
    <w:p>
      <w:pPr>
        <w:ind w:left="1080" w:right="440" w:hanging="424"/>
        <w:spacing w:after="0" w:line="284"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Cash</w:t>
      </w:r>
      <w:r>
        <w:rPr>
          <w:rFonts w:ascii="Times New Roman" w:cs="Times New Roman" w:eastAsia="Times New Roman" w:hAnsi="Times New Roman"/>
          <w:sz w:val="18"/>
          <w:szCs w:val="18"/>
          <w:color w:val="auto"/>
        </w:rPr>
        <w:t>. The depositary will distribute any U.S. dollars available to it resulting from a cash dividend or other cash distribution or the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proceeds of sales of any other distribution or portion thereof (to the</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213</w:t>
      </w:r>
    </w:p>
    <w:p>
      <w:pPr>
        <w:sectPr>
          <w:pgSz w:w="11900" w:h="16838" w:orient="portrait"/>
          <w:cols w:equalWidth="0" w:num="1">
            <w:col w:w="11140"/>
          </w:cols>
          <w:pgMar w:left="320" w:top="455" w:right="43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40"/>
        <w:spacing w:after="0" w:line="276" w:lineRule="auto"/>
        <w:rPr>
          <w:sz w:val="20"/>
          <w:szCs w:val="20"/>
          <w:color w:val="auto"/>
        </w:rPr>
      </w:pPr>
      <w:r>
        <w:rPr>
          <w:rFonts w:ascii="Times New Roman" w:cs="Times New Roman" w:eastAsia="Times New Roman" w:hAnsi="Times New Roman"/>
          <w:sz w:val="17"/>
          <w:szCs w:val="17"/>
          <w:color w:val="auto"/>
        </w:rPr>
        <w:t>extent applicable), on an averaged or other practicable basis, subject to (i) appropriate adjustments for taxes withheld, (ii) such distribution being impermissible or impracticable with respect to certain registered ADR holders, and (iii) deduction of the depositary’s expenses in</w:t>
      </w:r>
    </w:p>
    <w:p>
      <w:pPr>
        <w:spacing w:after="0" w:line="1" w:lineRule="exact"/>
        <w:rPr>
          <w:sz w:val="20"/>
          <w:szCs w:val="20"/>
          <w:color w:val="auto"/>
        </w:rPr>
      </w:pPr>
    </w:p>
    <w:p>
      <w:pPr>
        <w:ind w:left="1360" w:hanging="259"/>
        <w:spacing w:after="0"/>
        <w:tabs>
          <w:tab w:leader="none" w:pos="1360" w:val="left"/>
        </w:tabs>
        <w:numPr>
          <w:ilvl w:val="1"/>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converting any foreign currency to U.S. dollars to the extent that it determines that such conversion may be made on a reasonable basis,</w:t>
      </w:r>
    </w:p>
    <w:p>
      <w:pPr>
        <w:spacing w:after="0" w:line="20" w:lineRule="exact"/>
        <w:rPr>
          <w:rFonts w:ascii="Times New Roman" w:cs="Times New Roman" w:eastAsia="Times New Roman" w:hAnsi="Times New Roman"/>
          <w:sz w:val="17"/>
          <w:szCs w:val="17"/>
          <w:color w:val="auto"/>
        </w:rPr>
      </w:pPr>
    </w:p>
    <w:p>
      <w:pPr>
        <w:ind w:left="1100" w:right="20" w:firstLine="1"/>
        <w:spacing w:after="0" w:line="251" w:lineRule="auto"/>
        <w:tabs>
          <w:tab w:leader="none" w:pos="1355"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transferring foreign currency or U.S. dollars to the United States by such means as the depositary may determine to the extent that it determines that such transfer may be made on a reasonable basis, (3) obtaining any approval or license of any governmental authority required for such conversion or transfer, which is obtainable at a reasonable cost and within a reasonable time, and (4) making any sale by public or private means in any commercially reasonable manner. The depositary will hold any cash amounts it is unable to distribute in a non-interest-bearing account for the benefit of the applicable holders and beneficial owners of ADSs until the distribution can be effected or the funds that the depositary holds must be escheated as unclaimed property in accordance with the laws of the relevant states of the United States. If exchange rates fluctuate during a time when the depositary cannot convert a foreign currency, you may lose some or all of the value of the distribution.</w:t>
      </w:r>
    </w:p>
    <w:p>
      <w:pPr>
        <w:spacing w:after="0" w:line="97" w:lineRule="exact"/>
        <w:rPr>
          <w:rFonts w:ascii="Times New Roman" w:cs="Times New Roman" w:eastAsia="Times New Roman" w:hAnsi="Times New Roman"/>
          <w:sz w:val="18"/>
          <w:szCs w:val="18"/>
          <w:color w:val="auto"/>
        </w:rPr>
      </w:pPr>
    </w:p>
    <w:p>
      <w:pPr>
        <w:ind w:left="1080" w:right="20" w:hanging="424"/>
        <w:spacing w:after="0" w:line="267" w:lineRule="auto"/>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Shares</w:t>
      </w:r>
      <w:r>
        <w:rPr>
          <w:rFonts w:ascii="Times New Roman" w:cs="Times New Roman" w:eastAsia="Times New Roman" w:hAnsi="Times New Roman"/>
          <w:sz w:val="18"/>
          <w:szCs w:val="18"/>
          <w:color w:val="auto"/>
        </w:rPr>
        <w:t>. In the case of a distribution in shares, the depositary will issue additional ADRs to evidence the number of ADSs representing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Only whole ADSs will be issued. Any shares which would result in fractional ADSs will be sold and the net proceeds will be distributed in the same manner as cash to the ADR holders entitled thereto.</w:t>
      </w:r>
    </w:p>
    <w:p>
      <w:pPr>
        <w:spacing w:after="0" w:line="78" w:lineRule="exact"/>
        <w:rPr>
          <w:rFonts w:ascii="Times New Roman" w:cs="Times New Roman" w:eastAsia="Times New Roman" w:hAnsi="Times New Roman"/>
          <w:sz w:val="18"/>
          <w:szCs w:val="18"/>
          <w:color w:val="auto"/>
        </w:rPr>
      </w:pPr>
    </w:p>
    <w:p>
      <w:pPr>
        <w:ind w:left="1080" w:right="160" w:hanging="424"/>
        <w:spacing w:after="0" w:line="290" w:lineRule="auto"/>
        <w:tabs>
          <w:tab w:leader="none" w:pos="108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Rights to Receive Additional Shares</w:t>
      </w:r>
      <w:r>
        <w:rPr>
          <w:rFonts w:ascii="Times New Roman" w:cs="Times New Roman" w:eastAsia="Times New Roman" w:hAnsi="Times New Roman"/>
          <w:sz w:val="17"/>
          <w:szCs w:val="17"/>
          <w:color w:val="auto"/>
        </w:rPr>
        <w:t>. In the case of a distribution of rights to subscribe for additional shares or other rights, if we provide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evidence satisfactory to the depositary that it may lawfully distribute such rights, the depositary will distribute warrants or other instruments in the discretion of the depositary representing such rights. However, if we do not furnish such evidence, the depositary may:</w:t>
      </w:r>
    </w:p>
    <w:p>
      <w:pPr>
        <w:spacing w:after="0" w:line="63" w:lineRule="exact"/>
        <w:rPr>
          <w:sz w:val="20"/>
          <w:szCs w:val="20"/>
          <w:color w:val="auto"/>
        </w:rPr>
      </w:pPr>
    </w:p>
    <w:p>
      <w:pPr>
        <w:ind w:left="1540" w:hanging="331"/>
        <w:spacing w:after="0"/>
        <w:tabs>
          <w:tab w:leader="none" w:pos="1540" w:val="left"/>
        </w:tabs>
        <w:numPr>
          <w:ilvl w:val="2"/>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such rights if practicable and distribute the net proceeds in the same manner as cash to the ADR holders entitled thereto; or</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2"/>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is not practicable to sell such rights, do nothing and allow such rights to lapse, in which case ADR holders will receive nothing.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obligation to file a registration statement under the Securities Act in order to make any rights available to ADR holders.</w:t>
      </w:r>
    </w:p>
    <w:p>
      <w:pPr>
        <w:spacing w:after="0" w:line="12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Distributions</w:t>
      </w:r>
      <w:r>
        <w:rPr>
          <w:rFonts w:ascii="Times New Roman" w:cs="Times New Roman" w:eastAsia="Times New Roman" w:hAnsi="Times New Roman"/>
          <w:sz w:val="18"/>
          <w:szCs w:val="18"/>
          <w:color w:val="auto"/>
        </w:rPr>
        <w:t>. In the case of a distribution of securities or property other than those described above, the depositary may either</w:t>
      </w:r>
    </w:p>
    <w:p>
      <w:pPr>
        <w:spacing w:after="0" w:line="29" w:lineRule="exact"/>
        <w:rPr>
          <w:rFonts w:ascii="Times New Roman" w:cs="Times New Roman" w:eastAsia="Times New Roman" w:hAnsi="Times New Roman"/>
          <w:sz w:val="18"/>
          <w:szCs w:val="18"/>
          <w:color w:val="auto"/>
        </w:rPr>
      </w:pPr>
    </w:p>
    <w:p>
      <w:pPr>
        <w:jc w:val="both"/>
        <w:ind w:left="1080" w:right="660" w:firstLine="8"/>
        <w:spacing w:after="0" w:line="255" w:lineRule="auto"/>
        <w:tabs>
          <w:tab w:leader="none" w:pos="1295"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such securities or property in any manner it deems equitable and practicable or (ii) to the extent the depositary deems distribution of such securities or property not to be equitable and practicable, sell such securities or property and distribute any net proceeds in the same way it distributes cash.</w:t>
      </w:r>
    </w:p>
    <w:p>
      <w:pPr>
        <w:spacing w:after="0" w:line="186"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If the depositary determines that any distribution described above is not practicable with respect to any specific registered ADR holder, the depositary may choose any method of distribution that it deems practicable for such ADR holder, including the distribution of foreign currency, securities or property, or it may retain such items, without paying interest on or investing them, on behalf of the ADR holder as deposited securities, in which case the ADSs will also represent the retained items.</w:t>
      </w:r>
    </w:p>
    <w:p>
      <w:pPr>
        <w:spacing w:after="0" w:line="180"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Any U.S. dollars will be distributed by checks drawn on a bank in the United States for whole dollars and cents. Fractional cents will be withheld without liability and dealt with by the depositary in accordance with its then current practices.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depositary is not responsible if it decides that it is unlawful or impractical to make a distribution available to any ADR holders.</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214</w:t>
      </w:r>
    </w:p>
    <w:p>
      <w:pPr>
        <w:sectPr>
          <w:pgSz w:w="11900" w:h="16838" w:orient="portrait"/>
          <w:cols w:equalWidth="0" w:num="1">
            <w:col w:w="11120"/>
          </w:cols>
          <w:pgMar w:left="320" w:top="455" w:right="45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There can be no assurance that the depositary will be able to convert any currency at a specified exchange rate or sell any property, rights, shares or other securities at a specified price, nor that any of such transactions can be completed within a specified time period.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Deposit, Withdrawal and Cancellation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How does the depositary issue ADSs?</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depositary will issue ADSs if you or your broker deposit shares or evidence of rights to receive shares with the custodian and pay the fees and expenses owing to the depositary in connection with such issuance. In the case of the ADSs to be issued under this prospectus, we will arrange with the underwriters named herein to deposit such shares.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Shares deposited in the future with the custodian must be accompanied by certain delivery documentation and shall, at the time of such deposit, be</w:t>
      </w:r>
    </w:p>
    <w:p>
      <w:pPr>
        <w:spacing w:after="0" w:line="39" w:lineRule="exact"/>
        <w:rPr>
          <w:sz w:val="20"/>
          <w:szCs w:val="20"/>
          <w:color w:val="auto"/>
        </w:rPr>
      </w:pPr>
    </w:p>
    <w:p>
      <w:pPr>
        <w:ind w:left="120"/>
        <w:spacing w:after="0"/>
        <w:tabs>
          <w:tab w:leader="none" w:pos="2600" w:val="left"/>
        </w:tabs>
        <w:rPr>
          <w:sz w:val="20"/>
          <w:szCs w:val="20"/>
          <w:color w:val="auto"/>
        </w:rPr>
      </w:pPr>
      <w:r>
        <w:rPr>
          <w:rFonts w:ascii="Times New Roman" w:cs="Times New Roman" w:eastAsia="Times New Roman" w:hAnsi="Times New Roman"/>
          <w:sz w:val="18"/>
          <w:szCs w:val="18"/>
          <w:color w:val="auto"/>
        </w:rPr>
        <w:t>registered in the name of</w:t>
      </w:r>
      <w:r>
        <w:rPr>
          <w:sz w:val="20"/>
          <w:szCs w:val="20"/>
          <w:color w:val="auto"/>
        </w:rPr>
        <w:tab/>
      </w:r>
      <w:r>
        <w:rPr>
          <w:rFonts w:ascii="Times New Roman" w:cs="Times New Roman" w:eastAsia="Times New Roman" w:hAnsi="Times New Roman"/>
          <w:sz w:val="17"/>
          <w:szCs w:val="17"/>
          <w:color w:val="auto"/>
        </w:rPr>
        <w:t>, as depositary for the benefit of holders of ADRs or in such other name as the depositary shall direct.</w:t>
      </w:r>
    </w:p>
    <w:p>
      <w:pPr>
        <w:spacing w:after="0" w:line="207"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The custodian will hold all deposited shares (including those being deposited by or on our behalf in connection with the offering to which this prospectus relates) for the account of the depositary. ADR holders thus have no direct ownership interest in the shares and only have such rights as are contained in the deposit agreement. The custodian will also hold any additional securities, property and cash received on or in substitution for the deposited shares. The deposited shares and any such additional items are referred to as “deposited securities.” Upon each deposit of shares, receipt of related delivery documentation and compliance with the other provisions of the deposit agreement, including the payment of the fees and charges of the depositary and any taxes or other fees or charges owing, the depositary will issue an ADR or ADRs in the name or upon the order of the person entitled thereto evidencing the number of ADSs to which such person is entitled. All of the ADSs issued will, unless specifically requested to the contrary, be part of the depositary’s direct registration system, and a registered holder will receive periodic statements from the depositary which will show the number of ADSs registered in such holder’s name. An ADR holder can request that the ADSs not be held through the depositary’s direct registration system and that a certificated ADR be issued.</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How do ADR holders cancel an ADS and obtain deposited securities?</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When you turn in your ADR certificate at the depositary’s office, or when you provide proper instructions and documentation in the case of direct registration ADSs, the depositary will, upon payment of certain applicable fees, charges and taxes, deliver the underlying shares to you or upon your written order. At your risk, expense and request, the depositary may deliver deposited securities at such other place as you may request.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depositary may only restrict the withdrawal of deposited securities in connection with:</w:t>
      </w:r>
    </w:p>
    <w:p>
      <w:pPr>
        <w:spacing w:after="0" w:line="131" w:lineRule="exact"/>
        <w:rPr>
          <w:sz w:val="20"/>
          <w:szCs w:val="20"/>
          <w:color w:val="auto"/>
        </w:rPr>
      </w:pPr>
    </w:p>
    <w:p>
      <w:pPr>
        <w:ind w:left="1080" w:right="320" w:hanging="424"/>
        <w:spacing w:after="0" w:line="282" w:lineRule="auto"/>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delays caused by closing our transfer books or those of the depositary or the deposit of shares in connection with voting at a shareholders’ meeting, or the payment of dividends;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fees, taxes and similar charges;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any U.S. or foreign laws or governmental regulations relating to the ADRs or to the withdrawal of deposited securities.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right of withdrawal may not be limited by any other provision of the deposit agreement.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Record Dates</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 depositary may, after consultation with us if practicable, fix record dates for the determination of the registered ADR holders who will be entitled (or obligated, as the case may be):</w:t>
      </w:r>
    </w:p>
    <w:p>
      <w:pPr>
        <w:spacing w:after="0" w:line="67" w:lineRule="exact"/>
        <w:rPr>
          <w:sz w:val="20"/>
          <w:szCs w:val="20"/>
          <w:color w:val="auto"/>
        </w:rPr>
      </w:pPr>
    </w:p>
    <w:p>
      <w:pPr>
        <w:ind w:left="1080" w:hanging="424"/>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receive any distribution on or in respect of shares,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215</w:t>
      </w:r>
    </w:p>
    <w:p>
      <w:pPr>
        <w:sectPr>
          <w:pgSz w:w="11900" w:h="16838" w:orient="portrait"/>
          <w:cols w:equalWidth="0" w:num="1">
            <w:col w:w="11100"/>
          </w:cols>
          <w:pgMar w:left="320" w:top="455" w:right="47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give instructions for the exercise of voting rights at a meeting of holders of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the fee assessed by the depositary for administration of the ADR program and for any expenses as provided for in the ADR,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receive any notice or to act in respect of other matters all subject to the provisions of the deposit agreement.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How do I vote?</w:t>
      </w:r>
    </w:p>
    <w:p>
      <w:pPr>
        <w:spacing w:after="0" w:line="121"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If you are an ADR holder and the depositary asks you to provide it with voting instructions, you may instruct the depositary how to exercise the voting rights for the shares which underlie your ADSs. As soon as practicable after receiving notice of any meeting or solicitation of consents or proxies from us, the depositary will distribute to the registered ADR holders a notice stating such information as is contained in the voting materials received by the depositary and describing how you may instruct the depositary to exercise the voting rights for the shares which underlie your ADSs. No voting instructions may be deemed given to the depositary to give a discretionary proxy to a person designated by us if no instructions are received by the depositary from you on or before the response date established by the depositary. For instructions to be valid, the depositary must receive them in the manner and on or before the date specified. If no instructions are received by the depositary from you, the depositary will give our company a discretionary proxy. The depositary will try, as far as is practical, subject to the provisions of and governing the underlying shares or other deposited securities, to vote or to have its agents vote the shares or other deposited securities as you instruct. The depositary will only vote or attempt to vote as you instruct. The depositary will not itself exercise any voting discretion. Furthermore, neither the depositary nor its agents are responsible for any failure to carry out any voting instructions, for the manner in which any vote is cast or for the effect of any vote. Notwithstanding anything contained in the deposit agreement or any ADR,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registered holders of ADRs a notice that provides such holders with, or otherwise publicizes to such holders, instructions on how to retrieve such materials or receive such materials upon request (i.e., by reference to a website containing the materials for retrieval or a contact for requesting copies of the materials).</w:t>
      </w:r>
    </w:p>
    <w:p>
      <w:pPr>
        <w:spacing w:after="0" w:line="195"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Under our post offering memorandum and articles of association, the depositary would be able to provide us with voting instructions without having to personally attend meetings in person, by means of it delivering an instrument of proxy. Such voting instructions may be provided to us by means of the depositary delivering an instrument of proxy via facsimile, email, mail, courier or other recognized form of delivery, and we agree to accept any such delivery so long as it is timely received prior to the meeting. We will endeavor to provide the depositary with written notice of each meeting of shareholders promptly after determining the date of such meeting so as to enable it to solicit and receive voting instructions. In general, the depositary will require that voting instructions be received by the depositary no less than five business days prior to the date of each meeting of shareholders. Under the post-offering amended and restated memorandum and articles of association that we expect to adopt, the minimum notice period required to convene a general meeting is seven days. The depositary may not have sufficient time to solicit voting instructions, and it is possible that you, or persons who hold their ADSs through brokers, dealers or other third parties, will not have the opportunity to exercise a right to vote.</w:t>
      </w:r>
    </w:p>
    <w:p>
      <w:pPr>
        <w:spacing w:after="0" w:line="18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Notwithstanding the above, we have advised the depositary that under the Cayman Islands law and our post offering memorandum and articles of association, each as in effect as of the date of the deposit agreement, voting at any meeting of shareholders is by show of hands unless a poll is (before or on the declaration of the results of the show of hands) demanded. In the event that voting on any resolution or matter is conducted on a show of hands basis in accordance with our constituent documents, the depositary will refrain from voting and the voting instructions (or the deemed voting instructions, as set out above) received by the depositary from holders shall</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216</w:t>
      </w:r>
    </w:p>
    <w:p>
      <w:pPr>
        <w:sectPr>
          <w:pgSz w:w="11900" w:h="16838" w:orient="portrait"/>
          <w:cols w:equalWidth="0" w:num="1">
            <w:col w:w="11140"/>
          </w:cols>
          <w:pgMar w:left="320" w:top="455" w:right="43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lapse. The depositary will not demand a poll or join in demanding a poll, whether or not requested to do so by holders of ADSs.</w:t>
      </w:r>
    </w:p>
    <w:p>
      <w:pPr>
        <w:spacing w:after="0" w:line="225"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There is no guarantee that you will receive voting materials in time to instruct the depositary to vote and it is possible that you, or persons who hold their ADSs through brokers, dealers or other third parties, will not have the opportunity to exercise a right to vote.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Reports and Other Communications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Will ADR holders be able to view our reports?</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depositary will make available for inspection by ADR holders at the offices of the depositary and the custodian the deposit agreement, the provisions of or governing deposited securities, and any written communications from us which are both received by the custodian or its nominee as a holder of deposited securities and made generally available to the holders of deposited securities.</w:t>
      </w:r>
    </w:p>
    <w:p>
      <w:pPr>
        <w:spacing w:after="0" w:line="176"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Additionally, if we make any written communications generally available to holders of our shares, and we furnish copies thereof (or English translations or summaries) to the depositary, it will distribute the same to registered ADR holders.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What fees and expenses will I be responsible for paying?</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depositary may charge each person to whom ADSs are issued, including, without limitation, issuances against deposits of shares, issuances in respect of share distributions, rights and other distributions, issuances pursuant to a stock dividend or stock split declared by us, or issuances pursuant to a merger, exchange of securities or any other transaction or event affecting the ADSs or deposited securities, and each person surrendering ADSs for withdrawal of deposited securities or whose ADRs are cancelled or reduced for any other reason, US$5.00 for each 100 ADSs (or any portion thereof) issued, delivered, reduced, cancelled or surrendered, as the case may be. The depositary may sell (by public or private sale) sufficient securities and property received in respect of a share distribution, rights and/or other distribution prior to such deposit to pay such charge.</w:t>
      </w:r>
    </w:p>
    <w:p>
      <w:pPr>
        <w:spacing w:after="0" w:line="187"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following additional charges shall be incurred by the ADR holders, by any party depositing or withdrawing shares or by any party surrendering ADSs or to whom ADSs are issued (including, without limitation, issuance pursuant to a stock dividend or stock split declared by us or an exchange of stock regarding the ADRs or the deposited securities or a distribution of ADSs), whichever is applicable:</w:t>
      </w:r>
    </w:p>
    <w:p>
      <w:pPr>
        <w:spacing w:after="0" w:line="8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 fee of US$</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 ADR or ADRs for transfers of certificated or direct registration ADRs;</w:t>
            </w:r>
          </w:p>
        </w:tc>
      </w:tr>
      <w:tr>
        <w:trPr>
          <w:trHeight w:val="338"/>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 fee of up to US$</w:t>
            </w:r>
          </w:p>
        </w:tc>
        <w:tc>
          <w:tcPr>
            <w:tcW w:w="8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per ADS for any cash distribution made pursuant to the deposit agreement;</w:t>
            </w:r>
          </w:p>
        </w:tc>
      </w:tr>
      <w:tr>
        <w:trPr>
          <w:trHeight w:val="319"/>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 fee of up to US$</w:t>
            </w:r>
          </w:p>
        </w:tc>
        <w:tc>
          <w:tcPr>
            <w:tcW w:w="822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per ADS per calendar year (or portion thereof) for services performed by the depositary in administering the</w:t>
            </w:r>
          </w:p>
        </w:tc>
      </w:tr>
      <w:tr>
        <w:trPr>
          <w:trHeight w:val="216"/>
        </w:trPr>
        <w:tc>
          <w:tcPr>
            <w:tcW w:w="240" w:type="dxa"/>
            <w:vAlign w:val="bottom"/>
          </w:tcPr>
          <w:p>
            <w:pPr>
              <w:spacing w:after="0"/>
              <w:rPr>
                <w:sz w:val="18"/>
                <w:szCs w:val="18"/>
                <w:color w:val="auto"/>
              </w:rPr>
            </w:pPr>
          </w:p>
        </w:tc>
        <w:tc>
          <w:tcPr>
            <w:tcW w:w="10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ADRs (which fee may be charged on a periodic basis during each calendar year and shall be assessed against holders of ADRs as of the</w:t>
            </w:r>
          </w:p>
        </w:tc>
      </w:tr>
      <w:tr>
        <w:trPr>
          <w:trHeight w:val="216"/>
        </w:trPr>
        <w:tc>
          <w:tcPr>
            <w:tcW w:w="240" w:type="dxa"/>
            <w:vAlign w:val="bottom"/>
          </w:tcPr>
          <w:p>
            <w:pPr>
              <w:spacing w:after="0"/>
              <w:rPr>
                <w:sz w:val="18"/>
                <w:szCs w:val="18"/>
                <w:color w:val="auto"/>
              </w:rPr>
            </w:pPr>
          </w:p>
        </w:tc>
        <w:tc>
          <w:tcPr>
            <w:tcW w:w="10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record date or record dates set by the depositary during each calendar year and shall be payable in the manner described in the next</w:t>
            </w:r>
          </w:p>
        </w:tc>
      </w:tr>
      <w:tr>
        <w:trPr>
          <w:trHeight w:val="234"/>
        </w:trPr>
        <w:tc>
          <w:tcPr>
            <w:tcW w:w="240" w:type="dxa"/>
            <w:vAlign w:val="bottom"/>
          </w:tcPr>
          <w:p>
            <w:pPr>
              <w:spacing w:after="0"/>
              <w:rPr>
                <w:sz w:val="20"/>
                <w:szCs w:val="20"/>
                <w:color w:val="auto"/>
              </w:rPr>
            </w:pPr>
          </w:p>
        </w:tc>
        <w:tc>
          <w:tcPr>
            <w:tcW w:w="1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succeeding provision);</w:t>
            </w:r>
          </w:p>
        </w:tc>
        <w:tc>
          <w:tcPr>
            <w:tcW w:w="8220" w:type="dxa"/>
            <w:vAlign w:val="bottom"/>
          </w:tcPr>
          <w:p>
            <w:pPr>
              <w:spacing w:after="0"/>
              <w:rPr>
                <w:sz w:val="20"/>
                <w:szCs w:val="20"/>
                <w:color w:val="auto"/>
              </w:rPr>
            </w:pPr>
          </w:p>
        </w:tc>
      </w:tr>
    </w:tbl>
    <w:p>
      <w:pPr>
        <w:spacing w:after="0" w:line="103" w:lineRule="exact"/>
        <w:rPr>
          <w:sz w:val="20"/>
          <w:szCs w:val="20"/>
          <w:color w:val="auto"/>
        </w:rPr>
      </w:pPr>
    </w:p>
    <w:p>
      <w:pPr>
        <w:ind w:left="1080" w:hanging="424"/>
        <w:spacing w:after="0" w:line="255" w:lineRule="auto"/>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of such fees, charges and expenses as are incurred by the depositary and/or any of the depositary’s agents (including, without limitation, the custodian and expenses incurred on behalf of holders in connection with compliance with foreign exchange control regulations or any law or regulation relating to foreign investment) in connection with the servicing of the shares or other deposited securities, the delivery of deposited securities or otherwise in connection with the depositary’s or its custodian’s compliance with applicable law, rule or regulation (which charge shall be assessed on a proportionate basis against holders as of the record date or dates set by the depositary and shall be payable at the sole discretion of the depositary by billing such holders or by deducting such charge from one or more cash dividends or other cash distributions);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217</w:t>
      </w:r>
    </w:p>
    <w:p>
      <w:pPr>
        <w:sectPr>
          <w:pgSz w:w="11900" w:h="16838" w:orient="portrait"/>
          <w:cols w:equalWidth="0" w:num="1">
            <w:col w:w="11080"/>
          </w:cols>
          <w:pgMar w:left="320" w:top="455" w:right="49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60" w:hanging="424"/>
        <w:spacing w:after="0" w:line="266" w:lineRule="auto"/>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for the distribution of securities (or the sale of securities in connection with a distribution), such fee being in an amount equal to the fee for the execution and delivery of ADSs which would have been charged as a result of the deposit of such securities (treating all such securities as if they were shares and there would be a fee of five cents per ADS outstanding);</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transfer or other taxes and other governmental charges;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cable, telex and facsimile transmission and delivery charges incurred at your request in connection with the deposit or delivery of shares;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or registration fees for the registration of transfer of deposited securities on any applicable register in connection with the deposit or withdrawal of deposited securities;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of the depositary in connection with the conversion of foreign currency into U.S. dollars.</w:t>
      </w:r>
    </w:p>
    <w:p>
      <w:pPr>
        <w:spacing w:after="0" w:line="225"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We will pay all other charges and expenses of the depositary and any agent of the depositary (except the custodian) pursuant to agreements from time to time between us and the depositary. The charges described above may be amended from time to time by agreement between us and the depositary.</w:t>
      </w:r>
    </w:p>
    <w:p>
      <w:pPr>
        <w:spacing w:after="0" w:line="176" w:lineRule="exact"/>
        <w:rPr>
          <w:sz w:val="20"/>
          <w:szCs w:val="20"/>
          <w:color w:val="auto"/>
        </w:rPr>
      </w:pPr>
    </w:p>
    <w:p>
      <w:pPr>
        <w:ind w:left="120" w:right="200" w:firstLine="440"/>
        <w:spacing w:after="0" w:line="272" w:lineRule="auto"/>
        <w:rPr>
          <w:sz w:val="20"/>
          <w:szCs w:val="20"/>
          <w:color w:val="auto"/>
        </w:rPr>
      </w:pPr>
      <w:r>
        <w:rPr>
          <w:rFonts w:ascii="Times New Roman" w:cs="Times New Roman" w:eastAsia="Times New Roman" w:hAnsi="Times New Roman"/>
          <w:sz w:val="17"/>
          <w:szCs w:val="17"/>
          <w:color w:val="auto"/>
        </w:rPr>
        <w:t>Our depositary has agreed to reimburse us for certain expenses we incur that are related to establishment and maintenance of the ADR program, including investor relations expenses and exchange application and listing fees. Neither the depositary nor we can determine the exact amount to be made available to us because (i) the number of ADSs that will be issued and outstanding, (ii) the level of fees to be charged to holders of ADSs and</w:t>
      </w:r>
    </w:p>
    <w:p>
      <w:pPr>
        <w:spacing w:after="0" w:line="2" w:lineRule="exact"/>
        <w:rPr>
          <w:sz w:val="20"/>
          <w:szCs w:val="20"/>
          <w:color w:val="auto"/>
        </w:rPr>
      </w:pPr>
    </w:p>
    <w:p>
      <w:pPr>
        <w:ind w:left="120" w:right="20" w:hanging="4"/>
        <w:spacing w:after="0" w:line="251" w:lineRule="auto"/>
        <w:tabs>
          <w:tab w:leader="none" w:pos="43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reimbursable expenses related to the ADR program are not known at this time. The depositary collects its fees for issuance and cancellation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will generally set off the amounts owing from distributions made to holders of ADSs. If, however, no distribution exists and payment owing is not timely received by the depositary, the depositary may refuse to provide any further services to holders that have not paid those fees and expenses owing until such fees and expenses have been paid. At the discretion of the depositary, all fees and charges owing under the deposit agreement are due in advance and/or when declared owing by the depositary.</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 of Taxes</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ADR holders must pay any tax or other governmental charge payable by the custodian or the depositary on any ADS or ADR, deposited security or distribution. If an ADR holder owes any tax or other governmental charge, the depositary may (i) deduct the amount thereof from any cash distributions, or (ii) sell deposited securities (by public or private sale) and deduct the amount owing from the net proceeds of such sale. In either case the ADR holder remains liable for any shortfall. Additionally, if any taxes or other governmental charges (including any penalties and/or interest) shall become payable by or on behalf of the custodian or the depositary with respect to any ADR, any deposited securities represented by the ADSs evidenced thereby or any distribution thereon, including, without limitation, any Chinese Enterprise Income Tax owing if the Circular Guoshuifa [2009] No. 82 issued by the Chinese State Administration of Taxation or any other circular, edict, order or ruling, as issued and as from time to time amended, is applied or otherwise, such tax or other governmental charge shall be paid by the holder thereof to the depositary. and by holding or having held an ADR the holder and all prior holders thereof, jointly and severally, agree to indemnify, defend and save harmless each of the depositary and its agents in respect thereof. If any tax or governmental charge is unpaid, the depositary may also refuse to effect any registration, registration of transfer, split-up or combination of deposited securities or withdrawal of deposited securities until such payment is made. If any tax or governmental charge is required to be withheld on any cash distribution, the depositary may deduct the amount required to be withheld from any cash distribution or, in the case of a non-cash distribution, sell the distributed property or securities (by public or private sale) to pay such taxes and distribute any remaining net proceeds to the ADR holders entitled thereto.</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218</w:t>
      </w:r>
    </w:p>
    <w:p>
      <w:pPr>
        <w:sectPr>
          <w:pgSz w:w="11900" w:h="16838" w:orient="portrait"/>
          <w:cols w:equalWidth="0" w:num="1">
            <w:col w:w="11120"/>
          </w:cols>
          <w:pgMar w:left="320" w:top="455" w:right="45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60" w:firstLine="440"/>
        <w:spacing w:after="0" w:line="289" w:lineRule="auto"/>
        <w:rPr>
          <w:sz w:val="20"/>
          <w:szCs w:val="20"/>
          <w:color w:val="auto"/>
        </w:rPr>
      </w:pPr>
      <w:r>
        <w:rPr>
          <w:rFonts w:ascii="Times New Roman" w:cs="Times New Roman" w:eastAsia="Times New Roman" w:hAnsi="Times New Roman"/>
          <w:sz w:val="17"/>
          <w:szCs w:val="17"/>
          <w:color w:val="auto"/>
        </w:rPr>
        <w:t>By holding an ADR or an interest therein, you will be agreeing to indemnify us, the depositary, its custodian and any of our or their respective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Reclassifications, Recapitalizations and Mergers</w:t>
      </w:r>
    </w:p>
    <w:p>
      <w:pPr>
        <w:spacing w:after="0" w:line="121"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If we take certain actions that affect the deposited securities, including (i) any change in par value, split-up, consolidation, cancellation or other reclassification of deposited securities or (ii) any distributions not made to holders of ADRs or (iii) any recapitalization, reorganization, merger, consolidation, liquidation, receivership, bankruptcy or sale of all or substantially all of our assets, then the depositary may choose to:</w:t>
      </w:r>
    </w:p>
    <w:p>
      <w:pPr>
        <w:spacing w:after="0" w:line="81" w:lineRule="exact"/>
        <w:rPr>
          <w:sz w:val="20"/>
          <w:szCs w:val="20"/>
          <w:color w:val="auto"/>
        </w:rPr>
      </w:pPr>
    </w:p>
    <w:p>
      <w:pPr>
        <w:ind w:left="1080" w:hanging="424"/>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form of ADR;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additional or amended ADRs;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cash, securities or other property it has received in connection with such 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any securities or property received and distribute the proceeds as cash; or none of the above.</w:t>
      </w:r>
    </w:p>
    <w:p>
      <w:pPr>
        <w:spacing w:after="0" w:line="225"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If the depositary does not choose any of the above options, any of the cash, securities or other property it receives will constitute part of the deposited securities and each ADS will then represent a proportionate interest in such property.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 and Termination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How may the deposit agreement be amended?</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may agree with the depositary to amend the deposit agreement and the ADSs without your consent for any reason. ADR holders must be given at least 30 days’ notice of any amendment that imposes or increases any fees or charges (other than stock transfer or other taxes and other governmental charges, transfer or registration fees, cable, telex or facsimile transmission costs, delivery costs or other such expenses), or otherwise prejudices any substantial existing right of ADR holders. Such notice need not describe in detail the specific amendments effectuated thereby, but must give ADR holders a means to access the text of such amendment. If an ADR holder continues to hold an ADR or ADRs after being so notified, such ADR holder is deemed to agree to such amendment and to be bound by the deposit agreement as so amended. Notwithstanding the foregoing, if any governmental body or regulatory body should adopt new laws, rules or regulations which would require amendment or supplement of the deposit agreement or the form of ADR to ensure compliance therewith, we and the depositary may amend or supplement the deposit agreement and the ADR at any time in accordance with such changed laws, rules or regulations, which amendment or supplement may take effect before a notice is given or within any other period of time as required for compliance. No amendment, however, will impair your right to surrender your ADSs and receive the underlying securities, except in order to comply with mandatory provisions of applicable law.</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How may the deposit agreement be terminated?</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depositary may, and shall at our written direction, terminate the deposit agreement and the ADRs by mailing notice of such termination to the registered holders of ADRs at least 30 days prior to the date fixed in such notice for such termination; provided, however, that if the depositary shall have (i) resigned as depositary under the deposit agreement, notice of such termination by the depositary shall not be provided to registered holders unless a successor depositary shall not be operating under the deposit agreement within 45 days of the date of such resignation, and (ii) been removed as depositary under the deposit agreement, notice of such termination by the depositary shall not be provided to registered holders of ADRs unless a successor depositary shall not be operating under the deposit agreement on the 90th day after our notice of removal was first provided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219</w:t>
      </w:r>
    </w:p>
    <w:p>
      <w:pPr>
        <w:sectPr>
          <w:pgSz w:w="11900" w:h="16838" w:orient="portrait"/>
          <w:cols w:equalWidth="0" w:num="1">
            <w:col w:w="11140"/>
          </w:cols>
          <w:pgMar w:left="320" w:top="455" w:right="43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to the depositary. After termination, the depositary’s only responsibility will be (i) to deliver deposited securities to ADR holders who surrender their ADRs, and (ii) to hold or sell distributions received on deposited securities. As soon as practicable after the expiration of six months from the termination date, the depositary will sell the deposited securities which remain and hold the net proceeds of such sales (as long as it may lawfully do so), without liability for interest, in trust for the ADR holders who have not yet surrendered their ADRs. After making such sale, the depositary shall have no obligations except to account for such proceeds and other cash.</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Limitations on Obligations and Liability to ADS Holders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Limits on our obligations and the obligations of the depositary; limits on liability to ADR holders and holders of ADSs</w:t>
      </w:r>
    </w:p>
    <w:p>
      <w:pPr>
        <w:spacing w:after="0" w:line="229"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Prior to the issue, registration, registration of transfer, split-up, combination, or cancellation of any ADRs, or the delivery of any distribution in respect thereof, and from time to time, we or the depositary or its custodian may require:</w:t>
      </w:r>
    </w:p>
    <w:p>
      <w:pPr>
        <w:spacing w:after="0" w:line="67" w:lineRule="exact"/>
        <w:rPr>
          <w:sz w:val="20"/>
          <w:szCs w:val="20"/>
          <w:color w:val="auto"/>
        </w:rPr>
      </w:pPr>
    </w:p>
    <w:p>
      <w:pPr>
        <w:ind w:left="1080" w:right="20" w:hanging="424"/>
        <w:spacing w:after="0" w:line="266" w:lineRule="auto"/>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with respect thereto of (i) any stock transfer or other tax or other governmental charge, (ii) any stock transfer or registration fees in effect for the registration of transfers of shares or other deposited securities upon any applicable register and (iii) any applicable fees and expenses described in the deposit agreement;</w:t>
      </w:r>
    </w:p>
    <w:p>
      <w:pPr>
        <w:spacing w:after="0" w:line="81"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production of proof satisfactory to it of (i) the identity of any signatory and genuineness of any signature and (ii) such other information, including without limitation, information as to citizenship, residence, exchange control approval, beneficial ownership of any securities, compliance with applicable law, regulations, provisions of or governing deposited securities and the terms of the deposit agreement and the ADRs, as it may deem necessary or proper; and</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such regulations as the depositary may establish consistent with the deposit agreement.</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issuance of ADRs, the acceptance of deposits of shares, the registration, registration of transfer, split-up or combination of ADRs or the withdrawal of shares, may be suspended, generally or in particular instances, when the ADR register or any register for deposited securities is closed or when any such action is deemed advisable by the depositary; provided that the ability to withdrawal shares may only be limited under the following circumstances: (i) temporary delays caused by closing transfer books of the depositary or our transfer books or the deposit of shares in connection with voting at a shareholders’ meeting, or the payment of dividends, (ii) the payment of fees, taxes, and similar charges, and (iii) compliance with any laws or governmental regulations relating to ADRs or to the withdrawal of deposited securities.</w:t>
      </w:r>
    </w:p>
    <w:p>
      <w:pPr>
        <w:spacing w:after="0" w:line="187"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The deposit agreement expressly limits the obligations and liability of the depositary, ourselves and our respective agents. Neither we nor the depositary nor any such agent will be liable if:</w:t>
      </w:r>
    </w:p>
    <w:p>
      <w:pPr>
        <w:spacing w:after="0" w:line="67" w:lineRule="exact"/>
        <w:rPr>
          <w:sz w:val="20"/>
          <w:szCs w:val="20"/>
          <w:color w:val="auto"/>
        </w:rPr>
      </w:pPr>
    </w:p>
    <w:p>
      <w:pPr>
        <w:ind w:left="1080" w:right="40" w:hanging="424"/>
        <w:spacing w:after="0" w:line="256" w:lineRule="auto"/>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present or future law, rule, regulation, fiat, order or decree of the United States, the Cayman Islands, the People’s Republic of China or any other country, or of any governmental or regulatory authority or securities exchange or market or automated quotation system, the provisions of or governing any deposited securities, any present or future provision of our charter, any act of God, war, terrorism or other circumstance beyond our, the depositary’s or our respective agents’ control shall prevent or delay, or shall cause any of them to be subject to any civil or criminal penalty in connection with, any act which the deposit agreement or the ADRs provide shall be done or performed by us, the depositary or our respective agents (including, without limitation, voting);</w:t>
      </w:r>
    </w:p>
    <w:p>
      <w:pPr>
        <w:spacing w:after="0" w:line="9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exercises or fails to exercise discretion under the deposit agreement or the ADR;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performs its obligations under the deposit agreement and ADRs without gross negligence or bad faith;</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220</w:t>
      </w:r>
    </w:p>
    <w:p>
      <w:pPr>
        <w:sectPr>
          <w:pgSz w:w="11900" w:h="16838" w:orient="portrait"/>
          <w:cols w:equalWidth="0" w:num="1">
            <w:col w:w="11120"/>
          </w:cols>
          <w:pgMar w:left="320" w:top="455" w:right="45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0" w:hanging="424"/>
        <w:spacing w:after="0" w:line="266" w:lineRule="auto"/>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takes any action or refrains from taking any action in reliance upon the advice of or information from legal counsel, accountants, any person presenting shares for deposit, any registered holder of ADRs, or any other person believed by it to be competent to give such advice or information; or</w:t>
      </w:r>
    </w:p>
    <w:p>
      <w:pPr>
        <w:spacing w:after="0" w:line="81"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relies upon any written notice, request, direction or other document believed by it to be genuine and to have been signed or presented by the proper party or parties.</w:t>
      </w:r>
    </w:p>
    <w:p>
      <w:pPr>
        <w:spacing w:after="0" w:line="162"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7"/>
          <w:szCs w:val="17"/>
          <w:color w:val="auto"/>
        </w:rPr>
        <w:t>Neither the depositary nor its agents have any obligation to appear in, prosecute or defend any action, suit or other proceeding in respect of any deposited securities or the ADRs. We and our agents shall only be obligated to appear in, prosecute or defend any action, suit or other proceeding in respect of any deposited securities or the ADRs, which in our opinion may involve us in expense or liability, if indemnity satisfactory to us against all expense (including fees and disbursements of counsel) and liability is furnished as often as may be required. The depositary and its agents may fully respond to any and all demands or requests for information maintained by or on its behalf in connection with the deposit agreement, any registered holder or holders of ADRs, any ADRs or otherwise related to the deposit agreement or ADRs to the extent such information is requested or required by or pursuant to any lawful authority, including, without limitation laws, rules, regulations, administrative or judicial process, or banking, securities or other regulators. The depositary shall not be liable for the acts or omissions made by any securities depository, clearing agency or settlement system in connection with or arising out of book-entry settlement of deposited securities or otherwise. Furthermore, the depositary shall not be responsible for, and</w:t>
      </w:r>
    </w:p>
    <w:p>
      <w:pPr>
        <w:spacing w:after="0" w:line="5" w:lineRule="exact"/>
        <w:rPr>
          <w:sz w:val="20"/>
          <w:szCs w:val="20"/>
          <w:color w:val="auto"/>
        </w:rPr>
      </w:pPr>
    </w:p>
    <w:p>
      <w:pPr>
        <w:ind w:left="120" w:right="140"/>
        <w:spacing w:after="0" w:line="252" w:lineRule="auto"/>
        <w:rPr>
          <w:sz w:val="20"/>
          <w:szCs w:val="20"/>
          <w:color w:val="auto"/>
        </w:rPr>
      </w:pPr>
      <w:r>
        <w:rPr>
          <w:rFonts w:ascii="Times New Roman" w:cs="Times New Roman" w:eastAsia="Times New Roman" w:hAnsi="Times New Roman"/>
          <w:sz w:val="18"/>
          <w:szCs w:val="18"/>
          <w:color w:val="auto"/>
        </w:rPr>
        <w:t>shall incur no liability in connection with or arising from, the insolvency of any custodian that is not a branch or affiliate of . The depositary and the custodian(s) may use third-party delivery services and providers of information regarding matters such as pricing, proxy voting, corporate actions, class action litigation and other services in connection with the ADRs and the deposit agreement, and use local agents to provide extraordinary services such as attendance at annual meetings of issuers of securities. Although the depositary and the custodian will use reasonable care (and cause their agents to use reasonable care) in the selection and retention of such third-party providers and local agents, they will not be responsible for any errors or omissions made by them in providing the relevant information or services.</w:t>
      </w:r>
    </w:p>
    <w:p>
      <w:pPr>
        <w:spacing w:after="0" w:line="190"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Additionally, none of us, the depositary or the custodian shall be liable for the failure by any registered holder of ADRs or beneficial owner therein to obtain the benefits of credits on the basis of non-U.S. tax paid against such holder’s or beneficial owner’s income tax liability. Neither we nor the depositary shall incur any liability for any tax consequences that may be incurred by holders or beneficial owners on account of their ownership of ADRs or ADSs.</w:t>
      </w:r>
    </w:p>
    <w:p>
      <w:pPr>
        <w:spacing w:after="0" w:line="180"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Neither the depositary nor its agents will be responsible for any failure to carry out any instructions to vote any of the deposited securities, for the manner in which any such vote is cast or for the effect of any such vote. Neither the depositary nor any of its agents shall be liable to registered holders of ADRs or beneficial owners of interests in ADSs for any indirect, special, punitive or consequential damages (including, without limitation, lost profits) of any form incurred by any person or entity, whether or not foreseeable and regardless of the type of action in which such a claim may be brought.</w:t>
      </w:r>
    </w:p>
    <w:p>
      <w:pPr>
        <w:spacing w:after="0" w:line="183"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In the deposit agreement each party thereto (including, for avoidance of doubt, each holder and beneficial owner and/or holder of interests in ADRs) irrevocably waives, to the fullest extent permitted by applicable law, any right it may have to a trial by jury in any suit, action or proceeding against the depositary and/or the company directly or indirectly arising out of or relating to the shares or other deposited securities, the ADSs or the ADRs, the deposit agreement or any transaction contemplated therein, or the breach thereof (whether based on contract, tort, common law or any other theory).</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depositary may own and deal in any class of our securities and in ADSs.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Disclosure of Interest in ADSs</w:t>
      </w:r>
    </w:p>
    <w:p>
      <w:pPr>
        <w:spacing w:after="0" w:line="121"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To the extent that the provisions of or governing any deposited securities may require disclosure of or impose limits on beneficial or other ownership of deposited securities, other shares and other securities and may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221</w:t>
      </w:r>
    </w:p>
    <w:p>
      <w:pPr>
        <w:sectPr>
          <w:pgSz w:w="11900" w:h="16838" w:orient="portrait"/>
          <w:cols w:equalWidth="0" w:num="1">
            <w:col w:w="11120"/>
          </w:cols>
          <w:pgMar w:left="320" w:top="455" w:right="45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40"/>
        <w:spacing w:after="0" w:line="261" w:lineRule="auto"/>
        <w:rPr>
          <w:sz w:val="20"/>
          <w:szCs w:val="20"/>
          <w:color w:val="auto"/>
        </w:rPr>
      </w:pPr>
      <w:r>
        <w:rPr>
          <w:rFonts w:ascii="Times New Roman" w:cs="Times New Roman" w:eastAsia="Times New Roman" w:hAnsi="Times New Roman"/>
          <w:sz w:val="18"/>
          <w:szCs w:val="18"/>
          <w:color w:val="auto"/>
        </w:rPr>
        <w:t>provide for blocking transfer, voting or other rights to enforce such disclosure or limits, you agree to comply with all such disclosure requirements and ownership limitations and to comply with any reasonable instructions we may provide in respect thereof. We reserve the right to instruct you to deliver your ADSs for cancellation and withdrawal of the deposited securities so as to permit us to deal with you directly as a holder of shares and, by holding an ADS or an interest therein, you will be agreeing to comply with such instructions.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Books of Depositary</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depositary or its agent will maintain a register for the registration, registration of transfer, combination and split-up of ADRs, which register shall include the depositary’s direct registration system. Registered holders of ADRs may inspect such records at the depositary’s office at all reasonable times, but solely for the purpose of communicating with other holders in the interest of the business of our company or a matter relating to the deposit agreement. Such register may be closed from time to time, when deemed expedient by the depositary.</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depositary will maintain facilities for the delivery and receipt of ADRs.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Appointment</w:t>
      </w:r>
    </w:p>
    <w:p>
      <w:pPr>
        <w:spacing w:after="0" w:line="12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In the deposit agreement, each registered holder of ADRs and each person holding an interest in ADSs, upon acceptance of any ADSs (or any interest therein) issued in accordance with the terms and conditions of the deposit agreement will be deemed for all purposes to:</w:t>
      </w:r>
    </w:p>
    <w:p>
      <w:pPr>
        <w:spacing w:after="0" w:line="67" w:lineRule="exact"/>
        <w:rPr>
          <w:sz w:val="20"/>
          <w:szCs w:val="20"/>
          <w:color w:val="auto"/>
        </w:rPr>
      </w:pPr>
    </w:p>
    <w:p>
      <w:pPr>
        <w:ind w:left="1080" w:hanging="424"/>
        <w:spacing w:after="0"/>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a party to and bound by the terms of the deposit agreement and the applicable ADR or ADRs, and</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58" w:lineRule="auto"/>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the depositary its attorney-in-fact, with full power to delegate, to act on its behalf and to take any and all actions contemplated in the deposit agreement and the applicable ADR or ADRs, to adopt any and all procedures necessary to comply with applicable laws and to take such action as the depositary in its sole discretion may deem necessary or appropriate to carry out the purposes of the deposit agreement and the applicable ADR and ADRs, the taking of such actions to be the conclusive determinant of the necessity and appropriateness thereof.</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The deposit agreement and the ADRs shall be governed by and construed in accordance with the laws of the State of New York. In the deposit agreement, we have submitted to the jurisdiction of the courts of the State of New York and appointed an agent for service of process on our behalf. Notwithstanding the foregoing, any action based on the deposit agreement or the transactions contemplated thereby may be instituted by the depositary and holders in any competent court in the Cayman Islands, Hong Kong, the People’s Republic of China and/or the United States or through the commencement of an English language arbitration either in New York, New York in accordance with the Commercial Arbitration Rules of the American Arbitration Association or in Hong Kong following the arbitration rules of the United Nations Commission on International Trade Law (UNCITRAL).</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Jury Trial Waiver</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the deposit agreement, each party thereto (including, for the avoidance of doubt, each holder and beneficial owner of, and/or holder of interests in, ADSs or ADRs) irrevocably waives, to the fullest extent permitted by applicable law, any right it may have to a trial by jury in any suit, action or proceeding against the depositary and/or us directly or indirectly arising out of, based on or relating in any way to the shares or other deposited securities, the ADSs or the ADRs, the deposit agreement or any transaction contemplated therein, or the breach thereof (whether based on contract, tort, common law or any other theory), including any claim under the U.S. federal securities laws.</w:t>
      </w:r>
    </w:p>
    <w:p>
      <w:pPr>
        <w:spacing w:after="0" w:line="183"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If we or the depositary were to oppose a jury trial demand based on such waiver, the court would determine whether the waiver was enforceable in the facts and circumstances of that case in accordance with applicable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222</w:t>
      </w:r>
    </w:p>
    <w:p>
      <w:pPr>
        <w:sectPr>
          <w:pgSz w:w="11900" w:h="16838" w:orient="portrait"/>
          <w:cols w:equalWidth="0" w:num="1">
            <w:col w:w="11120"/>
          </w:cols>
          <w:pgMar w:left="320" w:top="455" w:right="45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state and federal law, including whether a party knowingly, intelligently and voluntarily waived the right to a jury trial. The waiver to right to a jury trial in the deposit agreement is not intended to be deemed a waiver by any holder or beneficial owner of ADSs of our or the depositary’s compliance with the U.S. federal securities laws and the rules and regulations promulgated thereunder.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Jurisdiction</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have agreed with the depositary that the United States District Court for the Southern District of New York (or, if the United States District Court for the Southern District of New York lacks subject matter jurisdiction over a particular dispute, state courts in New York County, New York) shall have exclusive jurisdiction to hear and determine any dispute arising from or relating in any way to the deposit agreement.</w:t>
      </w:r>
    </w:p>
    <w:p>
      <w:pPr>
        <w:spacing w:after="0" w:line="176"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deposit agreement provides that, by holding an ADS or an interest therein, you irrevocably agree that any legal suit, action or proceeding against or involving us or the depositary arising out of or related in any way to the deposit agreement, the ADSs, American depositary receipts or the transactions contemplated thereby or by virtue of ownership thereof, may only be instituted in the United States District Court for the Southern District of New York (or, if the Southern District of New York lacks subject matter jurisdiction over a particular dispute, in the state courts of New York County, New York), and by holding an ADS or an interest therein you irrevocably waive any objection which you may now or hereafter have to the laying of venue of any such proceeding, and irrevocably submit to the exclusive jurisdiction of such courts in any such suit, action or proceeding. The deposit agreement also provides that the foregoing agreement and waiver shall survive your ownership of ADSs or interests therein.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223</w:t>
      </w:r>
    </w:p>
    <w:p>
      <w:pPr>
        <w:sectPr>
          <w:pgSz w:w="11900" w:h="16838" w:orient="portrait"/>
          <w:cols w:equalWidth="0" w:num="1">
            <w:col w:w="11120"/>
          </w:cols>
          <w:pgMar w:left="320" w:top="455" w:right="459" w:bottom="1440" w:gutter="0" w:footer="0" w:header="0"/>
        </w:sectPr>
      </w:pPr>
    </w:p>
    <w:bookmarkStart w:id="228" w:name="page229"/>
    <w:bookmarkEnd w:id="228"/>
    <w:tbl>
      <w:tblPr>
        <w:tblLayout w:type="fixed"/>
        <w:tblInd w:w="0" w:type="dxa"/>
        <w:tblCellMar>
          <w:top w:w="0" w:type="dxa"/>
          <w:left w:w="0" w:type="dxa"/>
          <w:bottom w:w="0" w:type="dxa"/>
          <w:right w:w="0" w:type="dxa"/>
        </w:tblCellMar>
      </w:tblPr>
      <w:tr>
        <w:trPr>
          <w:trHeight w:val="207"/>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35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533"/>
        </w:trPr>
        <w:tc>
          <w:tcPr>
            <w:tcW w:w="1360" w:type="dxa"/>
            <w:vAlign w:val="bottom"/>
            <w:tcBorders>
              <w:top w:val="single" w:sz="8" w:color="0000EE"/>
            </w:tcBorders>
          </w:tcPr>
          <w:p>
            <w:pPr>
              <w:spacing w:after="0"/>
              <w:rPr>
                <w:sz w:val="24"/>
                <w:szCs w:val="24"/>
                <w:color w:val="auto"/>
              </w:rPr>
            </w:pPr>
          </w:p>
        </w:tc>
        <w:tc>
          <w:tcPr>
            <w:tcW w:w="2580" w:type="dxa"/>
            <w:vAlign w:val="bottom"/>
          </w:tcPr>
          <w:p>
            <w:pPr>
              <w:spacing w:after="0"/>
              <w:rPr>
                <w:sz w:val="24"/>
                <w:szCs w:val="24"/>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tc>
        <w:tc>
          <w:tcPr>
            <w:tcW w:w="24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32"/>
        </w:trPr>
        <w:tc>
          <w:tcPr>
            <w:tcW w:w="39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w w:val="99"/>
              </w:rPr>
              <w:t>Upon completion of this offering, we will have</w:t>
            </w:r>
          </w:p>
        </w:tc>
        <w:tc>
          <w:tcPr>
            <w:tcW w:w="35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ADSs outstanding, representing</w:t>
            </w:r>
          </w:p>
        </w:tc>
        <w:tc>
          <w:tcPr>
            <w:tcW w:w="2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A ordinary shares or</w:t>
            </w:r>
          </w:p>
        </w:tc>
        <w:tc>
          <w:tcPr>
            <w:tcW w:w="9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5"/>
              </w:rPr>
              <w:t>% of our</w:t>
            </w:r>
          </w:p>
        </w:tc>
      </w:tr>
    </w:tbl>
    <w:p>
      <w:pPr>
        <w:ind w:left="1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outstanding ordinary shares, assuming the underwriters do not exercise their option to purchase additional ADSs. All of the ADSs sold in this offering will be freely transferable by persons other than by our “affiliates” without restriction or further registration under the Securities Act. Sales of substantial amounts of the ADSs in the public market could adversely affect prevailing market prices of the ADSs. Prior to this offering, there has been no public market for our Class A ordinary shares or ADSs. We intend to apply to list the ADSs on the [New York Stock Exchange/ Nasdaq Stock Market], but we cannot assure you that a regular trading market will develop in the ADSs. We do not expect that a trading market will develop for our ordinary shares not represented by the ADSs.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2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We, [our directors and executive officers, our existing shareholders] have agreed, for a period of 180 days after the date of this prospectus, not to offer, sell, contract to sell, pledge, grant any option to purchase, make any short sale, lend or otherwise dispose of, except in this offering, any of our ordinary shares or ADSs or securities that are substantially similar to our ordinary shares or ADSs, including but not limited to any options or warrants to purchase our ordinary shares, ADSs or any securities that are convertible into or exchangeable for, or that represent the right to receive, our ordinary shares, ADSs or any such substantially similar securities (other than pursuant to employee stock option plans existing on, or upon the conversion or exchange of convertible or exchangeable securities outstanding as of, the date such lock-up agreement was executed), without the prior written consent of the representatives of the underwriters.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restrictions described in the preceding paragraphs will be automatically extended under certain circumstances. See “Underwriting.”</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Other than this offering, we are not aware of any plans by any significant shareholders to dispose of significant numbers of the ADSs or ordinary shares. However, one or more existing shareholders or owners of securities convertible or exchangeable into or exercisable for the ADSs or ordinary shares may dispose of significant numbers of the ADSs or ordinary shares in the future. We cannot predict what effect, if any, future sales of the ADSs or ordinary shares, or the availability of ADSs or ordinary shares for future sale, will have on the trading price of the ADSs from time to time. Sales of substantial amounts of the ADSs or ordinary shares in the public market, or the perception that these sales could occur, could adversely affect the trading price of the ADSs.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All of our ordinary shares that will be issued and outstanding upon the completion of this offering, other than those Class A ordinary shares sold in this offering, are “restricted securities” as that term is defined in Rule 144 under the Securities Act and may be sold publicly in the United States only if they are subject to an effective registration statement under the Securities Act or pursuant to an exemption from the registration requirement such as those provided by Rule 144 and Rule 701 promulgated under the Securities Act. In general, beginning 90 days after the date of this prospectus, a person (or persons whose shares are aggregated) who at the time of a sale is not, and has not been during the three months preceding the sale, an affiliate of ours and has beneficially owned our restricted securities for at least six months will be entitled to sell the restricted securities without registration under the Securities Act, subject only to the availability of current public information about us, and will be entitled to sell restricted securities beneficially owned for at least one year without restriction. Persons who are our affiliates and have beneficially owned our restricted securities for at least six months may sell a number of restricted securities within any three-month period that does not exceed the greater of the following:</w:t>
      </w:r>
    </w:p>
    <w:p>
      <w:pPr>
        <w:spacing w:after="0" w:line="94" w:lineRule="exact"/>
        <w:rPr>
          <w:sz w:val="20"/>
          <w:szCs w:val="20"/>
          <w:color w:val="auto"/>
        </w:rPr>
      </w:pPr>
    </w:p>
    <w:p>
      <w:pPr>
        <w:ind w:left="1080" w:right="800" w:hanging="424"/>
        <w:spacing w:after="0" w:line="282" w:lineRule="auto"/>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then outstanding Class A ordinary shares, in the form of ADSs or otherwise, which will equal Class A ordinary shares immediately after this offering; 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224</w:t>
      </w:r>
    </w:p>
    <w:p>
      <w:pPr>
        <w:sectPr>
          <w:pgSz w:w="11900" w:h="16838" w:orient="portrait"/>
          <w:cols w:equalWidth="0" w:num="1">
            <w:col w:w="11120"/>
          </w:cols>
          <w:pgMar w:left="320" w:top="446" w:right="45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00" w:hanging="424"/>
        <w:spacing w:after="0" w:line="282" w:lineRule="auto"/>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our ordinary shares in the form of ADSs or otherwise, on the [ New York Stock Exchange/Nasdaq Stock Market], during the four calendar weeks preceding the date on which notice of the sale is filed with the SEC.</w:t>
      </w:r>
    </w:p>
    <w:p>
      <w:pPr>
        <w:spacing w:after="0" w:line="162"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Sales by our affiliates under Rule 144 are also subject to certain requirements relating to manner of sale, notice and the availability of current public information about us.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general, under Rule 701 of the Securities Act as currently in effect, each of our employees, consultants or advisors who purchases our ordinary shares from us in connection with a compensatory stock plan or other written agreement executed prior to the completion of this offering is eligible to resell those ordinary shares in reliance on Rule 144, but without compliance with some of the restrictions, including the holding period, contained in Rule 144. However, the Rule 701 shares would remain subject to lock-up arrangements and would only become eligible for sale when the lock-up period expires.</w:t>
      </w:r>
    </w:p>
    <w:p>
      <w:pPr>
        <w:spacing w:after="0" w:line="1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225</w:t>
      </w:r>
    </w:p>
    <w:p>
      <w:pPr>
        <w:sectPr>
          <w:pgSz w:w="11900" w:h="16838" w:orient="portrait"/>
          <w:cols w:equalWidth="0" w:num="1">
            <w:col w:w="11020"/>
          </w:cols>
          <w:pgMar w:left="320" w:top="455" w:right="55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7"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summary of Cayman Islands, PRC and U.S. federal income tax considerations of an investment in the ADSs or Class A ordinary shares is based upon laws and relevant interpretations thereof in effect as of the date of this registration statement, all of which are subject to change. This summary does not deal with all possible tax considerations relating to an investment in the ADSs or Class A ordinary shares, such as the tax considerations under U.S. state and local tax laws or under the tax laws of jurisdictions other than the Cayman Islands, the People’s Republic of China and the United States. To the extent that the discussion relates to matters of Cayman Islands tax law, it represents the opinion of Travers Thorp Alberga, our Cayman Islands counsel; to the extent it relates to PRC tax law, it represents the opinion of Commerce &amp; Finance Law Offices, our PRC legal counsel.</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Cayman Islands Taxation</w:t>
      </w:r>
    </w:p>
    <w:p>
      <w:pPr>
        <w:spacing w:after="0" w:line="121"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Payments of dividends and capital in respect of our Class A ordinary shares and ADSs will not be subject to taxation in the Cayman Islands and no withholding will be required on the payment of a dividend or capital to any holder of our Class A ordinary shares or the ADSs, nor will gains derived from the disposal of our Class A ordinary shares or the ADSs be subject to Cayman Islands income or corporation tax.</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People’s Republic of China Taxation</w:t>
      </w:r>
    </w:p>
    <w:p>
      <w:pPr>
        <w:spacing w:after="0" w:line="121"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Under the EIT Law and its implementation rules, an enterprise established outside of the PRC with a “de facto management body” within the PRC is considered a resident enterprise and will be subject to the enterprise income tax at the rate of 25% on its global income. The implementation rules define the term “de facto management body” as the body that exercises full and substantial control over and overall management of the business, production, personnel, accounts and properties of an enterprise. In April 2009, the State Administration of Taxation issued a circular, known as Circular 82, which provides certain specific criteria for determining whether the “de facto management body” of a PRC-controlled enterprise that is incorporated offshore is located in mainland China. Although this circular only applies to offshore enterprises controlled by PRC enterprises or PRC enterprise groups, not those controlled by PRC individuals or foreigners, the criteria set forth in the circular may reflect the State Administration of Taxation’s general position on how the “de facto management body” test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mainland China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the enterprise’s voting board members or senior executives habitually reside in the PRC.</w:t>
      </w:r>
    </w:p>
    <w:p>
      <w:pPr>
        <w:spacing w:after="0" w:line="197"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We believe that WeRide Inc. is not a PRC resident enterprise for PRC tax purposes. WeRide Inc. is a company incorporated outside of the PRC. WeRide Inc. is not controlled by a PRC enterprise or PRC enterprise group, and we do not believe that WeRide Inc. meets all of the conditions above. For the same reasons, we believe our other entities outside of China are not PRC resident enterprises either. However, the tax resident status of an enterprise is subject to determination by the PRC tax authorities and uncertainties remain with</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226</w:t>
      </w:r>
    </w:p>
    <w:p>
      <w:pPr>
        <w:sectPr>
          <w:pgSz w:w="11900" w:h="16838" w:orient="portrait"/>
          <w:cols w:equalWidth="0" w:num="1">
            <w:col w:w="11140"/>
          </w:cols>
          <w:pgMar w:left="320" w:top="455" w:right="43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respect to the interpretation of the term “de facto management body.” There can be no assurance that the PRC government will ultimately take a view that is consistent with us.</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the PRC tax authorities determine that WeRide Inc. is a PRC resident enterprise for enterprise income tax purposes, we may be required to withhold a 10% withholding tax from dividends we pay to our shareholders that are non-resident enterprises, including the holders of the ADSs, if such dividends are treated as sourced from within the PRC. In addition, non-resident enterprise shareholders (including the ADS holders) may be subject to a 10% PRC tax on gains realized on the sale or other disposition of ADSs or Class A ordinary shares, if such income is treated as sourced from within the PRC. It is unclear whether our non-PRC individual shareholders (including the ADS holders) would be subject to any PRC tax on dividends or gains obtained by such non-PRC individual shareholders in the event we are determined to be a PRC resident enterprise. If any PRC tax were to apply to such dividends or gains, it would generally apply at a rate of 20%. Any PRC tax imposed on dividends or gains may be subject to a reduction or exemption if such reduction or exemption is available under an applicable tax treaty. It is also unclear whether non-PRC shareholders of WeRide Inc. would be able to claim the benefits of any tax treaties between their country of tax residence and the PRC in the event that WeRide Inc. is treated as a PRC resident enterprise.</w:t>
      </w:r>
    </w:p>
    <w:p>
      <w:pPr>
        <w:spacing w:after="0" w:line="194"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Provided that our Cayman Islands holding company, WeRide Inc., is not deemed to be a PRC resident enterprise, holders of the ADSs and Class A ordinary shares who are not PRC residents will not be subject to PRC income tax on dividends distributed by us or gains realized from the sale or other disposition of our Class A ordinary shares or ADSs. However, under SAT Bulletin 7 and SAT Bulletin 37, where a non-resident enterprise conducts an “indirect transfer” by transferring taxable assets, including, in particular, equity interests in a PRC resident enterprise, indirectly by disposing of the equity interests in an overseas holding company, the non-resident enterprise, being the transferor, or the transferee or the PRC entity which directly owned such taxable assets may report to the relevant tax authority such indirect transfer.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currently at a rate of 10% for the transfer of equity interests in a PRC resident enterprise. We and our non-PRC resident investors may be at risk of being required to file a return and being taxed under SAT Bulletin 7 and SAT Bulletin 37, and we may be required to expend valuable resources to comply with SAT Bulletin 7 and SAT Bulletin 37, or to establish that we should not be taxed under these bulletins.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United States Federal Income Tax Considerations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following discussion is a summary of U.S. federal income tax considerations generally applicable to the ownership and disposition of our ADSs or Class A ordinary shares by a U.S. Holder (as defined below) that acquires our ADSs in this offering and holds our ADSs as “capital assets” (generally, property held for investment) under the U.S. Internal Revenue Code of 1986, as amended (the “Code”). This discussion is based upon existing U.S. federal tax law, which is subject to differing interpretations or change, possibly with retroactive effect, and there can be no assurance that the Internal Revenue Service (the “IRS”) or a court will not take a contrary position. This discussion, moreover, does not address the U.S. federal estate, gift or other non-income tax considerations, minimum tax, the Medicare tax on certain net investment income, or any state, local or non-U.S. tax considerations, relating to the ownership or disposition of our ADSs or Class A ordinary shares. The following summary does not address all aspects of U.S. federal income taxation that may be important to particular investors in light of their individual circumstances or to persons in special tax situations such as:</w:t>
      </w:r>
    </w:p>
    <w:p>
      <w:pPr>
        <w:spacing w:after="0" w:line="94" w:lineRule="exact"/>
        <w:rPr>
          <w:sz w:val="20"/>
          <w:szCs w:val="20"/>
          <w:color w:val="auto"/>
        </w:rPr>
      </w:pPr>
    </w:p>
    <w:p>
      <w:pPr>
        <w:ind w:left="1080" w:hanging="424"/>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and other financial institutions;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227</w:t>
      </w:r>
    </w:p>
    <w:p>
      <w:pPr>
        <w:sectPr>
          <w:pgSz w:w="11900" w:h="16838" w:orient="portrait"/>
          <w:cols w:equalWidth="0" w:num="1">
            <w:col w:w="11140"/>
          </w:cols>
          <w:pgMar w:left="320" w:top="455" w:right="43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cooperatives;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that elect to use a mark-to-market method of accounting;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U.S. citizens or long-term residents;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 (including private foundations);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who acquire their ADSs or Class A ordinary shares pursuant to any employee share option or otherwise as compensation;</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that will hold their ADSs or Class A ordinary shares as part of a straddle, hedge, conversion, constructive sale or other integrated transaction for U.S. federal income tax purposes;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that have a functional currency other than the U.S. dollar;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ADSs or Class A ordinary shares representing 10% or more of our stock (by vote or value); or</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entities taxable as partnerships for U.S. federal income tax purposes, or persons holding ADSs or Class A ordinary shares through such entities,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all of whom may be subject to tax rules that differ significantly from those discussed below.</w:t>
      </w:r>
    </w:p>
    <w:p>
      <w:pPr>
        <w:spacing w:after="0" w:line="225"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Each U.S. Holder is urged to consult its tax advisor regarding the application of U.S. federal taxation to its particular circumstances, and the state, local, non-U.S. and other tax considerations of the ownership and disposition of our ADSs or Class A ordinary shares.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“U.S. Holder” is a beneficial owner of our ADSs or Class A ordinary shares that is, for U.S. federal income tax purposes:</w:t>
      </w:r>
    </w:p>
    <w:p>
      <w:pPr>
        <w:spacing w:after="0" w:line="67" w:lineRule="exact"/>
        <w:rPr>
          <w:sz w:val="20"/>
          <w:szCs w:val="20"/>
          <w:color w:val="auto"/>
        </w:rPr>
      </w:pPr>
    </w:p>
    <w:p>
      <w:pPr>
        <w:ind w:left="1080" w:hanging="424"/>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in, or organized under the law of the United States or any state thereof or the District of Columbia;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130" w:lineRule="exact"/>
        <w:rPr>
          <w:rFonts w:ascii="Times New Roman" w:cs="Times New Roman" w:eastAsia="Times New Roman" w:hAnsi="Times New Roman"/>
          <w:sz w:val="18"/>
          <w:szCs w:val="18"/>
          <w:color w:val="auto"/>
        </w:rPr>
      </w:pPr>
    </w:p>
    <w:p>
      <w:pPr>
        <w:jc w:val="both"/>
        <w:ind w:left="1080" w:right="160" w:hanging="424"/>
        <w:spacing w:after="0" w:line="266" w:lineRule="auto"/>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(A) the administration of which is subject to the primary supervision of a U.S. court and which has one or more U.S. persons who have the authority to control all substantial decisions of the trust or (B) that has otherwise validly elected to be treated as a United States person under the Code.</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a partnership (or other entity treated as a partnership for U.S. federal income tax purposes) is a beneficial owner of our ADSs or Class A ordinary shares, the tax treatment of a partner in the partnership will generally depend upon the status of the partner and the activities of the partnership. Partnerships holding our ADSs or Class A ordinary shares and their partners are urged to consult their tax advisors regarding an investment in our ADSs or Class A ordinary shares.</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For U.S. federal income tax purposes, it is generally expected that a U.S. Holder of ADSs will be treated as the beneficial owner of the underlying shares represented by the ADSs. The remainder of this discussion assumes that a U.S. Holder of our ADSs will be treated in this manner. Accordingly, deposits or withdrawals of Class A ordinary shares for ADSs will generally not be subject to U.S. federal income tax.</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228</w:t>
      </w:r>
    </w:p>
    <w:p>
      <w:pPr>
        <w:sectPr>
          <w:pgSz w:w="11900" w:h="16838" w:orient="portrait"/>
          <w:cols w:equalWidth="0" w:num="1">
            <w:col w:w="11080"/>
          </w:cols>
          <w:pgMar w:left="320" w:top="455" w:right="49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Considerations</w:t>
      </w:r>
    </w:p>
    <w:p>
      <w:pPr>
        <w:spacing w:after="0" w:line="121"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A non-U.S. corporation, such as our company, will be classified as a PFIC for U.S. federal income tax purposes for any taxable year, if either (i) 75% or more of its gross income for such year consists of certain types of “passive” income (the “income test”) or (ii) 50% or more of the value of its assets (generally determined on the basis of a quarterly average) during such year is attributable to assets that produce or are held for the production of passive income (the “asset test”). For this purpose, cash and assets readily convertible into cash are categorized as passive assets and the company’s goodwill and other unbooked intangibles are taken into account. Passive income generally includes, among other things, dividends, interest, rents, royalties, and gains from the disposition of passive assets. We will be treated as owning a proportionate share of the assets and earning a proportionate share of the income of any other corporation in which we own, directly or indirectly, at least 25% (by value) of the stock.</w:t>
      </w:r>
    </w:p>
    <w:p>
      <w:pPr>
        <w:spacing w:after="0" w:line="18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Although the law in this regard is not entirely clear, we treat the VIE and its subsidiaries as being owned by us for U.S. federal income tax purposes because we control their management decisions and are entitled to substantially all of the economic benefits associated with them. As a result, we consolidate their results of operations in our consolidated IFRS financial statements. If it were determined, however, that we are not the owner of the VIE and its subsidiaries for U.S. federal income tax purposes, we may be treated as a PFIC for the current taxable year and any future taxable year. Assuming that we are the owner of the VIE and its subsidiaries for U.S. federal income tax purposes, and based on the current and anticipated value of our assets and composition of our income and assets, including goodwill (taking into account the expected cash proceeds from, and our anticipated market capitalization following, this offering), we do not presently expect to be or become a PFIC for the current taxable year or the foreseeable future.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Subject to the discussion below entitled “Passive Foreign Investment Company Rules,” any cash distributions (including the amount of any PRC tax withheld) paid on our ADSs or Class A ordinary shares out of our current or accumulated earnings and profits, as determined under U.S. federal income tax principles, will generally be includible in the gross income of a U.S. Holder as dividend income on the day actually or constructively received by the U.S. Holder, in the case of Class A ordinary shares, or by the depositary, in the case of ADSs. Because we do not intend to determine our earnings and profits on the basis of U.S. federal income tax principles, the full amount of any distribution we pay will generally be treated as a “dividend” for U.S. federal income tax purposes. Dividends received on our ADSs or Class A ordinary shares will not be eligible for the dividends received deduction generally allowed to corporations. Dividends received by individuals and certain other non-corporate U.S. Holders may be subject to tax at the lower capital gain tax rate applicable to “qualified dividend income,” provided that certain conditions are satisfied, including that (1) our ADSs or Class A ordinary shares on which the dividends are paid are readily tradeable on an established securities market in the United States, or, in the event that we are deemed to be a PRC resident enterprise under the PRC tax law, we are eligible for the benefits of the United States-PRC income tax treaty (the “Treaty”), (2) we are neither a PFIC nor treated as such with respect to such a U.S. Holder for the taxable year in which the dividend was paid and the preceding taxable year, and (3) certain holding period requirements are met. We expect our ADSs (but not our Class A ordinary shares), which we intend to apply to list on the [NYSE/Nasdaq], will be considered readily tradeable on an established securities market in the United States, although there can be no assurance in this regard.</w:t>
      </w:r>
    </w:p>
    <w:p>
      <w:pPr>
        <w:spacing w:after="0" w:line="19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the event that we are deemed to be a PRC resident enterprise under the EIT Law (see “Taxation—People’s Republic of China Taxation”), we may be eligible for the benefits of the Treaty. If we are eligible for such benefits, dividends we pay on our Class A ordinary shares, regardless of whether such shares are represented by the ADSs, would be eligible for the reduced rates of taxation described in the preceding paragraph.</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229</w:t>
      </w:r>
    </w:p>
    <w:p>
      <w:pPr>
        <w:sectPr>
          <w:pgSz w:w="11900" w:h="16838" w:orient="portrait"/>
          <w:cols w:equalWidth="0" w:num="1">
            <w:col w:w="11120"/>
          </w:cols>
          <w:pgMar w:left="320" w:top="455" w:right="45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Dividends paid on our ADSs or Class A ordinary shares, if any, will generally be treated as income from foreign sources and will generally constitute passive category income for U.S. foreign tax credit purposes. Depending on the U.S. Holder’s individual facts and circumstances, a U.S. Holder may be eligible, subject to a number of complex limitations, to claim a foreign tax credit in respect of any nonrefundable foreign withholding taxes imposed on dividends received on our ADSs or Class A ordinary shares. A U.S. Holder who does not elect to claim a foreign tax credit for foreign taxes withheld may instead claim a deduction, for U.S. federal income tax purposes, in respect of such withholding, but only for a year in which such holder elects to do so for all creditable foreign income taxes. The rules governing the foreign tax credit are complex and their outcome depends in large part on the U.S. Holder’s individual facts and circumstances. Accordingly, U.S. Holders are urged to consult their tax advisors regarding the availability of the foreign tax credit under their particular circumstances.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Sale or Other Disposition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Subject to the discussion below entitled “Passive Foreign Investment Company Rules,” a U.S. Holder will generally recognize capital gain or loss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upon the sale or other disposition of our ADSs or Class A ordinary shares in an amount equal to the difference between the amount realized upon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disposition and the holder’s adjusted tax basis in such ADSs or Class A ordinary shares. Any capital gain or loss will be long-term if the ADSs 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Class A ordinary shares have been held for more than one year and will generally be U.S.-source gain or loss for U.S. foreign tax credit purposes, which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will generally limit the availability of foreign tax credits. Long-term capital gain of individuals and certain other non-corporate U.S. Holders will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generally be eligible for a reduced rate of taxation. The deductibility of a capital loss may be subject to limitations.</w:t>
      </w:r>
    </w:p>
    <w:p>
      <w:pPr>
        <w:spacing w:after="0" w:line="207" w:lineRule="exact"/>
        <w:rPr>
          <w:sz w:val="20"/>
          <w:szCs w:val="20"/>
          <w:color w:val="auto"/>
        </w:rPr>
      </w:pPr>
    </w:p>
    <w:p>
      <w:pPr>
        <w:ind w:left="120" w:right="120" w:firstLine="440"/>
        <w:spacing w:after="0" w:line="272" w:lineRule="auto"/>
        <w:rPr>
          <w:sz w:val="20"/>
          <w:szCs w:val="20"/>
          <w:color w:val="auto"/>
        </w:rPr>
      </w:pPr>
      <w:r>
        <w:rPr>
          <w:rFonts w:ascii="Times New Roman" w:cs="Times New Roman" w:eastAsia="Times New Roman" w:hAnsi="Times New Roman"/>
          <w:sz w:val="17"/>
          <w:szCs w:val="17"/>
          <w:color w:val="auto"/>
        </w:rPr>
        <w:t>As described in “Taxation—People’s Republic of China Taxation,” if we are deemed to be a PRC resident enterprise under the EIT Law, gains from the disposition of our ADSs or Class A ordinary shares may be subject to PRC income tax and will generally be U.S.-source, which may limit the ability to receive a foreign tax credit. If a U.S. Holder is eligible for the benefits of the Treaty, such holder may be able to elect to treat such gain as PRC-source income under the Treaty. Pursuant to recently issued United States Treasury Regulations, however, if a U.S. Holder is not eligible for the benefits of the Treaty or does not elect to apply the Treaty, then such holder may not be able to claim a foreign tax credit arising from any PRC tax imposed on the disposition of our ADSs or Class A ordinary shares. The rules regarding foreign tax credits and deduction of foreign taxes are complex. U.S. Holders should consult their tax advisors regarding the availability of a foreign tax credit or deduction in light of their particular circumstances, including their eligibility for benefits under the Treaty, and the potential impact of the recently-issued United States Treasury Regulations.</w:t>
      </w:r>
    </w:p>
    <w:p>
      <w:pPr>
        <w:spacing w:after="0" w:line="2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we are classified as a PFIC for any taxable year during which a U.S. Holder holds our ADSs or Class A ordinary shares, and unless the U.S. Holder makes a mark-to-market election (as described below), the U.S. Holder will generally be subject to special tax rules on (i) any excess distribution that we make to the U.S. Holder (which generally means any distribution paid during a taxable year to a U.S. Holder that is greater than 125 percent of the average annual distributions paid in the three preceding taxable years or, if shorter, the U.S. Holder’s holding period for the ADSs or Class A ordinary shares), and (ii) any gain realized on the sale or other disposition of ADSs or Class A ordinary shares. Under the PFIC rules:</w:t>
      </w:r>
    </w:p>
    <w:p>
      <w:pPr>
        <w:spacing w:after="0" w:line="89" w:lineRule="exact"/>
        <w:rPr>
          <w:sz w:val="20"/>
          <w:szCs w:val="20"/>
          <w:color w:val="auto"/>
        </w:rPr>
      </w:pPr>
    </w:p>
    <w:p>
      <w:pPr>
        <w:ind w:left="1080" w:hanging="424"/>
        <w:spacing w:after="0"/>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distribution or gain will be allocated ratably over the U.S. Holder’s holding period for the ADSs or Class A ordinary shares;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current taxable year and any taxable years in the U.S. Holder’s holding period prior to the first taxable year in which we are classified as a PFIC (each, a “pre-PFIC year”) will be taxable as ordinary income;</w:t>
      </w:r>
    </w:p>
    <w:p>
      <w:pPr>
        <w:spacing w:after="0" w:line="67"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each prior taxable year, other than a pre-PFIC year, will be subject to tax at the highest tax rate in effect for individuals or corporations, as appropriate, for that year;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230</w:t>
      </w:r>
    </w:p>
    <w:p>
      <w:pPr>
        <w:sectPr>
          <w:pgSz w:w="11900" w:h="16838" w:orient="portrait"/>
          <w:cols w:equalWidth="0" w:num="1">
            <w:col w:w="11120"/>
          </w:cols>
          <w:pgMar w:left="320" w:top="455" w:right="45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60" w:hanging="424"/>
        <w:spacing w:after="0" w:line="282" w:lineRule="auto"/>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tax equal to the interest charge generally applicable to underpayments of tax will be imposed on the tax attributable to each prior taxable year, other than a pre-PFIC year.</w:t>
      </w:r>
    </w:p>
    <w:p>
      <w:pPr>
        <w:spacing w:after="0" w:line="162"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If we are classified as a PFIC for any taxable year during which a U.S. Holder holds our ADSs or Class A ordinary shares and any of our subsidiaries, the VIE or any subsidiaries of the VIE is also a PFIC, such U.S. Holder would be treated as owning a proportionate amount (by value) of the shares of the lower-tier PFIC for purposes of the application of these rules. U.S. Holders are urged to consult their tax advisors regarding the application of the PFIC rules to any of our subsidiaries, the VIE or any subsidiaries of the VIE.</w:t>
      </w:r>
    </w:p>
    <w:p>
      <w:pPr>
        <w:spacing w:after="0" w:line="18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As an alternative to the foregoing rules, a U.S. Holder of “marketable stock” in a PFIC may make a mark-to-market election with respect to such stock, provided that such stock is traded in other than de minimis quantities on at least 15 days during each calendar quarter (“regularly traded”) on a qualified exchange or other market, as defined in applicable United States Treasury Regulations. For those purposes, we expect that our ADSs, but not our Class A ordinary shares, will be treated as marketable stock upon their listing on the [NYSE/Nasdaq], which is a qualified exchange for these purposes. We anticipate that our ADSs should qualify as being regularly traded, but no assurances may be given in this regard. If a U.S. Holder makes a valid mark-to-market election with respect to our ADSs, such holder will generally (i) include as ordinary income for each taxable year that we are a PFIC the excess, if any, of the fair market value of ADSs held at the end of the taxable year over the adjusted tax basis of such ADSs and (ii) deduct as an ordinary loss the excess, if any, of the adjusted tax basis of the ADSs over the fair market value of such ADSs held at the end of the taxable year, but such deduction will only be allowed to the extent of the amount previously included in income as a result of the mark-to-market election. The U.S. Holder’s adjusted tax basis in the ADSs would be adjusted to reflect any income or loss resulting from the mark-to-market election. If a U.S. Holder makes a mark-to-market election in a year when we are classified as a PFIC and we subsequently cease to be classified as a PFIC, the holder will not be required to take into account the gain or loss described above during any period that we are not classified as a PFIC. If a U.S. Holder makes a mark-to-market election, any gain such U.S. Holder recognizes upon the sale or other disposition of our ADSs in a year when we are a PFIC will be treated as ordinary income and any loss will be treated as ordinary loss, but such loss will only be treated as ordinary loss to the extent of the net amount previously included in income as a result of the mark-to-market election.</w:t>
      </w:r>
    </w:p>
    <w:p>
      <w:pPr>
        <w:spacing w:after="0" w:line="19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Because a mark-to-market election cannot technically be made for any lower-tier PFICs that we may own, a U.S. Holder may continue to be subject to the general PFIC rules with respect to such holder’s indirect interest in any investment held by us that is treated as an equity interest in a PFIC for U.S. federal income tax purposes.</w:t>
      </w:r>
    </w:p>
    <w:p>
      <w:pPr>
        <w:spacing w:after="0" w:line="176"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We do not intend to provide information necessary for U.S. Holders to make qualified electing fund elections which, if available, would result in tax treatment different from (and generally less adverse than) the general tax treatment for PFICs described above.</w:t>
      </w:r>
    </w:p>
    <w:p>
      <w:pPr>
        <w:spacing w:after="0" w:line="162"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If a U.S. Holder owns our ADSs or Class A ordinary shares during any taxable year that we are a PFIC, the holder must generally file an annual IRS Form 8621. You should consult your tax advisors regarding the U.S. federal income tax consequences of owning and disposing of our ADSs or Class A ordinary shares if we are or become a PFIC.</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231</w:t>
      </w:r>
    </w:p>
    <w:p>
      <w:pPr>
        <w:sectPr>
          <w:pgSz w:w="11900" w:h="16838" w:orient="portrait"/>
          <w:cols w:equalWidth="0" w:num="1">
            <w:col w:w="11080"/>
          </w:cols>
          <w:pgMar w:left="320" w:top="455" w:right="49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Under the terms and subject to the conditions in an underwriting agreement dated the date of this prospectus, the underwriters named below, for whom Morgan Stanley Asia Limited, J.P. Morgan Securities LLC and China International Capital Corporation Hong Kong Securities Limited are acting as representatives, have severally agreed to purchase, and we have agreed to sell to them, severally, the number of ADSs indicated below at the public offering price less the underwriting discounts and commissions set forth on the cover page of this prospectus:</w:t>
      </w:r>
    </w:p>
    <w:p>
      <w:pPr>
        <w:spacing w:after="0" w:line="200" w:lineRule="exact"/>
        <w:rPr>
          <w:sz w:val="20"/>
          <w:szCs w:val="20"/>
          <w:color w:val="auto"/>
        </w:rPr>
      </w:pPr>
    </w:p>
    <w:p>
      <w:pPr>
        <w:ind w:left="1880"/>
        <w:spacing w:after="0"/>
        <w:tabs>
          <w:tab w:leader="none" w:pos="8340" w:val="left"/>
        </w:tabs>
        <w:rPr>
          <w:sz w:val="20"/>
          <w:szCs w:val="20"/>
          <w:color w:val="auto"/>
        </w:rPr>
      </w:pPr>
      <w:r>
        <w:rPr>
          <w:rFonts w:ascii="Times New Roman" w:cs="Times New Roman" w:eastAsia="Times New Roman" w:hAnsi="Times New Roman"/>
          <w:sz w:val="14"/>
          <w:szCs w:val="14"/>
          <w:b w:val="1"/>
          <w:bCs w:val="1"/>
          <w:u w:val="single" w:color="auto"/>
          <w:color w:val="auto"/>
        </w:rPr>
        <w:t>Underwriter</w:t>
      </w:r>
      <w:r>
        <w:rPr>
          <w:sz w:val="20"/>
          <w:szCs w:val="20"/>
          <w:color w:val="auto"/>
        </w:rPr>
        <w:tab/>
      </w:r>
      <w:r>
        <w:rPr>
          <w:rFonts w:ascii="Times New Roman" w:cs="Times New Roman" w:eastAsia="Times New Roman" w:hAnsi="Times New Roman"/>
          <w:sz w:val="14"/>
          <w:szCs w:val="14"/>
          <w:b w:val="1"/>
          <w:bCs w:val="1"/>
          <w:color w:val="auto"/>
        </w:rPr>
        <w:t>Name of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16510</wp:posOffset>
            </wp:positionV>
            <wp:extent cx="4749165" cy="1454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4749165" cy="145415"/>
                    </a:xfrm>
                    <a:prstGeom prst="rect">
                      <a:avLst/>
                    </a:prstGeom>
                    <a:noFill/>
                  </pic:spPr>
                </pic:pic>
              </a:graphicData>
            </a:graphic>
          </wp:anchor>
        </w:drawing>
      </w:r>
    </w:p>
    <w:p>
      <w:pPr>
        <w:spacing w:after="0" w:line="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Morgan Stanley Asia Limited</w:t>
      </w:r>
    </w:p>
    <w:p>
      <w:pPr>
        <w:spacing w:after="0" w:line="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14605</wp:posOffset>
            </wp:positionV>
            <wp:extent cx="4749165" cy="13716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China International Capital Corporation Hong Kong Securities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5715</wp:posOffset>
            </wp:positionV>
            <wp:extent cx="63436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ind w:left="188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19685</wp:posOffset>
            </wp:positionV>
            <wp:extent cx="63436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34365"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36830</wp:posOffset>
            </wp:positionV>
            <wp:extent cx="63436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26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underwriters and the representatives are collectively referred to as the “underwriters” and the “representatives,” respectively. The underwriters are offering the ADSs subject to their acceptance of the ADSs from us and subject to prior sale. The underwriting agreement provides that the obligations of the several underwriters to pay for and accept delivery of the ADSs offered by this prospectus are subject to the approval of certain legal matters by their counsel and to certain other conditions. The underwriters are obligated to take and pay for all of the ADSs offered by this prospectus if any such ADSs are taken. However, the underwriters are not required to take or pay for any of the ADSs covered by the underwriters’ over-allotment option described below. The underwriting agreement also provides that if an underwriter defaults, the purchase commitments of non-defaulting underwriters may be increased or the offering may be terminated.</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underwriters initially propose to offer part of the ADSs directly to the public at the initial public offering price listed on the cover page of this</w:t>
      </w:r>
    </w:p>
    <w:p>
      <w:pPr>
        <w:spacing w:after="0" w:line="27" w:lineRule="exact"/>
        <w:rPr>
          <w:sz w:val="20"/>
          <w:szCs w:val="20"/>
          <w:color w:val="auto"/>
        </w:rPr>
      </w:pPr>
    </w:p>
    <w:p>
      <w:pPr>
        <w:jc w:val="both"/>
        <w:ind w:left="120" w:right="120"/>
        <w:spacing w:after="0" w:line="255" w:lineRule="auto"/>
        <w:rPr>
          <w:sz w:val="20"/>
          <w:szCs w:val="20"/>
          <w:color w:val="auto"/>
        </w:rPr>
      </w:pPr>
      <w:r>
        <w:rPr>
          <w:rFonts w:ascii="Times New Roman" w:cs="Times New Roman" w:eastAsia="Times New Roman" w:hAnsi="Times New Roman"/>
          <w:sz w:val="18"/>
          <w:szCs w:val="18"/>
          <w:color w:val="auto"/>
        </w:rPr>
        <w:t>prospectus and part to certain dealers at that price less a concession not in excess of US$ per ADS under the initial public offering price. After the initial offering of the ADSs to the public, if all of the ADSs are not sold at the initial public offering price, the offering price and other selling terms may from time to time be varied by the representatives.</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granted to the underwriters an option, exercisable for 30 days from the date of this prospectus, to purchase on a pro rata basis up</w:t>
      </w:r>
    </w:p>
    <w:p>
      <w:pPr>
        <w:spacing w:after="0" w:line="27"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to additional ADSs at the initial public offering price listed on the cover page of this prospectus, less underwriting discounts and commissions. The underwriters may exercise this option solely for the purpose of covering over-allotments, if any, made in connection with the offering of the ADSs offered by this prospectus. To the extent the option is exercised, each underwriter will become obligated, subject to certain conditions, to purchase about the same percentage of the additional ADSs as the number listed next to the underwriter’s name in the preceding table bears to the total number of ADSs listed next to the names of all underwriters in the preceding table. If any additional ADSs are purchased, the underwriters will offer the additional ADSs on the same terms as those on which the ADSs are being offered.</w:t>
      </w:r>
    </w:p>
    <w:p>
      <w:pPr>
        <w:spacing w:after="0" w:line="190" w:lineRule="exact"/>
        <w:rPr>
          <w:sz w:val="20"/>
          <w:szCs w:val="20"/>
          <w:color w:val="auto"/>
        </w:rPr>
      </w:pPr>
    </w:p>
    <w:p>
      <w:pPr>
        <w:ind w:left="120" w:right="280" w:firstLine="440"/>
        <w:spacing w:after="0" w:line="276" w:lineRule="auto"/>
        <w:rPr>
          <w:sz w:val="20"/>
          <w:szCs w:val="20"/>
          <w:color w:val="auto"/>
        </w:rPr>
      </w:pPr>
      <w:r>
        <w:rPr>
          <w:rFonts w:ascii="Times New Roman" w:cs="Times New Roman" w:eastAsia="Times New Roman" w:hAnsi="Times New Roman"/>
          <w:sz w:val="17"/>
          <w:szCs w:val="17"/>
          <w:color w:val="auto"/>
        </w:rPr>
        <w:t>The underwriting fee is equal to the public offering price per ADS less the amount paid by the underwriters to us per ADS. The following table shows the per ADS and total public offering price, underwriting discounts and commissions, and proceeds before expenses to us. These amounts are</w:t>
      </w:r>
    </w:p>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7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shown assuming both no exercise and full exercise of the underwriters’ option to purchase up to an additional</w:t>
            </w:r>
          </w:p>
        </w:tc>
        <w:tc>
          <w:tcPr>
            <w:tcW w:w="60" w:type="dxa"/>
            <w:vAlign w:val="bottom"/>
          </w:tcPr>
          <w:p>
            <w:pPr>
              <w:spacing w:after="0"/>
              <w:rPr>
                <w:sz w:val="20"/>
                <w:szCs w:val="20"/>
                <w:color w:val="auto"/>
              </w:rPr>
            </w:pPr>
          </w:p>
        </w:tc>
        <w:tc>
          <w:tcPr>
            <w:tcW w:w="11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ADSs.</w:t>
            </w:r>
          </w:p>
        </w:tc>
        <w:tc>
          <w:tcPr>
            <w:tcW w:w="7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426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Per ADS</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10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Without</w:t>
            </w:r>
          </w:p>
        </w:tc>
        <w:tc>
          <w:tcPr>
            <w:tcW w:w="840" w:type="dxa"/>
            <w:vAlign w:val="bottom"/>
          </w:tcPr>
          <w:p>
            <w:pPr>
              <w:spacing w:after="0"/>
              <w:rPr>
                <w:sz w:val="10"/>
                <w:szCs w:val="10"/>
                <w:color w:val="auto"/>
              </w:rPr>
            </w:pPr>
          </w:p>
        </w:tc>
        <w:tc>
          <w:tcPr>
            <w:tcW w:w="1820" w:type="dxa"/>
            <w:vAlign w:val="bottom"/>
            <w:gridSpan w:val="2"/>
            <w:vMerge w:val="restart"/>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With Option</w:t>
            </w:r>
          </w:p>
        </w:tc>
        <w:tc>
          <w:tcPr>
            <w:tcW w:w="60" w:type="dxa"/>
            <w:vAlign w:val="bottom"/>
          </w:tcPr>
          <w:p>
            <w:pPr>
              <w:spacing w:after="0"/>
              <w:rPr>
                <w:sz w:val="10"/>
                <w:szCs w:val="10"/>
                <w:color w:val="auto"/>
              </w:rPr>
            </w:pPr>
          </w:p>
        </w:tc>
        <w:tc>
          <w:tcPr>
            <w:tcW w:w="118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Without</w:t>
            </w:r>
          </w:p>
        </w:tc>
        <w:tc>
          <w:tcPr>
            <w:tcW w:w="720" w:type="dxa"/>
            <w:vAlign w:val="bottom"/>
          </w:tcPr>
          <w:p>
            <w:pPr>
              <w:spacing w:after="0"/>
              <w:rPr>
                <w:sz w:val="10"/>
                <w:szCs w:val="10"/>
                <w:color w:val="auto"/>
              </w:rPr>
            </w:pPr>
          </w:p>
        </w:tc>
        <w:tc>
          <w:tcPr>
            <w:tcW w:w="11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With Option</w:t>
            </w:r>
          </w:p>
        </w:tc>
        <w:tc>
          <w:tcPr>
            <w:tcW w:w="0" w:type="dxa"/>
            <w:vAlign w:val="bottom"/>
          </w:tcPr>
          <w:p>
            <w:pPr>
              <w:spacing w:after="0"/>
              <w:rPr>
                <w:sz w:val="1"/>
                <w:szCs w:val="1"/>
                <w:color w:val="auto"/>
              </w:rPr>
            </w:pPr>
          </w:p>
        </w:tc>
      </w:tr>
      <w:tr>
        <w:trPr>
          <w:trHeight w:val="148"/>
        </w:trPr>
        <w:tc>
          <w:tcPr>
            <w:tcW w:w="42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 to</w:t>
            </w:r>
          </w:p>
        </w:tc>
        <w:tc>
          <w:tcPr>
            <w:tcW w:w="84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Option to</w:t>
            </w:r>
          </w:p>
        </w:tc>
        <w:tc>
          <w:tcPr>
            <w:tcW w:w="7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840" w:type="dxa"/>
            <w:vAlign w:val="bottom"/>
          </w:tcPr>
          <w:p>
            <w:pPr>
              <w:spacing w:after="0"/>
              <w:rPr>
                <w:sz w:val="12"/>
                <w:szCs w:val="12"/>
                <w:color w:val="auto"/>
              </w:rPr>
            </w:pPr>
          </w:p>
        </w:tc>
        <w:tc>
          <w:tcPr>
            <w:tcW w:w="1820" w:type="dxa"/>
            <w:vAlign w:val="bottom"/>
            <w:gridSpan w:val="2"/>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rPr>
              <w:t>to Purchase</w:t>
            </w:r>
          </w:p>
        </w:tc>
        <w:tc>
          <w:tcPr>
            <w:tcW w:w="60" w:type="dxa"/>
            <w:vAlign w:val="bottom"/>
          </w:tcPr>
          <w:p>
            <w:pPr>
              <w:spacing w:after="0"/>
              <w:rPr>
                <w:sz w:val="12"/>
                <w:szCs w:val="12"/>
                <w:color w:val="auto"/>
              </w:rPr>
            </w:pPr>
          </w:p>
        </w:tc>
        <w:tc>
          <w:tcPr>
            <w:tcW w:w="11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720" w:type="dxa"/>
            <w:vAlign w:val="bottom"/>
          </w:tcPr>
          <w:p>
            <w:pPr>
              <w:spacing w:after="0"/>
              <w:rPr>
                <w:sz w:val="12"/>
                <w:szCs w:val="12"/>
                <w:color w:val="auto"/>
              </w:rPr>
            </w:pPr>
          </w:p>
        </w:tc>
        <w:tc>
          <w:tcPr>
            <w:tcW w:w="11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to Purchase</w:t>
            </w:r>
          </w:p>
        </w:tc>
        <w:tc>
          <w:tcPr>
            <w:tcW w:w="0" w:type="dxa"/>
            <w:vAlign w:val="bottom"/>
          </w:tcPr>
          <w:p>
            <w:pPr>
              <w:spacing w:after="0"/>
              <w:rPr>
                <w:sz w:val="1"/>
                <w:szCs w:val="1"/>
                <w:color w:val="auto"/>
              </w:rPr>
            </w:pPr>
          </w:p>
        </w:tc>
      </w:tr>
      <w:tr>
        <w:trPr>
          <w:trHeight w:val="173"/>
        </w:trPr>
        <w:tc>
          <w:tcPr>
            <w:tcW w:w="4260" w:type="dxa"/>
            <w:vAlign w:val="bottom"/>
          </w:tcPr>
          <w:p>
            <w:pPr>
              <w:spacing w:after="0"/>
              <w:rPr>
                <w:sz w:val="15"/>
                <w:szCs w:val="15"/>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Additional ADSs</w:t>
            </w:r>
          </w:p>
        </w:tc>
        <w:tc>
          <w:tcPr>
            <w:tcW w:w="840" w:type="dxa"/>
            <w:vAlign w:val="bottom"/>
          </w:tcPr>
          <w:p>
            <w:pPr>
              <w:spacing w:after="0"/>
              <w:rPr>
                <w:sz w:val="15"/>
                <w:szCs w:val="15"/>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Additional ADSs</w:t>
            </w:r>
          </w:p>
        </w:tc>
        <w:tc>
          <w:tcPr>
            <w:tcW w:w="60" w:type="dxa"/>
            <w:vAlign w:val="bottom"/>
          </w:tcPr>
          <w:p>
            <w:pPr>
              <w:spacing w:after="0"/>
              <w:rPr>
                <w:sz w:val="15"/>
                <w:szCs w:val="15"/>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 ADSs</w:t>
            </w:r>
          </w:p>
        </w:tc>
        <w:tc>
          <w:tcPr>
            <w:tcW w:w="720" w:type="dxa"/>
            <w:vAlign w:val="bottom"/>
          </w:tcPr>
          <w:p>
            <w:pPr>
              <w:spacing w:after="0"/>
              <w:rPr>
                <w:sz w:val="15"/>
                <w:szCs w:val="15"/>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Additional ADSs</w:t>
            </w:r>
          </w:p>
        </w:tc>
        <w:tc>
          <w:tcPr>
            <w:tcW w:w="0" w:type="dxa"/>
            <w:vAlign w:val="bottom"/>
          </w:tcPr>
          <w:p>
            <w:pPr>
              <w:spacing w:after="0"/>
              <w:rPr>
                <w:sz w:val="1"/>
                <w:szCs w:val="1"/>
                <w:color w:val="auto"/>
              </w:rPr>
            </w:pPr>
          </w:p>
        </w:tc>
      </w:tr>
      <w:tr>
        <w:trPr>
          <w:trHeight w:val="210"/>
        </w:trPr>
        <w:tc>
          <w:tcPr>
            <w:tcW w:w="4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8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7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Underwriting discounts and commissions paid</w:t>
            </w: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by us</w:t>
            </w: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266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US$</w:t>
            </w:r>
          </w:p>
        </w:tc>
        <w:tc>
          <w:tcPr>
            <w:tcW w:w="12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US$</w:t>
            </w:r>
          </w:p>
        </w:tc>
        <w:tc>
          <w:tcPr>
            <w:tcW w:w="182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US$</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us, before expenses</w:t>
            </w:r>
          </w:p>
        </w:tc>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2660" w:type="dxa"/>
            <w:vAlign w:val="bottom"/>
            <w:gridSpan w:val="3"/>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US$</w:t>
            </w:r>
          </w:p>
        </w:tc>
        <w:tc>
          <w:tcPr>
            <w:tcW w:w="12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US$</w:t>
            </w:r>
          </w:p>
        </w:tc>
        <w:tc>
          <w:tcPr>
            <w:tcW w:w="182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US$</w:t>
            </w:r>
          </w:p>
        </w:tc>
        <w:tc>
          <w:tcPr>
            <w:tcW w:w="0" w:type="dxa"/>
            <w:vAlign w:val="bottom"/>
          </w:tcPr>
          <w:p>
            <w:pPr>
              <w:spacing w:after="0"/>
              <w:rPr>
                <w:sz w:val="1"/>
                <w:szCs w:val="1"/>
                <w:color w:val="auto"/>
              </w:rPr>
            </w:pPr>
          </w:p>
        </w:tc>
      </w:tr>
      <w:tr>
        <w:trPr>
          <w:trHeight w:val="365"/>
        </w:trPr>
        <w:tc>
          <w:tcPr>
            <w:tcW w:w="4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40" w:type="dxa"/>
            <w:vAlign w:val="bottom"/>
          </w:tcPr>
          <w:p>
            <w:pPr>
              <w:jc w:val="right"/>
              <w:ind w:right="415"/>
              <w:spacing w:after="0"/>
              <w:rPr>
                <w:sz w:val="20"/>
                <w:szCs w:val="20"/>
                <w:color w:val="auto"/>
              </w:rPr>
            </w:pPr>
            <w:r>
              <w:rPr>
                <w:rFonts w:ascii="Times New Roman" w:cs="Times New Roman" w:eastAsia="Times New Roman" w:hAnsi="Times New Roman"/>
                <w:sz w:val="18"/>
                <w:szCs w:val="18"/>
                <w:color w:val="auto"/>
              </w:rPr>
              <w:t>232</w:t>
            </w: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estimated offering expenses payable by us, including registration, filing and listing fees, printing fees and legal and accounting expenses, but</w:t>
      </w:r>
    </w:p>
    <w:p>
      <w:pPr>
        <w:spacing w:after="0" w:line="27" w:lineRule="exact"/>
        <w:rPr>
          <w:sz w:val="20"/>
          <w:szCs w:val="20"/>
          <w:color w:val="auto"/>
        </w:rPr>
      </w:pPr>
    </w:p>
    <w:p>
      <w:pPr>
        <w:ind w:left="120"/>
        <w:spacing w:after="0"/>
        <w:tabs>
          <w:tab w:leader="none" w:pos="6700" w:val="left"/>
        </w:tabs>
        <w:rPr>
          <w:sz w:val="20"/>
          <w:szCs w:val="20"/>
          <w:color w:val="auto"/>
        </w:rPr>
      </w:pPr>
      <w:r>
        <w:rPr>
          <w:rFonts w:ascii="Times New Roman" w:cs="Times New Roman" w:eastAsia="Times New Roman" w:hAnsi="Times New Roman"/>
          <w:sz w:val="18"/>
          <w:szCs w:val="18"/>
          <w:color w:val="auto"/>
        </w:rPr>
        <w:t>exclusive of the underwriting discounts and commissions, are approximately US$</w:t>
      </w:r>
      <w:r>
        <w:rPr>
          <w:sz w:val="20"/>
          <w:szCs w:val="20"/>
          <w:color w:val="auto"/>
        </w:rPr>
        <w:tab/>
      </w:r>
      <w:r>
        <w:rPr>
          <w:rFonts w:ascii="Times New Roman" w:cs="Times New Roman" w:eastAsia="Times New Roman" w:hAnsi="Times New Roman"/>
          <w:sz w:val="16"/>
          <w:szCs w:val="16"/>
          <w:color w:val="auto"/>
        </w:rPr>
        <w:t>.</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underwriters have informed us that they do not intend sales to discretionary accounts to exceed 5% of the total number of ADSs offered by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them.</w:t>
      </w:r>
    </w:p>
    <w:p>
      <w:pPr>
        <w:spacing w:after="0" w:line="20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Certain of the underwriters are expected to make offers and sales both inside and outside the United States through their respective affiliates, registered broker-dealers or selling agents. Morgan Stanley Asia Limited is not a broker-dealer registered with the SEC, and, to the extent that its conduct may be deemed to involve participation in offers or sales of the ADSs in the United States, those offers or sales will be made through one or more SEC-registered broker-dealers in compliance with applicable laws and regulations. China International Capital Corporation Hong Kong Securities Limited is not a broker-dealer registered with the SEC, and, to the extent that its conduct may be deemed to involve participation in offers or sales of the ADSs in the United States, those offers or sales will be made through one or more SEC-registered broker-dealers in compliance with applicable laws and regulations.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intend to apply for the listing of our ADSs on the [ New York Stock Exchange/the Nasdaq Stock Market] under the trading symbol “WRD.”</w:t>
      </w:r>
    </w:p>
    <w:p>
      <w:pPr>
        <w:spacing w:after="0" w:line="225"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[our directors, executive officers, all of our existing shareholders and all of our option holders] have agreed that, without the prior written consent of the representatives on behalf of the underwriters, we and they will not, and will not publicly disclose an intention to, during the period ending 180 days after the date of this prospectus (the “restricted period”):</w:t>
      </w:r>
    </w:p>
    <w:p>
      <w:pPr>
        <w:spacing w:after="0" w:line="81" w:lineRule="exact"/>
        <w:rPr>
          <w:sz w:val="20"/>
          <w:szCs w:val="20"/>
          <w:color w:val="auto"/>
        </w:rPr>
      </w:pPr>
    </w:p>
    <w:p>
      <w:pPr>
        <w:jc w:val="both"/>
        <w:ind w:left="1080" w:right="20" w:hanging="424"/>
        <w:spacing w:after="0" w:line="266" w:lineRule="auto"/>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contract to sell, sell any option or contract to purchase, purchase any option or contract to sell, grant any option, right or warrant to purchase, lend or otherwise transfer or dispose of, directly or indirectly, any ordinary shares, ADSs or any securities convertible into or exercisable or exchangeable for ordinary shares or ADSs, or enter into a transaction that would have the same effect;</w:t>
      </w:r>
    </w:p>
    <w:p>
      <w:pPr>
        <w:spacing w:after="0" w:line="81"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any registration statement with the Securities and Exchange Commission relating to the offering of any ordinary shares, ADSs or any securities convertible into or exercisable or exchangeable for ordinary shares or ADSs; or</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other arrangement that transfers to another, in whole or in part, any of the economic consequences of ownership of ordinary shares or ADSs.</w:t>
      </w:r>
    </w:p>
    <w:p>
      <w:pPr>
        <w:spacing w:after="0" w:line="162"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whether any such transaction described above is to be settled by delivery of ordinary shares, ADSs or such other securities, in cash or otherwise. In addition, we and each such person has agreed that, without the prior written consent of the representatives on behalf of the underwriters, we or such other person will not, during the restricted period, make any demand for, or exercise any right with respect to, the registration of any ordinary shares, ADSs or any security convertible into or exercisable or exchangeable for ordinary shares or ADSs.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restrictions described in the immediately preceding paragraph do not apply to:</w:t>
      </w:r>
    </w:p>
    <w:p>
      <w:pPr>
        <w:spacing w:after="0" w:line="131" w:lineRule="exact"/>
        <w:rPr>
          <w:sz w:val="20"/>
          <w:szCs w:val="20"/>
          <w:color w:val="auto"/>
        </w:rPr>
      </w:pPr>
    </w:p>
    <w:p>
      <w:pPr>
        <w:ind w:left="1080" w:hanging="424"/>
        <w:spacing w:after="0"/>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ordinary shares or ADSs to the underwriters;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by any person other than us relating to ordinary shares, ADSs or other securities acquired in open market transactions after the completion of the offering of the shares; provided that no filing under Section 16(a) of the Securities Exchange Act of 1934, as amended (the “Exchange Act”), is required or voluntarily made in connection with subsequent sales of the ordinary shares, ADSs or other securities acquired in such open market transactions; or</w:t>
      </w:r>
    </w:p>
    <w:p>
      <w:pPr>
        <w:spacing w:after="0" w:line="85"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facilitating the establishment of a trading plan on behalf of a shareholder, officer or director of our company pursuant to Rule 10b5-1 under the Exchange Act for the transfer of ordinary shares or ADSs,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233</w:t>
      </w:r>
    </w:p>
    <w:p>
      <w:pPr>
        <w:sectPr>
          <w:pgSz w:w="11900" w:h="16838" w:orient="portrait"/>
          <w:cols w:equalWidth="0" w:num="1">
            <w:col w:w="11140"/>
          </w:cols>
          <w:pgMar w:left="320" w:top="455" w:right="43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120"/>
        <w:spacing w:after="0" w:line="261" w:lineRule="auto"/>
        <w:rPr>
          <w:sz w:val="20"/>
          <w:szCs w:val="20"/>
          <w:color w:val="auto"/>
        </w:rPr>
      </w:pPr>
      <w:r>
        <w:rPr>
          <w:rFonts w:ascii="Times New Roman" w:cs="Times New Roman" w:eastAsia="Times New Roman" w:hAnsi="Times New Roman"/>
          <w:sz w:val="18"/>
          <w:szCs w:val="18"/>
          <w:color w:val="auto"/>
        </w:rPr>
        <w:t>provided that (i) such plan does not provide for the transfer of ordinary shares or ADSs during the restricted period and (ii) to the extent a public announcement or filing under the Exchange Act, if any, is required of or voluntarily made by our company regarding the establishment of such plan, such announcement or filing shall include a statement to the effect that no transfer of ordinary shares or ADSs may be made under such plan during the restricted period.]</w:t>
      </w:r>
    </w:p>
    <w:p>
      <w:pPr>
        <w:spacing w:after="0" w:line="180"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The representatives, in their sole discretion, may release the ordinary shares, ADSs and other securities subject to the lock-up agreements described above in whole or in part at any time.</w:t>
      </w:r>
    </w:p>
    <w:p>
      <w:pPr>
        <w:spacing w:after="0" w:line="162" w:lineRule="exact"/>
        <w:rPr>
          <w:sz w:val="20"/>
          <w:szCs w:val="20"/>
          <w:color w:val="auto"/>
        </w:rPr>
      </w:pPr>
    </w:p>
    <w:p>
      <w:pPr>
        <w:ind w:left="120" w:right="360" w:firstLine="440"/>
        <w:spacing w:after="0" w:line="255" w:lineRule="auto"/>
        <w:rPr>
          <w:sz w:val="20"/>
          <w:szCs w:val="20"/>
          <w:color w:val="auto"/>
        </w:rPr>
      </w:pPr>
      <w:r>
        <w:rPr>
          <w:rFonts w:ascii="Times New Roman" w:cs="Times New Roman" w:eastAsia="Times New Roman" w:hAnsi="Times New Roman"/>
          <w:sz w:val="18"/>
          <w:szCs w:val="18"/>
          <w:color w:val="auto"/>
        </w:rPr>
        <w:t>Record holders of our securities are typically the parties to the lock-up agreements with the underwriters referred to above, while holders of beneficial interests in our shares who are not also record holders in respect of such shares are not typically subject to any such agreements or other similar restrictions. Accordingly, we believe that certain holders of beneficial interests who are not record holders and are not bound by lock-up agreements could enter into transactions with respect to those beneficial interests that negatively impact the price of our ADSs. In addition, a shareholder who is not subject to a lock-up agreement with the underwriters may be able to sell, short sell, transfer, hedge, pledge, lend or otherwise dispose of or attempt to sell short sell, transfer, hedge, pledge, lend or otherwise dispose of, their equity interests at any time after the closing of this offering.</w:t>
      </w:r>
    </w:p>
    <w:p>
      <w:pPr>
        <w:spacing w:after="0" w:line="18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[In addition, we have requested the depositary not to accept any deposit of any ordinary shares or deliver any ADSs for 180 days after the date of this prospectus (other than in connection with this offering), unless we instruct the depositary otherwise, which we have agreed not to do without the prior written authorization of the representatives.]</w:t>
      </w:r>
    </w:p>
    <w:p>
      <w:pPr>
        <w:spacing w:after="0" w:line="176"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In order to facilitate the offering of the ADSs, the underwriters may engage in stabilizing transactions, over-allotment transactions, syndicate covering transactions and penalty bids in accordance with Regulation M under the Exchange Act.</w:t>
      </w:r>
    </w:p>
    <w:p>
      <w:pPr>
        <w:spacing w:after="0" w:line="67" w:lineRule="exact"/>
        <w:rPr>
          <w:sz w:val="20"/>
          <w:szCs w:val="20"/>
          <w:color w:val="auto"/>
        </w:rPr>
      </w:pPr>
    </w:p>
    <w:p>
      <w:pPr>
        <w:ind w:left="1080" w:hanging="424"/>
        <w:spacing w:after="0"/>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Stabilizing transactions permit bids to purchase the underlying security so long as the stabilizing bids do not exceed a specified maximum.</w:t>
      </w:r>
    </w:p>
    <w:p>
      <w:pPr>
        <w:spacing w:after="0" w:line="130"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Specifically, the underwriters may sell more ADSs than they are obligated to purchase under the underwriting agreement, creating a syndicate short position. The short position may be either a covered short position or a naked short position. In a covered short position, the number of ADSs over-allotted by the underwriters is not greater than the number of ADSs available for purchase by the underwriters under the over-allotment option. In a naked short position, the number of ADSs involved is greater than the number of ADSs in the over-allotment option. The underwriters can close out a covered short position by exercising the over-allotment option and/or purchasing ADSs in the open market.</w:t>
      </w:r>
    </w:p>
    <w:p>
      <w:pPr>
        <w:spacing w:after="0" w:line="92" w:lineRule="exact"/>
        <w:rPr>
          <w:rFonts w:ascii="Times New Roman" w:cs="Times New Roman" w:eastAsia="Times New Roman" w:hAnsi="Times New Roman"/>
          <w:sz w:val="18"/>
          <w:szCs w:val="18"/>
          <w:color w:val="auto"/>
        </w:rPr>
      </w:pPr>
    </w:p>
    <w:p>
      <w:pPr>
        <w:ind w:left="1080" w:right="200" w:hanging="424"/>
        <w:spacing w:after="0" w:line="255" w:lineRule="auto"/>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Syndicate covering transactions involve purchases of the ADSs in the open market after the distribution has been completed in order to cover syndicate short positions. In determining the source of ADSs to close out a covered short position, the underwriters will consider, among other things, the open market price of ADSs as compared to the price available under the over-allotment option. The underwriters may also sell ADSs in excess of the over-allotment option, creating a naked short position. The underwriters must close out any naked short position by purchasing ADSs in the open market. A naked short position is more likely to be created if the underwriters are concerned that there may be downward pressure on the price of the ADSs in the open market after pricing that could adversely affect investors who purchase in this offering.</w:t>
      </w:r>
    </w:p>
    <w:p>
      <w:pPr>
        <w:spacing w:after="0" w:line="94" w:lineRule="exact"/>
        <w:rPr>
          <w:rFonts w:ascii="Times New Roman" w:cs="Times New Roman" w:eastAsia="Times New Roman" w:hAnsi="Times New Roman"/>
          <w:sz w:val="18"/>
          <w:szCs w:val="18"/>
          <w:color w:val="auto"/>
        </w:rPr>
      </w:pPr>
    </w:p>
    <w:p>
      <w:pPr>
        <w:ind w:left="1080" w:right="180" w:hanging="424"/>
        <w:spacing w:after="0" w:line="261" w:lineRule="auto"/>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additional means of facilitating this offering, the underwriters may bid for, and purchase, ADSs in the open market to stabilize the price of the ADSs. Finally, the underwriters may reclaim selling concessions allowed to an underwriter or a dealer for distributing the ADSs in this offering, if the syndicate repurchases previously distributed ADSs to cover syndicate short positions or to stabilize the price of the ADSs.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234</w:t>
      </w:r>
    </w:p>
    <w:p>
      <w:pPr>
        <w:sectPr>
          <w:pgSz w:w="11900" w:h="16838" w:orient="portrait"/>
          <w:cols w:equalWidth="0" w:num="1">
            <w:col w:w="11140"/>
          </w:cols>
          <w:pgMar w:left="320" w:top="455" w:right="43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firstLine="440"/>
        <w:spacing w:after="0" w:line="276" w:lineRule="auto"/>
        <w:rPr>
          <w:sz w:val="20"/>
          <w:szCs w:val="20"/>
          <w:color w:val="auto"/>
        </w:rPr>
      </w:pPr>
      <w:r>
        <w:rPr>
          <w:rFonts w:ascii="Times New Roman" w:cs="Times New Roman" w:eastAsia="Times New Roman" w:hAnsi="Times New Roman"/>
          <w:sz w:val="17"/>
          <w:szCs w:val="17"/>
          <w:color w:val="auto"/>
        </w:rPr>
        <w:t>These activities may raise or maintain the market price of the ADSs above independent market levels or prevent or retard a decline in the market price of the ADSs, and, as a result, the price of the ADSs may be higher than the price that otherwise might exist in the open market. The underwriters</w:t>
      </w:r>
    </w:p>
    <w:p>
      <w:pPr>
        <w:spacing w:after="0" w:line="1" w:lineRule="exact"/>
        <w:rPr>
          <w:sz w:val="20"/>
          <w:szCs w:val="20"/>
          <w:color w:val="auto"/>
        </w:rPr>
      </w:pPr>
    </w:p>
    <w:p>
      <w:pPr>
        <w:ind w:left="120" w:right="440"/>
        <w:spacing w:after="0" w:line="260" w:lineRule="auto"/>
        <w:rPr>
          <w:sz w:val="20"/>
          <w:szCs w:val="20"/>
          <w:color w:val="auto"/>
        </w:rPr>
      </w:pPr>
      <w:r>
        <w:rPr>
          <w:rFonts w:ascii="Times New Roman" w:cs="Times New Roman" w:eastAsia="Times New Roman" w:hAnsi="Times New Roman"/>
          <w:sz w:val="18"/>
          <w:szCs w:val="18"/>
          <w:color w:val="auto"/>
        </w:rPr>
        <w:t>may carry out these transactions on the , in the over the counter market or otherwise. The underwriters are not required to engage in these activities and may end any of these activities at any time.</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w:t>
      </w:r>
    </w:p>
    <w:p>
      <w:pPr>
        <w:spacing w:after="0" w:line="225"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websites maintained by one or more underwriters, or selling group members, if any, participating in this offering and one or more of the underwriters participating in this offering may distribute prospectuses electronically. The representatives may agree to allocate a number of ADSs to underwriters for sale to their online brokerage account holders. Internet distributions will be allocated by the representatives to underwriters that may make internet distributions on the same basis as other allocations.</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in the ordinary course of their business, for which they received or will receive customary fees and expenses.</w:t>
      </w:r>
    </w:p>
    <w:p>
      <w:pPr>
        <w:spacing w:after="0" w:line="183"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securities and/or instruments of ours or our affiliates. The underwriters and their respective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Pricing of the Offering</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ordinary shares or ADSs. The initial public offering price was determined by negotiations between us and the representatives. Among the factors considered in determining the initial public offering price were our future prospects and those of our industry in general, our sales, earnings and certain other financial and operating information in recent periods, an assessment of our management, the price-earnings ratios, price-sales ratios, market prices of securities, certain financial and operating information of companies engaged in businesses similar to ours, general condition of the securities markets at the time of this offering, the recent market prices of, and demand for, publicly traded shares or ADSs of generally comparable companies and other factors deemed relevant by the underwriters and us.</w:t>
      </w:r>
    </w:p>
    <w:p>
      <w:pPr>
        <w:spacing w:after="0" w:line="187" w:lineRule="exact"/>
        <w:rPr>
          <w:sz w:val="20"/>
          <w:szCs w:val="20"/>
          <w:color w:val="auto"/>
        </w:rPr>
      </w:pPr>
    </w:p>
    <w:p>
      <w:pPr>
        <w:ind w:left="120" w:right="140" w:firstLine="440"/>
        <w:spacing w:after="0" w:line="312" w:lineRule="auto"/>
        <w:rPr>
          <w:sz w:val="20"/>
          <w:szCs w:val="20"/>
          <w:color w:val="auto"/>
        </w:rPr>
      </w:pPr>
      <w:r>
        <w:rPr>
          <w:rFonts w:ascii="Times New Roman" w:cs="Times New Roman" w:eastAsia="Times New Roman" w:hAnsi="Times New Roman"/>
          <w:sz w:val="17"/>
          <w:szCs w:val="17"/>
          <w:color w:val="auto"/>
        </w:rPr>
        <w:t>We cannot assure you that the initial public offering price will correspond to the price at which our ordinary shares or ADSs will trade in the public market subsequent to this offering or that an active trading market for our ordinary shares or ADSs will develop and continue after this offering.</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[Directed Share Program</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At our request, the underwriters have reserved up to % of the ADSs to be issued by us and offered by this prospectus (assuming exercise in full by the underwriters of their option to purchase additional ADSs) for sale, at the initial public offering price, to our directors, officers, employees, business associates and related persons.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235</w:t>
      </w:r>
    </w:p>
    <w:p>
      <w:pPr>
        <w:sectPr>
          <w:pgSz w:w="11900" w:h="16838" w:orient="portrait"/>
          <w:cols w:equalWidth="0" w:num="1">
            <w:col w:w="11120"/>
          </w:cols>
          <w:pgMar w:left="320" w:top="455" w:right="45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tabs>
          <w:tab w:leader="none" w:pos="5720" w:val="left"/>
        </w:tabs>
        <w:rPr>
          <w:sz w:val="20"/>
          <w:szCs w:val="20"/>
          <w:color w:val="auto"/>
        </w:rPr>
      </w:pPr>
      <w:r>
        <w:rPr>
          <w:rFonts w:ascii="Times New Roman" w:cs="Times New Roman" w:eastAsia="Times New Roman" w:hAnsi="Times New Roman"/>
          <w:sz w:val="18"/>
          <w:szCs w:val="18"/>
          <w:color w:val="auto"/>
        </w:rPr>
        <w:t>Any sales made through the directed share program will be made by</w:t>
      </w:r>
      <w:r>
        <w:rPr>
          <w:sz w:val="20"/>
          <w:szCs w:val="20"/>
          <w:color w:val="auto"/>
        </w:rPr>
        <w:tab/>
      </w:r>
      <w:r>
        <w:rPr>
          <w:rFonts w:ascii="Times New Roman" w:cs="Times New Roman" w:eastAsia="Times New Roman" w:hAnsi="Times New Roman"/>
          <w:sz w:val="18"/>
          <w:szCs w:val="18"/>
          <w:color w:val="auto"/>
        </w:rPr>
        <w:t>. The number of ADSs available for sale to the general public will be</w:t>
      </w:r>
    </w:p>
    <w:p>
      <w:pPr>
        <w:spacing w:after="0" w:line="27"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reduced to the extent these individuals purchase such reserved ADSs. Any reserved ADSs that are not so purchased will be offered by the underwriters to the general public on the same basis as the other ADSs offered by this prospectus. For our directors and officers purchasing ADSs through the directed share program, the lock-up agreements described above shall govern with respect to their purchases.]</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No action may be taken by us or the underwriters in any jurisdiction other than the United States that would permit a public offering of the ADSs or the possession, circulation or distribution of this prospectus in any jurisdiction where action for that purpose is required. Accordingly, the ADSs may not be offered or sold, directly or indirectly, and neither the prospectus nor any other offering material or advertisements in connection with the offer and sale of the ADSs may be distributed or published in or from any country or jurisdiction except under circumstances that will result in compliance with any applicable laws, rules and regulations of any such country or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121" w:lineRule="exact"/>
        <w:rPr>
          <w:sz w:val="20"/>
          <w:szCs w:val="20"/>
          <w:color w:val="auto"/>
        </w:rPr>
      </w:pPr>
    </w:p>
    <w:p>
      <w:pPr>
        <w:ind w:left="120" w:right="400" w:firstLine="440"/>
        <w:spacing w:after="0" w:line="261" w:lineRule="auto"/>
        <w:rPr>
          <w:sz w:val="20"/>
          <w:szCs w:val="20"/>
          <w:color w:val="auto"/>
        </w:rPr>
      </w:pPr>
      <w:r>
        <w:rPr>
          <w:rFonts w:ascii="Times New Roman" w:cs="Times New Roman" w:eastAsia="Times New Roman" w:hAnsi="Times New Roman"/>
          <w:sz w:val="18"/>
          <w:szCs w:val="18"/>
          <w:color w:val="auto"/>
        </w:rPr>
        <w:t>The ADSs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ADSs must be made in accordance with an exemption from, or in a transaction not subject to, the prospectus requirements of applicable securities laws.</w:t>
      </w:r>
    </w:p>
    <w:p>
      <w:pPr>
        <w:spacing w:after="0" w:line="180"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0"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or each a Relevant State, no ADSs have been offered or will be offered pursuant to this offering to the public in that Relevant State prior to the publication of a prospectus in relation to the ADSs which has been approved by the competent authority in that Relevant State or, where appropriate, approved in another Relevant State and notified to the competent authority in that Relevant State, all in accordance with the Prospectus Regulation, except that offers of ADSs may be made to the public in that Relevant State at any time under the following exemptions under the Prospectus Regulation:</w:t>
      </w:r>
    </w:p>
    <w:p>
      <w:pPr>
        <w:spacing w:after="0" w:line="89" w:lineRule="exact"/>
        <w:rPr>
          <w:sz w:val="20"/>
          <w:szCs w:val="20"/>
          <w:color w:val="auto"/>
        </w:rPr>
      </w:pPr>
    </w:p>
    <w:p>
      <w:pPr>
        <w:ind w:left="1080" w:hanging="532"/>
        <w:spacing w:after="0"/>
        <w:tabs>
          <w:tab w:leader="none" w:pos="10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Prospectus Regulation;</w:t>
      </w:r>
    </w:p>
    <w:p>
      <w:pPr>
        <w:spacing w:after="0" w:line="130" w:lineRule="exact"/>
        <w:rPr>
          <w:rFonts w:ascii="Times New Roman" w:cs="Times New Roman" w:eastAsia="Times New Roman" w:hAnsi="Times New Roman"/>
          <w:sz w:val="18"/>
          <w:szCs w:val="18"/>
          <w:color w:val="auto"/>
        </w:rPr>
      </w:pPr>
    </w:p>
    <w:p>
      <w:pPr>
        <w:ind w:left="1080" w:right="140" w:hanging="532"/>
        <w:spacing w:after="0" w:line="282" w:lineRule="auto"/>
        <w:tabs>
          <w:tab w:leader="none" w:pos="10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Prospectus Regulation), subject to obtaining the prior consent of the underwriters;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236</w:t>
      </w:r>
    </w:p>
    <w:p>
      <w:pPr>
        <w:sectPr>
          <w:pgSz w:w="11900" w:h="16838" w:orient="portrait"/>
          <w:cols w:equalWidth="0" w:num="1">
            <w:col w:w="11120"/>
          </w:cols>
          <w:pgMar w:left="320" w:top="455" w:right="45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such offer ADSs shall require us or any underwriter to publish a prospectus pursuant to Article 3 of the Prospectus Regulation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supplement a prospectus pursuant to Article 23 of the Prospectus Regulation and each person who initially acquires any ADSs or to whom any offer is made will be deemed to have represented, acknowledged and agreed to and with each of the underwriters and us that it is a “qualified investor” within the meaning of Article 2(e) of the Prospectus Regulation. In the case of any ADSs being offered to a financial intermediary as that term is used in the Prospectus Regulation, each such financial intermediary will be deemed to have represented, acknowledged and agreed that the ADSs acquired by it in the offer have not been acquired on a non-discretionary basis on behalf of, nor have they been acquired with a view to their offer or resale to, persons in circumstances which may give rise to an offer of any ADSs to the public other than their offer or resale in a Relevant State to qualified investors as so defined or in circumstances in which the prior consent of the underwriters have been obtained to each such proposed offer or resale.</w:t>
      </w:r>
    </w:p>
    <w:p>
      <w:pPr>
        <w:spacing w:after="0" w:line="187"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ADSs in any Relevant State means the communication in any form and by any means of sufficient information on the terms of the offer and any ADSs to be offered so as to enable an investor to decide to purchase or subscribe for any ADSs, and the expression “Prospectus Regulation” means Regulation (EU) 2017/1129.</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No ADSs have been offered or will be offered pursuant to the offering to the public in the United Kingdom prior to the publication of a prospectus in relation to the ADSs which have been approved by the Financial Conduct Authority, except that the ADSs may be offered to the public in the United Kingdom at any time:</w:t>
      </w:r>
    </w:p>
    <w:p>
      <w:pPr>
        <w:spacing w:after="0" w:line="81" w:lineRule="exact"/>
        <w:rPr>
          <w:sz w:val="20"/>
          <w:szCs w:val="20"/>
          <w:color w:val="auto"/>
        </w:rPr>
      </w:pPr>
    </w:p>
    <w:p>
      <w:pPr>
        <w:ind w:left="1080" w:hanging="532"/>
        <w:spacing w:after="0"/>
        <w:tabs>
          <w:tab w:leader="none" w:pos="10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UK Prospectus Regulation;</w:t>
      </w:r>
    </w:p>
    <w:p>
      <w:pPr>
        <w:spacing w:after="0" w:line="131" w:lineRule="exact"/>
        <w:rPr>
          <w:sz w:val="20"/>
          <w:szCs w:val="20"/>
          <w:color w:val="auto"/>
        </w:rPr>
      </w:pPr>
    </w:p>
    <w:p>
      <w:pPr>
        <w:ind w:left="1080" w:right="360" w:hanging="532"/>
        <w:spacing w:after="0" w:line="282" w:lineRule="auto"/>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UK Prospectus Regulation), subject to obtaining the prior consent of underwriters for any such offer;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FSMA.</w:t>
      </w:r>
    </w:p>
    <w:p>
      <w:pPr>
        <w:spacing w:after="0" w:line="225"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provided that no such offer of the ADSs shall require us or any underwriter to publish a prospectus pursuant to Section 85 of the FSMA or supplement a prospectus pursuant to Article 23 of the UK Prospectus Regulation. For the purposes of this provision, the expression an “offer to the public” in relation to the ADSs in the United Kingdom means the communication in any form and by any means of sufficient information on the terms of the offer and any ADSs to be offered so as to enable an investor to decide to purchase or subscribe for any ADSs and the expression “UK Prospectus Regulation” means Regulation (EU) 2017/1129 as it forms part of domestic law by virtue of the European Union (Withdrawal) Act 2018.</w:t>
      </w:r>
    </w:p>
    <w:p>
      <w:pPr>
        <w:spacing w:after="0" w:line="183"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addition, in the United Kingdom,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19(5) of the Financial Services and Markets Act 2000 (Financial Promotion) Order 2005, as amended, or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ADSs in the United Kingdom within the meaning of the Financial Services and Markets Act 2000.</w:t>
      </w:r>
    </w:p>
    <w:p>
      <w:pPr>
        <w:spacing w:after="0" w:line="187"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237</w:t>
      </w:r>
    </w:p>
    <w:p>
      <w:pPr>
        <w:sectPr>
          <w:pgSz w:w="11900" w:h="16838" w:orient="portrait"/>
          <w:cols w:equalWidth="0" w:num="1">
            <w:col w:w="11100"/>
          </w:cols>
          <w:pgMar w:left="320" w:top="455" w:right="47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Cayman Islands</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This prospectus does not constitute an invitation or offer to the public in the Cayman Islands of the ADSs or ordinary shares, whether by way of sale or subscription. The underwriters have not offered or sold, and will not offer or sell, directly or indirectly, any ADSs or ordinary shares in the Cayman Islands.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Switzerland</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ADSs may not be publicly offered in Switzerland and will not be listed on the SIX Swiss Exchange, or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ADSs or the offering may be publicly distributed or otherwise made publicly available in Switzerland.</w:t>
      </w:r>
    </w:p>
    <w:p>
      <w:pPr>
        <w:spacing w:after="0" w:line="187" w:lineRule="exact"/>
        <w:rPr>
          <w:sz w:val="20"/>
          <w:szCs w:val="20"/>
          <w:color w:val="auto"/>
        </w:rPr>
      </w:pPr>
    </w:p>
    <w:p>
      <w:pPr>
        <w:ind w:left="120" w:right="360" w:firstLine="440"/>
        <w:spacing w:after="0" w:line="258"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offering, us, the ADSs have been or will be filed with or approved by any Swiss regulatory authority. In particular, this document will not be filed with, and the offer of ADSs will not be supervised by, the Swiss Financial Market Supervisory Authority FINMA (FINMA), and the offer of ADSs has not been and will not be authorized under the Swiss Federal Act on Collective Investment Schemes, or CISA. The investor protection afforded to acquirers of interests in collective investment schemes under the CISA does not extend to acquirers of ADSs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Monaco</w:t>
      </w:r>
    </w:p>
    <w:p>
      <w:pPr>
        <w:spacing w:after="0" w:line="121" w:lineRule="exact"/>
        <w:rPr>
          <w:sz w:val="20"/>
          <w:szCs w:val="20"/>
          <w:color w:val="auto"/>
        </w:rPr>
      </w:pPr>
    </w:p>
    <w:p>
      <w:pPr>
        <w:ind w:left="120" w:right="20" w:firstLine="440"/>
        <w:spacing w:after="0" w:line="272" w:lineRule="auto"/>
        <w:rPr>
          <w:sz w:val="20"/>
          <w:szCs w:val="20"/>
          <w:color w:val="auto"/>
        </w:rPr>
      </w:pPr>
      <w:r>
        <w:rPr>
          <w:rFonts w:ascii="Times New Roman" w:cs="Times New Roman" w:eastAsia="Times New Roman" w:hAnsi="Times New Roman"/>
          <w:sz w:val="17"/>
          <w:szCs w:val="17"/>
          <w:color w:val="auto"/>
        </w:rPr>
        <w:t>The ADSs may not be offered or sold, directly or indirectly, to the public in Monaco other than by a Monaco Bank or a duly authorized Monegasque intermediary acting as a professional institutional investor which has such knowledge and experience in financial and business matters as to be capable of evaluating the risks and merits of an investment in the Fund. Consequently, this prospectus may only be communicated to (i) banks, and</w:t>
      </w:r>
    </w:p>
    <w:p>
      <w:pPr>
        <w:spacing w:after="0" w:line="2" w:lineRule="exact"/>
        <w:rPr>
          <w:sz w:val="20"/>
          <w:szCs w:val="20"/>
          <w:color w:val="auto"/>
        </w:rPr>
      </w:pPr>
    </w:p>
    <w:p>
      <w:pPr>
        <w:ind w:left="120" w:right="440" w:hanging="4"/>
        <w:spacing w:after="0" w:line="255" w:lineRule="auto"/>
        <w:tabs>
          <w:tab w:leader="none" w:pos="38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management companies duly licensed by the “Commission de Contrôle des Activités Financières” by virtue of Law n° 1.338, of September 7, 2007, and authorized under Law n° 1.144 of July 26, 1991. Such regulated intermediaries may in turn communicate this document to potential investors.</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Australia</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document:</w:t>
      </w:r>
    </w:p>
    <w:p>
      <w:pPr>
        <w:spacing w:after="0" w:line="131" w:lineRule="exact"/>
        <w:rPr>
          <w:sz w:val="20"/>
          <w:szCs w:val="20"/>
          <w:color w:val="auto"/>
        </w:rPr>
      </w:pPr>
    </w:p>
    <w:p>
      <w:pPr>
        <w:ind w:left="1080" w:hanging="424"/>
        <w:spacing w:after="0"/>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constitute a disclosure document or a prospectus under Chapter 6D.2 of the Corporations Act 2001 (Cth), or the Corporations Act;</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been, and will not be, lodged with the Australian Securities and Investments Commission, or ASIC, as a disclosure document for the purposes of the Corporations Act and does not purport to include the information required of a disclosure document for the purposes of the Corporations Act; and</w:t>
      </w:r>
    </w:p>
    <w:p>
      <w:pPr>
        <w:spacing w:after="0" w:line="81"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only be provided in Australia to select investors who are able to demonstrate that they fall within one or more of the categories of investors, available under section 708 of the Corporations Act (“Exempt Investors”).</w:t>
      </w:r>
    </w:p>
    <w:p>
      <w:pPr>
        <w:spacing w:after="0" w:line="162" w:lineRule="exact"/>
        <w:rPr>
          <w:sz w:val="20"/>
          <w:szCs w:val="20"/>
          <w:color w:val="auto"/>
        </w:rPr>
      </w:pPr>
    </w:p>
    <w:p>
      <w:pPr>
        <w:ind w:left="120" w:right="40" w:firstLine="440"/>
        <w:spacing w:after="0" w:line="281" w:lineRule="auto"/>
        <w:rPr>
          <w:sz w:val="20"/>
          <w:szCs w:val="20"/>
          <w:color w:val="auto"/>
        </w:rPr>
      </w:pPr>
      <w:r>
        <w:rPr>
          <w:rFonts w:ascii="Times New Roman" w:cs="Times New Roman" w:eastAsia="Times New Roman" w:hAnsi="Times New Roman"/>
          <w:sz w:val="17"/>
          <w:szCs w:val="17"/>
          <w:color w:val="auto"/>
        </w:rPr>
        <w:t>The ADSs may not be directly or indirectly offered for subscription or purchased or sold, and no invitations to subscribe for or buy the ADSs may be issued, and no draft or definitive offering memorandum, advertisement or other offering material relating to any ADSs may be distributed in Australia, except where disclosure to investors is not required under Chapter 6D of the Corporations Act or is otherwise in compliance with all applicable Australian laws and regulations. By submitting an application for the ADSs, you represent and warrant to us that you are an Exempt Investor.</w:t>
      </w:r>
    </w:p>
    <w:p>
      <w:pPr>
        <w:spacing w:after="0" w:line="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238</w:t>
      </w:r>
    </w:p>
    <w:p>
      <w:pPr>
        <w:sectPr>
          <w:pgSz w:w="11900" w:h="16838" w:orient="portrait"/>
          <w:cols w:equalWidth="0" w:num="1">
            <w:col w:w="11120"/>
          </w:cols>
          <w:pgMar w:left="320" w:top="455" w:right="45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As any offer of ADSs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ADSs you undertake to us that you will not, for a period of 12 months from the date of issue of the ADSs, offer, transfer, assign or otherwise alienate those ADSs to investors in Australia except in circumstances where disclosure to investors is not required under Chapter 6D.2 of the Corporations Act or where a compliant disclosure document is prepared and lodged with ASIC.</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New Zealand</w:t>
      </w:r>
    </w:p>
    <w:p>
      <w:pPr>
        <w:spacing w:after="0" w:line="12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This document has not been registered, filed with or approved by any New Zealand regulatory authority under the Financial Markets Conduct Act 2013 (the “FMA Act”). The securities may only be offered or sold in New Zealand (or allotted with a view to being offered for sale in New Zealand) to a person who:</w:t>
      </w:r>
    </w:p>
    <w:p>
      <w:pPr>
        <w:spacing w:after="0" w:line="81" w:lineRule="exact"/>
        <w:rPr>
          <w:sz w:val="20"/>
          <w:szCs w:val="20"/>
          <w:color w:val="auto"/>
        </w:rPr>
      </w:pPr>
    </w:p>
    <w:p>
      <w:pPr>
        <w:ind w:left="1080" w:hanging="424"/>
        <w:spacing w:after="0"/>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an investment business within the meaning of clause 37 of Schedule 1 of the FMC Act;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meets the investment activity criteria specified in clause 38 of Schedule 1 of the FMC Act;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large within the meaning of clause 39 of Schedule 1 of the FMC Act;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government agency within the meaning of clause 40 of Schedule 1 of the FMC Act;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an eligible investor within the meaning of clause 41 of Schedule 1 of the FMC Act.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ADSs have not been and will not be registered pursuant to Article 4, Paragraph 1 of the Financial Instruments and Exchange Act. Accordingly, none of the ADSs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ADSs have not been offered or sold and will not be offered or sold in Hong Kong, by means of any document, other than (a) to “professional investors” as defined in the Securities and Futures Ordinance (Cap. 571 of the Laws of Hong Kong), or the SFO of Hong Kong and any rules made thereunder; or (b) in other circumstances which do not result in the document being a “prospectus” as defined in the Companies (Winding Up and Miscellaneous Provisions) Ordinance (Cap. 32) of Hong Kong), or the CO or which do not constitute an offer to the public within the meaning of the CO. No advertisement, invitation or document relating to the ADSs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ADSs which are or are intended to be disposed of only to persons outside Hong Kong or only to “professional investors” as defined in the SFO and any rules made thereunder.</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21"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Each underwriters has acknowledged that this document has not been registered as a prospectus with the Monetary Authority of Singapore. Accordingly, each underwriter has represented and agreed that it has not offered or sold any ADSs or caused the ADSs to be made the subject of an invitation for subscription or purchase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239</w:t>
      </w:r>
    </w:p>
    <w:p>
      <w:pPr>
        <w:sectPr>
          <w:pgSz w:w="11900" w:h="16838" w:orient="portrait"/>
          <w:cols w:equalWidth="0" w:num="1">
            <w:col w:w="11100"/>
          </w:cols>
          <w:pgMar w:left="320" w:top="455" w:right="47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360"/>
        <w:spacing w:after="0" w:line="266" w:lineRule="auto"/>
        <w:rPr>
          <w:sz w:val="20"/>
          <w:szCs w:val="20"/>
          <w:color w:val="auto"/>
        </w:rPr>
      </w:pPr>
      <w:r>
        <w:rPr>
          <w:rFonts w:ascii="Times New Roman" w:cs="Times New Roman" w:eastAsia="Times New Roman" w:hAnsi="Times New Roman"/>
          <w:sz w:val="18"/>
          <w:szCs w:val="18"/>
          <w:color w:val="auto"/>
        </w:rPr>
        <w:t>and will not offer or sell any ADSs or cause the ADSs to be made the subject of an invitation for subscription or purchase, and has not circulated or distributed, nor will it circulate or distribute, this document or any other document or material in connection with the offer or sale, or invitation for subscription or purchase, of the ADSs, whether directly or indirectly, to any person in Singapore other than:</w:t>
      </w:r>
    </w:p>
    <w:p>
      <w:pPr>
        <w:spacing w:after="0" w:line="81" w:lineRule="exact"/>
        <w:rPr>
          <w:sz w:val="20"/>
          <w:szCs w:val="20"/>
          <w:color w:val="auto"/>
        </w:rPr>
      </w:pPr>
    </w:p>
    <w:p>
      <w:pPr>
        <w:ind w:left="1080" w:hanging="532"/>
        <w:spacing w:after="0" w:line="282" w:lineRule="auto"/>
        <w:tabs>
          <w:tab w:leader="none" w:pos="10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(as defined in Section 4A of the Securities and Futures Act (Chapter 289) of Singapore, as modified or amended from time to time, or the SFA pursuant to Section 274 of the SFA;</w:t>
      </w:r>
    </w:p>
    <w:p>
      <w:pPr>
        <w:spacing w:after="0" w:line="67" w:lineRule="exact"/>
        <w:rPr>
          <w:rFonts w:ascii="Times New Roman" w:cs="Times New Roman" w:eastAsia="Times New Roman" w:hAnsi="Times New Roman"/>
          <w:sz w:val="18"/>
          <w:szCs w:val="18"/>
          <w:color w:val="auto"/>
        </w:rPr>
      </w:pPr>
    </w:p>
    <w:p>
      <w:pPr>
        <w:ind w:left="1080" w:right="880" w:hanging="532"/>
        <w:spacing w:after="0" w:line="282" w:lineRule="auto"/>
        <w:tabs>
          <w:tab w:leader="none" w:pos="10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pursuant to, and in accordance with the conditions of, any other applicable provision of the SFA.</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 the ADSs are subscribed or purchased under Section 275 of the SFA by a relevant person which is:</w:t>
      </w:r>
    </w:p>
    <w:p>
      <w:pPr>
        <w:spacing w:after="0" w:line="131" w:lineRule="exact"/>
        <w:rPr>
          <w:sz w:val="20"/>
          <w:szCs w:val="20"/>
          <w:color w:val="auto"/>
        </w:rPr>
      </w:pPr>
    </w:p>
    <w:p>
      <w:pPr>
        <w:ind w:left="1080" w:right="80" w:hanging="532"/>
        <w:spacing w:after="0" w:line="282" w:lineRule="auto"/>
        <w:tabs>
          <w:tab w:leader="none" w:pos="10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7" w:lineRule="exact"/>
        <w:rPr>
          <w:rFonts w:ascii="Times New Roman" w:cs="Times New Roman" w:eastAsia="Times New Roman" w:hAnsi="Times New Roman"/>
          <w:sz w:val="18"/>
          <w:szCs w:val="18"/>
          <w:color w:val="auto"/>
        </w:rPr>
      </w:pPr>
    </w:p>
    <w:p>
      <w:pPr>
        <w:ind w:left="1080" w:right="300" w:hanging="532"/>
        <w:spacing w:after="0" w:line="282" w:lineRule="auto"/>
        <w:tabs>
          <w:tab w:leader="none" w:pos="10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ADSs pursuant to an offer made under Section 275 of the SFA except:</w:t>
      </w:r>
    </w:p>
    <w:p>
      <w:pPr>
        <w:spacing w:after="0" w:line="81" w:lineRule="exact"/>
        <w:rPr>
          <w:sz w:val="20"/>
          <w:szCs w:val="20"/>
          <w:color w:val="auto"/>
        </w:rPr>
      </w:pPr>
    </w:p>
    <w:p>
      <w:pPr>
        <w:ind w:left="1080" w:hanging="532"/>
        <w:spacing w:after="0"/>
        <w:tabs>
          <w:tab w:leader="none" w:pos="108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an institutional investor or to a relevant person, or to any person arising from an offer referred to in Section 275(1A) or Section 276(4)(i)</w:t>
      </w:r>
    </w:p>
    <w:p>
      <w:pPr>
        <w:spacing w:after="0" w:line="38" w:lineRule="exact"/>
        <w:rPr>
          <w:rFonts w:ascii="Times New Roman" w:cs="Times New Roman" w:eastAsia="Times New Roman" w:hAnsi="Times New Roman"/>
          <w:sz w:val="17"/>
          <w:szCs w:val="17"/>
          <w:color w:val="auto"/>
        </w:rPr>
      </w:pPr>
    </w:p>
    <w:p>
      <w:pPr>
        <w:ind w:left="10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of the SFA;</w:t>
      </w:r>
    </w:p>
    <w:p>
      <w:pPr>
        <w:spacing w:after="0" w:line="112" w:lineRule="exact"/>
        <w:rPr>
          <w:rFonts w:ascii="Times New Roman" w:cs="Times New Roman" w:eastAsia="Times New Roman" w:hAnsi="Times New Roman"/>
          <w:sz w:val="17"/>
          <w:szCs w:val="17"/>
          <w:color w:val="auto"/>
        </w:rPr>
      </w:pPr>
    </w:p>
    <w:p>
      <w:pPr>
        <w:ind w:left="1080" w:hanging="532"/>
        <w:spacing w:after="0"/>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30" w:lineRule="exact"/>
        <w:rPr>
          <w:rFonts w:ascii="Times New Roman" w:cs="Times New Roman" w:eastAsia="Times New Roman" w:hAnsi="Times New Roman"/>
          <w:sz w:val="18"/>
          <w:szCs w:val="18"/>
          <w:color w:val="auto"/>
        </w:rPr>
      </w:pPr>
    </w:p>
    <w:p>
      <w:pPr>
        <w:ind w:left="1080" w:right="740" w:hanging="532"/>
        <w:spacing w:after="0" w:line="282" w:lineRule="auto"/>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37A of the Securities and Futures (Offers of Investments) (Securities and Securities-based Derivatives Contracts) Regulations 2018.</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China</w:t>
      </w:r>
    </w:p>
    <w:p>
      <w:pPr>
        <w:spacing w:after="0" w:line="121" w:lineRule="exact"/>
        <w:rPr>
          <w:sz w:val="20"/>
          <w:szCs w:val="20"/>
          <w:color w:val="auto"/>
        </w:rPr>
      </w:pPr>
    </w:p>
    <w:p>
      <w:pPr>
        <w:jc w:val="both"/>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This Document will not be circulated or distributed in the PRC and the ADSs will not be offered or sold, and will not be offered or sold to any person for re-offering or resale directly or indirectly to any residents of the PRC except pursuant to any applicable laws and regulations of the PRC. Neither this Document nor any advertisement or other offering material may be distributed or published in the PRC, except under circumstances that will result in compliance with applicable laws and regulations.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Korea</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ADSs have not been and will not be registered under the Financial Investments Services and Capital Markets Act of Korea and the decrees and regulations thereunder, or the FSCMA, and the ADSs have been and will be offered in Korea as a private placement under the FSCMA. None of the ADSs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or the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240</w:t>
      </w:r>
    </w:p>
    <w:p>
      <w:pPr>
        <w:sectPr>
          <w:pgSz w:w="11900" w:h="16838" w:orient="portrait"/>
          <w:cols w:equalWidth="0" w:num="1">
            <w:col w:w="11100"/>
          </w:cols>
          <w:pgMar w:left="320" w:top="455" w:right="47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FETL. The ADSs have not been listed on any of securities exchanges in the world including, without limitation, the Korea Exchange in Korea. Furthermore, the purchaser of the ADSs shall comply with all applicable regulatory requirements (including but not limited to requirements under the FETL) in connection with the purchase of the ADSs. By the purchase of the ADSs, the relevant holder thereof will be deemed to represent and warrant that if it is in Korea or is a resident of Korea, it purchased the ADSs pursuant to the applicable laws and regulations of Korea.</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Kuwait</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Unless all necessary approvals from the Kuwait Ministry of Commerce and Industry required by Law No. 31/1990 “Regulating the Negotiation of Securities and Establishment of Investment Funds,” its Executive Regulations and the various Ministerial Orders issued pursuant thereto or in connection therewith, have been given in relation to the marketing and sale of the ADSs, these may not be marketed, offered for sale, nor sold in the State of Kuwait. Neither this prospectus (including any related document), nor any of the information contained therein is intended to lead to the conclusion of any contract of whatsoever nature within Kuwait.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Malaysia</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No prospectus or other offering material or document in connection with the offer and sale of the ADSs has been or will be registered with the Securities Commission of Malaysia, or the Commission for the Commission’s approval pursuant to the Capital Markets and Services Act 2007. Accordingly, this prospectus and any other document or material in connection with the offer or sale, or invitation for subscription or purchase, of the ADSs may not be circulated or distributed, nor may the ADSs be offered or sold, or be made the subject of an invitation for subscription or purchase, whether directly or indirectly, to persons in Malaysia other than (i) a closed end fund approved by the Commission; (ii) a holder of a Capital Markets Services Licence; (iii) a person who acquires the ADSs, as principal, if the offer is on terms that the ADSs may only be acquired at a consideration of not less than RMB250,000 (or its equivalent in foreign currencies) for each transaction; (iv) an individual whose total net personal assets or total net joint assets with his or her spouse exceeds RMB3 million (or its equivalent in foreign currencies), excluding the value of the primary residence of the individual; (v) an individual who has a gross annual income exceeding RMB300,000 (or its equivalent in foreign currencies) per annum in the preceding twelve months; (vi) an individual who, jointly with his or her spouse, has a gross annual income of RMB400,000 (or its equivalent in foreign currencies), per annum in the preceding twelve months; (vii) a corporation with total net assets exceeding RMB10 million (or its equivalent in a foreign currencies) based on the last audited accounts; (viii) a partnership with total net assets exceeding RMB10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the each of the preceding categories (i) to (xi), the distribution of the ADSs is made by a holder of a Capital Markets Services Licence who carries on the business of dealing in securities. The distribution in Malaysia of this prospectus is subject to Malaysian laws. This prospectus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Taiwan</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ADSs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ADSs in Taiwan.</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241</w:t>
      </w:r>
    </w:p>
    <w:p>
      <w:pPr>
        <w:sectPr>
          <w:pgSz w:w="11900" w:h="16838" w:orient="portrait"/>
          <w:cols w:equalWidth="0" w:num="1">
            <w:col w:w="11100"/>
          </w:cols>
          <w:pgMar w:left="320" w:top="455" w:right="47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Saudi Arabia</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This document may not be distributed in the Kingdom of Saudi Arabia except to such persons as are permitted under the Offers of Securities Regulations as issued by the board of the Saudi Arabian Capital Market Authority, or CMA, pursuant to resolution number 2-11-2004 dated 4 October 2004 as amended by resolution number 1-28-2008, as amended, the CMA Regulations.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authorized financial adviser.</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Qatar</w:t>
      </w:r>
    </w:p>
    <w:p>
      <w:pPr>
        <w:spacing w:after="0" w:line="121" w:lineRule="exact"/>
        <w:rPr>
          <w:sz w:val="20"/>
          <w:szCs w:val="20"/>
          <w:color w:val="auto"/>
        </w:rPr>
      </w:pPr>
    </w:p>
    <w:p>
      <w:pPr>
        <w:ind w:left="120" w:right="40" w:firstLine="440"/>
        <w:spacing w:after="0" w:line="281" w:lineRule="auto"/>
        <w:rPr>
          <w:sz w:val="20"/>
          <w:szCs w:val="20"/>
          <w:color w:val="auto"/>
        </w:rPr>
      </w:pPr>
      <w:r>
        <w:rPr>
          <w:rFonts w:ascii="Times New Roman" w:cs="Times New Roman" w:eastAsia="Times New Roman" w:hAnsi="Times New Roman"/>
          <w:sz w:val="17"/>
          <w:szCs w:val="17"/>
          <w:color w:val="auto"/>
        </w:rPr>
        <w:t>The ADSs described in this prospectus have not been, and will not be, offered, sold or delivered, at any time, directly or indirectly in the State of Qatar in a manner that would constitute a public offering. This prospectus has not been, and will not be, registered with or approved by the Qatar Financial Markets Authority or Qatar Central Bank and may not be publicly distributed. This prospectus is intended for the original recipient only and must not be provided to any other person. It is not for general circulation in the State of Qatar and may not be reproduced or used for any other purpose.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Dubai International Financial Centre, or DIFC</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This document relates to an Exempt Offer in accordance with the Markets Rules 2012 of the Dubai Financial Services Authority, or DFSA.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189"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United Arab Emirates</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ADSs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Bermuda</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ADSs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242</w:t>
      </w:r>
    </w:p>
    <w:p>
      <w:pPr>
        <w:sectPr>
          <w:pgSz w:w="11900" w:h="16838" w:orient="portrait"/>
          <w:cols w:equalWidth="0" w:num="1">
            <w:col w:w="11100"/>
          </w:cols>
          <w:pgMar w:left="320" w:top="455" w:right="47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British Virgin Islands</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ADSs are not being, and may not be offered to the public or to any person in the British Virgin Islands for purchase or subscription by or on our behalf. The ADSs may be offered to companies incorporated under the BVI Business Companies Act, 2004 (British Virgin Islands), or BVI Companies, but only where the offer will be made to, and received by, the relevant BVI Company entirely outside of the British Virgin Islands.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Bahamas</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ADSs may not be offered or sold in The Bahamas via a public offer. The ADSs may not be offered or sold or otherwise disposed of in any way to any person(s) deemed “resident” for exchange control purposes by the Central Bank of The Bahamas.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South Africa</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Due to restrictions under the securities laws of South Africa, no “</w:t>
      </w:r>
      <w:r>
        <w:rPr>
          <w:rFonts w:ascii="Times New Roman" w:cs="Times New Roman" w:eastAsia="Times New Roman" w:hAnsi="Times New Roman"/>
          <w:sz w:val="18"/>
          <w:szCs w:val="18"/>
          <w:i w:val="1"/>
          <w:iCs w:val="1"/>
          <w:color w:val="auto"/>
        </w:rPr>
        <w:t>offer to the public</w:t>
      </w:r>
      <w:r>
        <w:rPr>
          <w:rFonts w:ascii="Times New Roman" w:cs="Times New Roman" w:eastAsia="Times New Roman" w:hAnsi="Times New Roman"/>
          <w:sz w:val="18"/>
          <w:szCs w:val="18"/>
          <w:color w:val="auto"/>
        </w:rPr>
        <w:t>” (as such term is defined in the South African Companies Act, No. 71 of 2008 (as amended or re-enacted), or the South African Companies Act, is being made in connection with the issue of the ADSs in South Africa. Accordingly, this document does not, nor is it intended to, constitute a “</w:t>
      </w:r>
      <w:r>
        <w:rPr>
          <w:rFonts w:ascii="Times New Roman" w:cs="Times New Roman" w:eastAsia="Times New Roman" w:hAnsi="Times New Roman"/>
          <w:sz w:val="18"/>
          <w:szCs w:val="18"/>
          <w:i w:val="1"/>
          <w:iCs w:val="1"/>
          <w:color w:val="auto"/>
        </w:rPr>
        <w:t>registered prospectus</w:t>
      </w:r>
      <w:r>
        <w:rPr>
          <w:rFonts w:ascii="Times New Roman" w:cs="Times New Roman" w:eastAsia="Times New Roman" w:hAnsi="Times New Roman"/>
          <w:sz w:val="18"/>
          <w:szCs w:val="18"/>
          <w:color w:val="auto"/>
        </w:rPr>
        <w:t>”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 The ADSs are not offered, and the offer shall not be transferred, sold, renounced or delivered, in South Africa or to a person with an address in South Africa, unless one or other of the following exemptions stipulated in section 96 (1) applies:</w:t>
      </w:r>
    </w:p>
    <w:p>
      <w:pPr>
        <w:sectPr>
          <w:pgSz w:w="11900" w:h="16838" w:orient="portrait"/>
          <w:cols w:equalWidth="0" w:num="1">
            <w:col w:w="11120"/>
          </w:cols>
          <w:pgMar w:left="320" w:top="455" w:right="459" w:bottom="1440" w:gutter="0" w:footer="0" w:header="0"/>
        </w:sectPr>
      </w:pPr>
    </w:p>
    <w:p>
      <w:pPr>
        <w:spacing w:after="0" w:line="2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Section 96 (1) (a)</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offer, transfer, sale, renunciation or delivery is to:</w:t>
      </w:r>
    </w:p>
    <w:p>
      <w:pPr>
        <w:spacing w:after="0" w:line="142" w:lineRule="exact"/>
        <w:rPr>
          <w:sz w:val="20"/>
          <w:szCs w:val="20"/>
          <w:color w:val="auto"/>
        </w:rPr>
      </w:pPr>
    </w:p>
    <w:p>
      <w:pPr>
        <w:sectPr>
          <w:pgSz w:w="11900" w:h="16838" w:orient="portrait"/>
          <w:cols w:equalWidth="0" w:num="2">
            <w:col w:w="2040" w:space="720"/>
            <w:col w:w="8360"/>
          </w:cols>
          <w:pgMar w:left="320" w:top="455" w:right="459" w:bottom="1440" w:gutter="0" w:footer="0" w:header="0"/>
          <w:type w:val="continuous"/>
        </w:sectPr>
      </w:pPr>
    </w:p>
    <w:p>
      <w:pPr>
        <w:ind w:left="2760"/>
        <w:spacing w:after="0"/>
        <w:rPr>
          <w:sz w:val="20"/>
          <w:szCs w:val="20"/>
          <w:color w:val="auto"/>
        </w:rPr>
      </w:pPr>
      <w:r>
        <w:rPr>
          <w:rFonts w:ascii="Times New Roman" w:cs="Times New Roman" w:eastAsia="Times New Roman" w:hAnsi="Times New Roman"/>
          <w:sz w:val="18"/>
          <w:szCs w:val="18"/>
          <w:color w:val="auto"/>
        </w:rPr>
        <w:t xml:space="preserve">(i) </w:t>
      </w:r>
    </w:p>
    <w:p>
      <w:pPr>
        <w:spacing w:after="0" w:line="20" w:lineRule="exact"/>
        <w:rPr>
          <w:sz w:val="20"/>
          <w:szCs w:val="20"/>
          <w:color w:val="auto"/>
        </w:rPr>
      </w:pPr>
      <w:r>
        <w:rPr>
          <w:sz w:val="20"/>
          <w:szCs w:val="20"/>
          <w:color w:val="auto"/>
        </w:rPr>
        <w:br w:type="column"/>
      </w:r>
    </w:p>
    <w:p>
      <w:pPr>
        <w:ind w:right="300" w:hanging="9"/>
        <w:spacing w:after="0" w:line="282" w:lineRule="auto"/>
        <w:rPr>
          <w:sz w:val="20"/>
          <w:szCs w:val="20"/>
          <w:color w:val="auto"/>
        </w:rPr>
      </w:pPr>
      <w:r>
        <w:rPr>
          <w:rFonts w:ascii="Times New Roman" w:cs="Times New Roman" w:eastAsia="Times New Roman" w:hAnsi="Times New Roman"/>
          <w:sz w:val="18"/>
          <w:szCs w:val="18"/>
          <w:color w:val="auto"/>
        </w:rPr>
        <w:t>persons whose ordinary business, or part of whose ordinary business, is to deal in securities, as principal or agent;</w:t>
      </w:r>
    </w:p>
    <w:p>
      <w:pPr>
        <w:spacing w:after="0" w:line="67" w:lineRule="exact"/>
        <w:rPr>
          <w:sz w:val="20"/>
          <w:szCs w:val="20"/>
          <w:color w:val="auto"/>
        </w:rPr>
      </w:pPr>
    </w:p>
    <w:p>
      <w:pPr>
        <w:sectPr>
          <w:pgSz w:w="11900" w:h="16838" w:orient="portrait"/>
          <w:cols w:equalWidth="0" w:num="2">
            <w:col w:w="2980" w:space="140"/>
            <w:col w:w="8000"/>
          </w:cols>
          <w:pgMar w:left="320" w:top="455" w:right="459" w:bottom="1440" w:gutter="0" w:footer="0" w:header="0"/>
          <w:type w:val="continuous"/>
        </w:sectPr>
      </w:pPr>
    </w:p>
    <w:p>
      <w:pPr>
        <w:ind w:left="2760"/>
        <w:spacing w:after="0"/>
        <w:rPr>
          <w:sz w:val="20"/>
          <w:szCs w:val="20"/>
          <w:color w:val="auto"/>
        </w:rPr>
      </w:pPr>
      <w:r>
        <w:rPr>
          <w:rFonts w:ascii="Times New Roman" w:cs="Times New Roman" w:eastAsia="Times New Roman" w:hAnsi="Times New Roman"/>
          <w:sz w:val="18"/>
          <w:szCs w:val="18"/>
          <w:color w:val="auto"/>
        </w:rPr>
        <w:t>(ii)   the South African Public Investment Corporation;</w:t>
      </w:r>
    </w:p>
    <w:p>
      <w:pPr>
        <w:spacing w:after="0" w:line="131"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(iii)  persons or entities regulated by the Reserve Bank of South Africa;</w:t>
      </w:r>
    </w:p>
    <w:p>
      <w:pPr>
        <w:spacing w:after="0" w:line="131"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(iv)  authorized financial service providers under South African law;</w:t>
      </w:r>
    </w:p>
    <w:p>
      <w:pPr>
        <w:spacing w:after="0" w:line="131"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(v)    financial institutions recognized as such under South African law;</w:t>
      </w:r>
    </w:p>
    <w:p>
      <w:pPr>
        <w:spacing w:after="0" w:line="131" w:lineRule="exact"/>
        <w:rPr>
          <w:sz w:val="20"/>
          <w:szCs w:val="20"/>
          <w:color w:val="auto"/>
        </w:rPr>
      </w:pPr>
    </w:p>
    <w:p>
      <w:pPr>
        <w:ind w:left="3120" w:right="420" w:hanging="359"/>
        <w:spacing w:after="0" w:line="266" w:lineRule="auto"/>
        <w:rPr>
          <w:sz w:val="20"/>
          <w:szCs w:val="20"/>
          <w:color w:val="auto"/>
        </w:rPr>
      </w:pPr>
      <w:r>
        <w:rPr>
          <w:rFonts w:ascii="Times New Roman" w:cs="Times New Roman" w:eastAsia="Times New Roman" w:hAnsi="Times New Roman"/>
          <w:sz w:val="18"/>
          <w:szCs w:val="18"/>
          <w:color w:val="auto"/>
        </w:rPr>
        <w:t>(vi)  a wholly-owned subsidiary of any person or entity contemplated in (c), (d) or (e), acting as agent in the capacity of an authorized portfolio manager for a pension fund, or as manager for a collective investment scheme (in each case duly registered as such under South African law); or</w:t>
      </w:r>
    </w:p>
    <w:p>
      <w:pPr>
        <w:spacing w:after="0" w:line="81"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(vii) any combination of the person in (i) to (vi); or</w:t>
      </w:r>
    </w:p>
    <w:p>
      <w:pPr>
        <w:sectPr>
          <w:pgSz w:w="11900" w:h="16838" w:orient="portrait"/>
          <w:cols w:equalWidth="0" w:num="1">
            <w:col w:w="11120"/>
          </w:cols>
          <w:pgMar w:left="320" w:top="455" w:right="459" w:bottom="1440" w:gutter="0" w:footer="0" w:header="0"/>
          <w:type w:val="continuous"/>
        </w:sectPr>
      </w:pP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96 (1) (b)</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total contemplated acquisition cost of the securities, for any single addressee acting as principal is equal to or greater than ZAR1,000,000 or such higher amount as may be promulgated by notice in the Government Gazette of South Africa pursuant to section 96(2)(a) of the South African Companies Act.</w:t>
      </w:r>
    </w:p>
    <w:p>
      <w:pPr>
        <w:spacing w:after="0" w:line="174" w:lineRule="exact"/>
        <w:rPr>
          <w:sz w:val="20"/>
          <w:szCs w:val="20"/>
          <w:color w:val="auto"/>
        </w:rPr>
      </w:pPr>
    </w:p>
    <w:p>
      <w:pPr>
        <w:sectPr>
          <w:pgSz w:w="11900" w:h="16838" w:orient="portrait"/>
          <w:cols w:equalWidth="0" w:num="2">
            <w:col w:w="2040" w:space="720"/>
            <w:col w:w="8360"/>
          </w:cols>
          <w:pgMar w:left="320" w:top="455" w:right="459" w:bottom="1440" w:gutter="0" w:footer="0" w:header="0"/>
          <w:type w:val="continuous"/>
        </w:sectPr>
      </w:pPr>
    </w:p>
    <w:p>
      <w:pPr>
        <w:ind w:left="120" w:right="540" w:firstLine="440"/>
        <w:spacing w:after="0" w:line="284" w:lineRule="auto"/>
        <w:rPr>
          <w:sz w:val="20"/>
          <w:szCs w:val="20"/>
          <w:color w:val="auto"/>
        </w:rPr>
      </w:pPr>
      <w:r>
        <w:rPr>
          <w:rFonts w:ascii="Times New Roman" w:cs="Times New Roman" w:eastAsia="Times New Roman" w:hAnsi="Times New Roman"/>
          <w:sz w:val="18"/>
          <w:szCs w:val="18"/>
          <w:color w:val="auto"/>
        </w:rPr>
        <w:t>Information made available in this prospectus should not be considered as “</w:t>
      </w:r>
      <w:r>
        <w:rPr>
          <w:rFonts w:ascii="Times New Roman" w:cs="Times New Roman" w:eastAsia="Times New Roman" w:hAnsi="Times New Roman"/>
          <w:sz w:val="18"/>
          <w:szCs w:val="18"/>
          <w:i w:val="1"/>
          <w:iCs w:val="1"/>
          <w:color w:val="auto"/>
        </w:rPr>
        <w:t>advice</w:t>
      </w:r>
      <w:r>
        <w:rPr>
          <w:rFonts w:ascii="Times New Roman" w:cs="Times New Roman" w:eastAsia="Times New Roman" w:hAnsi="Times New Roman"/>
          <w:sz w:val="18"/>
          <w:szCs w:val="18"/>
          <w:color w:val="auto"/>
        </w:rPr>
        <w:t>” as defined in the South African Financial Advisory and Intermediary Services Act, 2002.</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Chile</w:t>
      </w:r>
    </w:p>
    <w:p>
      <w:pPr>
        <w:spacing w:after="0" w:line="12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THESE SECURITIES ARE PRIVATELY OFFERED IN CHILE PURSUANT TO THE PROVISIONS OF LAW 18,045, THE SECURITIES MARKET LAW OF CHILE, AND NORMA DE CARÁCTER GENERAL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243</w:t>
      </w:r>
    </w:p>
    <w:p>
      <w:pPr>
        <w:sectPr>
          <w:pgSz w:w="11900" w:h="16838" w:orient="portrait"/>
          <w:cols w:equalWidth="0" w:num="1">
            <w:col w:w="11120"/>
          </w:cols>
          <w:pgMar w:left="320" w:top="455" w:right="459" w:bottom="1440" w:gutter="0" w:footer="0" w:header="0"/>
          <w:type w:val="continuous"/>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NO. 336 (“RULE 336”), DATED JUNE 27, 2012, ISSUED BY THE SUPERINTENDENCIA DE VALORES Y SEGUROS DE CHILE (“SVS”), THE SECURITIES REGULATOR OF CHILE, TO RESIDENT QUALIFIED INVESTORS THAT ARE LISTED IN RULE 336 AND FURTHER DEFINED IN RULE 216 OF JUNE 12, 2008 ISSUED BY THE SVS.</w:t>
      </w:r>
    </w:p>
    <w:p>
      <w:pPr>
        <w:spacing w:after="0" w:line="176"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PURSUANT TO RULE 336 THE FOLLOWING INFORMATION IS PROVIDED IN CHILE TO PROSPECTIVE RESIDENT INVESTORS IN THE OFFERED SECURITIES:</w:t>
      </w:r>
    </w:p>
    <w:p>
      <w:pPr>
        <w:spacing w:after="0" w:line="67" w:lineRule="exact"/>
        <w:rPr>
          <w:sz w:val="20"/>
          <w:szCs w:val="20"/>
          <w:color w:val="auto"/>
        </w:rPr>
      </w:pPr>
    </w:p>
    <w:p>
      <w:pPr>
        <w:ind w:left="1080" w:hanging="532"/>
        <w:spacing w:after="0"/>
        <w:tabs>
          <w:tab w:leader="none" w:pos="10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OF THE OFFER IN CHILE IS [MM] [DD], [YYYY].</w:t>
      </w:r>
    </w:p>
    <w:p>
      <w:pPr>
        <w:spacing w:after="0" w:line="130" w:lineRule="exact"/>
        <w:rPr>
          <w:rFonts w:ascii="Times New Roman" w:cs="Times New Roman" w:eastAsia="Times New Roman" w:hAnsi="Times New Roman"/>
          <w:sz w:val="18"/>
          <w:szCs w:val="18"/>
          <w:color w:val="auto"/>
        </w:rPr>
      </w:pPr>
    </w:p>
    <w:p>
      <w:pPr>
        <w:ind w:left="1080" w:right="240" w:hanging="532"/>
        <w:spacing w:after="0" w:line="282" w:lineRule="auto"/>
        <w:tabs>
          <w:tab w:leader="none" w:pos="10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IS SUBJECT TO NCG 336 OF JUNE 27, 2012 ISSUED BY THE SUPERINTENDENCIA DE VALORES Y SEGUROS DE CHILE (SUPERINTENDENCY OF SECURITIES AND INSURANCE OF CHILE).</w:t>
      </w:r>
    </w:p>
    <w:p>
      <w:pPr>
        <w:spacing w:after="0" w:line="67" w:lineRule="exact"/>
        <w:rPr>
          <w:rFonts w:ascii="Times New Roman" w:cs="Times New Roman" w:eastAsia="Times New Roman" w:hAnsi="Times New Roman"/>
          <w:sz w:val="18"/>
          <w:szCs w:val="18"/>
          <w:color w:val="auto"/>
        </w:rPr>
      </w:pPr>
    </w:p>
    <w:p>
      <w:pPr>
        <w:ind w:left="1080" w:right="640" w:hanging="532"/>
        <w:spacing w:after="0" w:line="266" w:lineRule="auto"/>
        <w:tabs>
          <w:tab w:leader="none" w:pos="10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REFERS TO SECURITIES THAT ARE NOT REGISTERED IN THE REGISTRO DE VALORES (SECURITIES REGISTRY) OR THE REGISTRO DE VALORES EXTRANJEROS (FOREIGN SECURITIES REGISTRY) OF THE SVS AND THEREFORE:</w:t>
      </w:r>
    </w:p>
    <w:p>
      <w:pPr>
        <w:spacing w:after="0" w:line="81"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ARE NOT SUBJECT TO THE OVERSIGHT OF THE SVS; AND</w:t>
      </w:r>
    </w:p>
    <w:p>
      <w:pPr>
        <w:spacing w:after="0" w:line="130" w:lineRule="exact"/>
        <w:rPr>
          <w:rFonts w:ascii="Times New Roman" w:cs="Times New Roman" w:eastAsia="Times New Roman" w:hAnsi="Times New Roman"/>
          <w:sz w:val="18"/>
          <w:szCs w:val="18"/>
          <w:color w:val="auto"/>
        </w:rPr>
      </w:pPr>
    </w:p>
    <w:p>
      <w:pPr>
        <w:ind w:left="1540" w:right="780" w:hanging="439"/>
        <w:spacing w:after="0" w:line="282" w:lineRule="auto"/>
        <w:tabs>
          <w:tab w:leader="none" w:pos="154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ISSUER THEREOF IS NOT SUBJECT TO REPORTING OBLIGATION WITH ESPECT TO ITSELF OR THE OFFERED SECURITIES.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MAY NOT BE PUBLICLY OFFERED IN CHILE UNLESS AND UNTIL THEY ARE REGISTERED IN THE</w:t>
      </w:r>
    </w:p>
    <w:p>
      <w:pPr>
        <w:spacing w:after="0" w:line="27" w:lineRule="exact"/>
        <w:rPr>
          <w:sz w:val="20"/>
          <w:szCs w:val="20"/>
          <w:color w:val="auto"/>
        </w:rPr>
      </w:pPr>
    </w:p>
    <w:p>
      <w:pPr>
        <w:ind w:left="1080"/>
        <w:spacing w:after="0"/>
        <w:tabs>
          <w:tab w:leader="none" w:pos="2900" w:val="left"/>
        </w:tabs>
        <w:rPr>
          <w:sz w:val="20"/>
          <w:szCs w:val="20"/>
          <w:color w:val="auto"/>
        </w:rPr>
      </w:pPr>
      <w:r>
        <w:rPr>
          <w:rFonts w:ascii="Times New Roman" w:cs="Times New Roman" w:eastAsia="Times New Roman" w:hAnsi="Times New Roman"/>
          <w:sz w:val="18"/>
          <w:szCs w:val="18"/>
          <w:color w:val="auto"/>
        </w:rPr>
        <w:t>SECURITIES</w:t>
      </w:r>
      <w:r>
        <w:rPr>
          <w:sz w:val="20"/>
          <w:szCs w:val="20"/>
          <w:color w:val="auto"/>
        </w:rPr>
        <w:tab/>
      </w:r>
      <w:r>
        <w:rPr>
          <w:rFonts w:ascii="Times New Roman" w:cs="Times New Roman" w:eastAsia="Times New Roman" w:hAnsi="Times New Roman"/>
          <w:sz w:val="18"/>
          <w:szCs w:val="18"/>
          <w:color w:val="auto"/>
        </w:rPr>
        <w:t>REGISTRY OF THE SVS.</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244</w:t>
      </w:r>
    </w:p>
    <w:p>
      <w:pPr>
        <w:sectPr>
          <w:pgSz w:w="11900" w:h="16838" w:orient="portrait"/>
          <w:cols w:equalWidth="0" w:num="1">
            <w:col w:w="11120"/>
          </w:cols>
          <w:pgMar w:left="320" w:top="455" w:right="45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EXPENSES RELATED TO THIS OFFERING</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Set forth below is an itemization of the total expenses, excluding underwriting discounts and commissions, that we expect to incur in connection with this offering. With the exception of the SEC registration fee, the FINRA filing fee, and the stock exchange market entry and listing fee, all amounts are estimates.</w:t>
      </w:r>
    </w:p>
    <w:p>
      <w:pPr>
        <w:spacing w:after="0" w:line="221"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4000" w:type="dxa"/>
            <w:vAlign w:val="bottom"/>
            <w:shd w:val="clear" w:color="auto" w:fill="CCEEFF"/>
          </w:tcPr>
          <w:p>
            <w:pPr>
              <w:ind w:left="2860"/>
              <w:spacing w:after="0"/>
              <w:rPr>
                <w:sz w:val="20"/>
                <w:szCs w:val="20"/>
                <w:color w:val="auto"/>
              </w:rPr>
            </w:pPr>
            <w:r>
              <w:rPr>
                <w:rFonts w:ascii="Times New Roman" w:cs="Times New Roman" w:eastAsia="Times New Roman" w:hAnsi="Times New Roman"/>
                <w:sz w:val="18"/>
                <w:szCs w:val="18"/>
                <w:color w:val="auto"/>
              </w:rPr>
              <w:t>US$</w:t>
            </w: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400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Exchange Market Entry and Listing Fee</w:t>
            </w:r>
          </w:p>
        </w:tc>
        <w:tc>
          <w:tcPr>
            <w:tcW w:w="4000" w:type="dxa"/>
            <w:vAlign w:val="bottom"/>
            <w:shd w:val="clear" w:color="auto" w:fill="CCEEFF"/>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400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4000" w:type="dxa"/>
            <w:vAlign w:val="bottom"/>
            <w:shd w:val="clear" w:color="auto" w:fill="CCEEFF"/>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400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4000" w:type="dxa"/>
            <w:vAlign w:val="bottom"/>
            <w:shd w:val="clear" w:color="auto" w:fill="CCEEFF"/>
          </w:tcPr>
          <w:p>
            <w:pPr>
              <w:spacing w:after="0"/>
              <w:rPr>
                <w:sz w:val="18"/>
                <w:szCs w:val="18"/>
                <w:color w:val="auto"/>
              </w:rPr>
            </w:pPr>
          </w:p>
        </w:tc>
      </w:t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000" w:type="dxa"/>
            <w:vAlign w:val="bottom"/>
          </w:tcPr>
          <w:p>
            <w:pPr>
              <w:ind w:left="2860"/>
              <w:spacing w:after="0"/>
              <w:rPr>
                <w:sz w:val="20"/>
                <w:szCs w:val="20"/>
                <w:color w:val="auto"/>
              </w:rPr>
            </w:pPr>
            <w:r>
              <w:rPr>
                <w:rFonts w:ascii="Times New Roman" w:cs="Times New Roman" w:eastAsia="Times New Roman" w:hAnsi="Times New Roman"/>
                <w:sz w:val="18"/>
                <w:szCs w:val="18"/>
                <w:color w:val="auto"/>
              </w:rPr>
              <w:t>US$</w:t>
            </w:r>
          </w:p>
        </w:tc>
      </w:tr>
      <w:tr>
        <w:trPr>
          <w:trHeight w:val="346"/>
        </w:trPr>
        <w:tc>
          <w:tcPr>
            <w:tcW w:w="3480" w:type="dxa"/>
            <w:vAlign w:val="bottom"/>
          </w:tcPr>
          <w:p>
            <w:pPr>
              <w:spacing w:after="0"/>
              <w:rPr>
                <w:sz w:val="24"/>
                <w:szCs w:val="24"/>
                <w:color w:val="auto"/>
              </w:rPr>
            </w:pPr>
          </w:p>
        </w:tc>
        <w:tc>
          <w:tcPr>
            <w:tcW w:w="4000" w:type="dxa"/>
            <w:vAlign w:val="bottom"/>
          </w:tcPr>
          <w:p>
            <w:pPr>
              <w:jc w:val="right"/>
              <w:ind w:right="3510"/>
              <w:spacing w:after="0"/>
              <w:rPr>
                <w:sz w:val="20"/>
                <w:szCs w:val="20"/>
                <w:color w:val="auto"/>
              </w:rPr>
            </w:pPr>
            <w:r>
              <w:rPr>
                <w:rFonts w:ascii="Times New Roman" w:cs="Times New Roman" w:eastAsia="Times New Roman" w:hAnsi="Times New Roman"/>
                <w:sz w:val="18"/>
                <w:szCs w:val="18"/>
                <w:color w:val="auto"/>
              </w:rPr>
              <w:t>245</w:t>
            </w:r>
          </w:p>
        </w:tc>
      </w:tr>
    </w:tbl>
    <w:p>
      <w:pPr>
        <w:sectPr>
          <w:pgSz w:w="11900" w:h="16838" w:orient="portrait"/>
          <w:cols w:equalWidth="0" w:num="1">
            <w:col w:w="11080"/>
          </w:cols>
          <w:pgMar w:left="320" w:top="455" w:right="49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are being represented by Skadden, Arps, Slate, Meagher &amp; Flom LLP with respect to certain legal matters as to United States federal securities and New York State law. The underwriters are being represented by Latham &amp; Watkins LLP with respect to certain legal matters as to United States federal securities and New York State law. The validity of the Class A ordinary shares represented by the ADSs offered in this offering and other certain legal matters as to Cayman Islands law will be passed upon for us by Travers Thorp Alberga. Certain legal matters as to PRC law will be passed upon for us by Commerce &amp; Finance Law Offices and for the underwriters by Han Kun Law Offices. Skadden, Arps, Slate, Meagher &amp; Flom LLP may rely upon Travers Thorp Alberga with respect to matters governed by Cayman Islands law and Commerce &amp; Finance Law Offices with respect to matters governed by PRC law. Latham &amp; Watkins LLP may rely upon Han Kun Law Offices with respect to matters governed by PRC law.</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246</w:t>
      </w:r>
    </w:p>
    <w:p>
      <w:pPr>
        <w:sectPr>
          <w:pgSz w:w="11900" w:h="16838" w:orient="portrait"/>
          <w:cols w:equalWidth="0" w:num="1">
            <w:col w:w="11120"/>
          </w:cols>
          <w:pgMar w:left="320" w:top="455" w:right="45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WeRide Inc. as of January 1, 2020, December 31, 2020 and 2021, and for the years ended December 31, 2020 and 2021, have been included herein and in the registration statement in reliance upon the report of KPMG Huazhen LLP, independent registered public accounting firm, appearing elsewhere herein, and upon the authority of said firm as experts in accounting and auditing.</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registered business address of KPMG Huazhen LLP is 8th Floor, KPMG Tower, Oriental Plaza 1 East Chang An Avenue, Beijing 100738, the People’s Republic of China.</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247</w:t>
      </w:r>
    </w:p>
    <w:p>
      <w:pPr>
        <w:sectPr>
          <w:pgSz w:w="11900" w:h="16838" w:orient="portrait"/>
          <w:cols w:equalWidth="0" w:num="1">
            <w:col w:w="11100"/>
          </w:cols>
          <w:pgMar w:left="320" w:top="455" w:right="47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have filed a registration statement, including relevant exhibits, with the SEC on Form F-1 under the Securities Act with respect to the underlying Class A ordinary shares represented by the ADSs to be sold in this offering. We have also filed a related registration statement on Form F-6 with the SEC to register the ADSs. This prospectus, which constitutes a part of the registration statement on Form F-1, does not contain all of the information contained in the registration statement. You should read our registration statements and their exhibits and schedules for further information with respect to us and the ADSs.</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Immediately upon the effectiveness of the registration statement on Form F-1 of which this prospectus forms a part, we will become subject to periodic reporting and other informational requirements of the Exchange Act as applicable to foreign private issuers. Accordingly, we will be required to file reports, including annual reports on Form 20-F, and other information with the SEC. As a foreign private issuer, we are exempt from the rules of the Exchange Act prescribing the furnishing and content of proxy statements to shareholders, and Section 16 short swing profit reporting for our officers and directors and for holders of more than 10% of our ordinary shares.</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All information filed with the SEC can be obtained over the internet at the SEC’s website at </w:t>
      </w:r>
      <w:r>
        <w:rPr>
          <w:rFonts w:ascii="Times New Roman" w:cs="Times New Roman" w:eastAsia="Times New Roman" w:hAnsi="Times New Roman"/>
          <w:sz w:val="18"/>
          <w:szCs w:val="18"/>
          <w:i w:val="1"/>
          <w:iCs w:val="1"/>
          <w:u w:val="single" w:color="auto"/>
          <w:color w:val="auto"/>
        </w:rPr>
        <w:t>www.sec.gov</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248</w:t>
      </w:r>
    </w:p>
    <w:p>
      <w:pPr>
        <w:sectPr>
          <w:pgSz w:w="11900" w:h="16838" w:orient="portrait"/>
          <w:cols w:equalWidth="0" w:num="1">
            <w:col w:w="11120"/>
          </w:cols>
          <w:pgMar w:left="320" w:top="455" w:right="45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left="1820"/>
        <w:spacing w:after="0"/>
        <w:rPr>
          <w:sz w:val="20"/>
          <w:szCs w:val="20"/>
          <w:color w:val="auto"/>
        </w:rPr>
      </w:pPr>
      <w:r>
        <w:rPr>
          <w:rFonts w:ascii="Times New Roman" w:cs="Times New Roman" w:eastAsia="Times New Roman" w:hAnsi="Times New Roman"/>
          <w:sz w:val="18"/>
          <w:szCs w:val="18"/>
          <w:b w:val="1"/>
          <w:bCs w:val="1"/>
          <w:color w:val="auto"/>
        </w:rPr>
        <w:t>WERIDE INC.</w:t>
      </w:r>
    </w:p>
    <w:p>
      <w:pPr>
        <w:spacing w:after="0" w:line="22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Index to the Consolidated Financial Statements</w:t>
      </w:r>
    </w:p>
    <w:p>
      <w:pPr>
        <w:spacing w:after="0" w:line="2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u w:val="single" w:color="auto"/>
          <w:color w:val="auto"/>
        </w:rPr>
        <w:t>CONTENTS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Report of Independent Registered Public Accounting Firm</w:t>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Consolidated Financial Statements:</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Consolidated Statements of Profit or Loss for the Years Ended December 31, 2020 and 2021</w:t>
      </w:r>
    </w:p>
    <w:p>
      <w:pPr>
        <w:spacing w:after="0" w:line="9" w:lineRule="exact"/>
        <w:rPr>
          <w:sz w:val="20"/>
          <w:szCs w:val="20"/>
          <w:color w:val="auto"/>
        </w:rPr>
      </w:pPr>
    </w:p>
    <w:p>
      <w:pPr>
        <w:ind w:left="120" w:right="140"/>
        <w:spacing w:after="0" w:line="250" w:lineRule="auto"/>
        <w:rPr>
          <w:sz w:val="20"/>
          <w:szCs w:val="20"/>
          <w:color w:val="auto"/>
        </w:rPr>
      </w:pPr>
      <w:r>
        <w:rPr>
          <w:rFonts w:ascii="Times New Roman" w:cs="Times New Roman" w:eastAsia="Times New Roman" w:hAnsi="Times New Roman"/>
          <w:sz w:val="18"/>
          <w:szCs w:val="18"/>
          <w:u w:val="single" w:color="auto"/>
          <w:color w:val="0000EE"/>
        </w:rPr>
        <w:t>Consolidated Statements of Profit or Loss and Other Comprehensive Income for the Years Ended December 31, 2020 and 2021 Consolidated Statements of Financial Position as of January 1, 2020, December 31, 2020 and 2021</w:t>
      </w:r>
    </w:p>
    <w:p>
      <w:pPr>
        <w:spacing w:after="0" w:line="1" w:lineRule="exact"/>
        <w:rPr>
          <w:sz w:val="20"/>
          <w:szCs w:val="20"/>
          <w:color w:val="auto"/>
        </w:rPr>
      </w:pPr>
    </w:p>
    <w:p>
      <w:pPr>
        <w:ind w:left="120" w:right="2320"/>
        <w:spacing w:after="0" w:line="250" w:lineRule="auto"/>
        <w:rPr>
          <w:sz w:val="20"/>
          <w:szCs w:val="20"/>
          <w:color w:val="auto"/>
        </w:rPr>
      </w:pPr>
      <w:r>
        <w:rPr>
          <w:rFonts w:ascii="Times New Roman" w:cs="Times New Roman" w:eastAsia="Times New Roman" w:hAnsi="Times New Roman"/>
          <w:sz w:val="18"/>
          <w:szCs w:val="18"/>
          <w:u w:val="single" w:color="auto"/>
          <w:color w:val="0000EE"/>
        </w:rPr>
        <w:t>Consolidated Statements of Changes in Equity for the Years Ended December 31, 2020 and 2021 Consolidated Statements of Cash Flows for the Years Ended December 31, 2020 and 2021 Notes to the Consolidated Financial Statements</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Unaudited Condensed Consolidated Financial Statements:</w:t>
      </w:r>
    </w:p>
    <w:p>
      <w:pPr>
        <w:spacing w:after="0" w:line="9" w:lineRule="exact"/>
        <w:rPr>
          <w:sz w:val="20"/>
          <w:szCs w:val="20"/>
          <w:color w:val="auto"/>
        </w:rPr>
      </w:pPr>
    </w:p>
    <w:p>
      <w:pPr>
        <w:ind w:left="120" w:right="220"/>
        <w:spacing w:after="0" w:line="250" w:lineRule="auto"/>
        <w:rPr>
          <w:sz w:val="20"/>
          <w:szCs w:val="20"/>
          <w:color w:val="auto"/>
        </w:rPr>
      </w:pPr>
      <w:r>
        <w:rPr>
          <w:rFonts w:ascii="Times New Roman" w:cs="Times New Roman" w:eastAsia="Times New Roman" w:hAnsi="Times New Roman"/>
          <w:sz w:val="18"/>
          <w:szCs w:val="18"/>
          <w:u w:val="single" w:color="auto"/>
          <w:color w:val="0000EE"/>
        </w:rPr>
        <w:t>Unaudited Condensed Consolidated Statements of Profit or Loss for the Six Months Ended June 30, 2021 and 2022 Unaudited Condensed Consolidated Statements of Profit or Loss and Other Comprehensive Income for the Six Months Ended</w:t>
      </w:r>
    </w:p>
    <w:p>
      <w:pPr>
        <w:spacing w:after="0" w:line="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0000EE"/>
        </w:rPr>
        <w:t>June 30, 2021 and 2022</w:t>
      </w:r>
    </w:p>
    <w:p>
      <w:pPr>
        <w:spacing w:after="0" w:line="9" w:lineRule="exact"/>
        <w:rPr>
          <w:sz w:val="20"/>
          <w:szCs w:val="20"/>
          <w:color w:val="auto"/>
        </w:rPr>
      </w:pPr>
    </w:p>
    <w:p>
      <w:pPr>
        <w:ind w:left="120" w:right="640"/>
        <w:spacing w:after="0" w:line="253" w:lineRule="auto"/>
        <w:rPr>
          <w:sz w:val="20"/>
          <w:szCs w:val="20"/>
          <w:color w:val="auto"/>
        </w:rPr>
      </w:pPr>
      <w:r>
        <w:rPr>
          <w:rFonts w:ascii="Times New Roman" w:cs="Times New Roman" w:eastAsia="Times New Roman" w:hAnsi="Times New Roman"/>
          <w:sz w:val="18"/>
          <w:szCs w:val="18"/>
          <w:u w:val="single" w:color="auto"/>
          <w:color w:val="0000EE"/>
        </w:rPr>
        <w:t>Unaudited Condensed Consolidated Statements of Financial Position as of December 31, 2021 and June 30, 2022 Unaudited Condensed Consolidated Statements of Changes in Equity for the Six Months Ended June 30, 2021 and 2022 Unaudited Condensed Consolidated Statements of Cash Flows for the Six Months Ended June 30, 2021 and 2022 Notes to the Unaudited Condensed Consolidated Financial Statements</w:t>
      </w:r>
    </w:p>
    <w:p>
      <w:pPr>
        <w:spacing w:after="0" w:line="12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7620</wp:posOffset>
            </wp:positionV>
            <wp:extent cx="70294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F-2</w:t>
      </w:r>
    </w:p>
    <w:p>
      <w:pPr>
        <w:spacing w:after="0" w:line="2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F-3</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F-4</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F-5 – F-6</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F-7 – F-8</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F-9 – F-10</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F-11 – F-71</w:t>
      </w:r>
    </w:p>
    <w:p>
      <w:pPr>
        <w:spacing w:after="0" w:line="2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F-72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F-74 – F-75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F-76 – F-77</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F-78 – F-79</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F-80 – F-95</w:t>
      </w:r>
    </w:p>
    <w:p>
      <w:pPr>
        <w:sectPr>
          <w:pgSz w:w="11900" w:h="16838" w:orient="portrait"/>
          <w:cols w:equalWidth="0" w:num="2">
            <w:col w:w="9420" w:space="720"/>
            <w:col w:w="860"/>
          </w:cols>
          <w:pgMar w:left="320" w:top="455" w:right="57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WeRide Inc.:</w:t>
      </w:r>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11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financial position of WeRide Inc. and subsidiaries (the Company) as of January 1, 2020, December 31, 2020 and 2021, the related consolidated statements of profit or loss, profit or loss and other comprehensive income, changes in equity, and cash flows for the years ended December 31, 2020 and 2021, and the related notes (collectively, the consolidated financial statements). In our opinion, the consolidated financial statements present fairly, in all material respects, the financial position of the Company as of January 1, 2020, December 31, 2020 and 2021, and the results of its operations and its cash flows for the years ended December 31, 2020 and 2021, in conformity with International Financial Reporting Standards as issued by the International Accounting Standards Board.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1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KPMG Huazhen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Beijing, China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February 23, 2023</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120"/>
          </w:cols>
          <w:pgMar w:left="320" w:top="455" w:right="459" w:bottom="1440" w:gutter="0" w:footer="0" w:header="0"/>
        </w:sectPr>
      </w:pPr>
    </w:p>
    <w:bookmarkStart w:id="255" w:name="page256"/>
    <w:bookmarkEnd w:id="255"/>
    <w:tbl>
      <w:tblPr>
        <w:tblLayout w:type="fixed"/>
        <w:tblInd w:w="0" w:type="dxa"/>
        <w:tblCellMar>
          <w:top w:w="0" w:type="dxa"/>
          <w:left w:w="0" w:type="dxa"/>
          <w:bottom w:w="0" w:type="dxa"/>
          <w:right w:w="0" w:type="dxa"/>
        </w:tblCellMar>
      </w:tblPr>
      <w:tr>
        <w:trPr>
          <w:trHeight w:val="207"/>
        </w:trPr>
        <w:tc>
          <w:tcPr>
            <w:tcW w:w="6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3"/>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6580" w:type="dxa"/>
            <w:vAlign w:val="bottom"/>
            <w:gridSpan w:val="2"/>
          </w:tcPr>
          <w:p>
            <w:pPr>
              <w:ind w:left="2660"/>
              <w:spacing w:after="0"/>
              <w:rPr>
                <w:sz w:val="20"/>
                <w:szCs w:val="20"/>
                <w:color w:val="auto"/>
              </w:rPr>
            </w:pPr>
            <w:r>
              <w:rPr>
                <w:rFonts w:ascii="Times New Roman" w:cs="Times New Roman" w:eastAsia="Times New Roman" w:hAnsi="Times New Roman"/>
                <w:sz w:val="18"/>
                <w:szCs w:val="18"/>
                <w:b w:val="1"/>
                <w:bCs w:val="1"/>
                <w:color w:val="auto"/>
              </w:rPr>
              <w:t>Consolidated Statements of Profit or Loss</w:t>
            </w:r>
          </w:p>
        </w:tc>
        <w:tc>
          <w:tcPr>
            <w:tcW w:w="1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480" w:type="dxa"/>
            <w:vAlign w:val="bottom"/>
            <w:gridSpan w:val="4"/>
          </w:tcPr>
          <w:p>
            <w:pPr>
              <w:jc w:val="right"/>
              <w:ind w:right="1540"/>
              <w:spacing w:after="0"/>
              <w:rPr>
                <w:sz w:val="20"/>
                <w:szCs w:val="20"/>
                <w:color w:val="auto"/>
              </w:rPr>
            </w:pPr>
            <w:r>
              <w:rPr>
                <w:rFonts w:ascii="Times New Roman" w:cs="Times New Roman" w:eastAsia="Times New Roman" w:hAnsi="Times New Roman"/>
                <w:sz w:val="18"/>
                <w:szCs w:val="18"/>
                <w:i w:val="1"/>
                <w:iCs w:val="1"/>
                <w:color w:val="auto"/>
              </w:rPr>
              <w:t>(Expressed in thousands of Renminbi (“RMB”), except for per share data)</w:t>
            </w: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360" w:type="dxa"/>
            <w:vAlign w:val="bottom"/>
            <w:vMerge w:val="restart"/>
          </w:tcPr>
          <w:p>
            <w:pPr>
              <w:ind w:left="400"/>
              <w:spacing w:after="0"/>
              <w:rPr>
                <w:sz w:val="20"/>
                <w:szCs w:val="20"/>
                <w:color w:val="auto"/>
              </w:rPr>
            </w:pPr>
            <w:r>
              <w:rPr>
                <w:rFonts w:ascii="Times New Roman" w:cs="Times New Roman" w:eastAsia="Times New Roman" w:hAnsi="Times New Roman"/>
                <w:sz w:val="18"/>
                <w:szCs w:val="18"/>
                <w:i w:val="1"/>
                <w:iCs w:val="1"/>
                <w:color w:val="auto"/>
              </w:rPr>
              <w:t>Note</w:t>
            </w:r>
          </w:p>
        </w:tc>
        <w:tc>
          <w:tcPr>
            <w:tcW w:w="320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i w:val="1"/>
                <w:iCs w:val="1"/>
                <w:color w:val="auto"/>
              </w:rPr>
              <w:t>For the year ended December 31,</w:t>
            </w: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1280" w:type="dxa"/>
            <w:vAlign w:val="bottom"/>
            <w:tcBorders>
              <w:top w:val="single" w:sz="8" w:color="auto"/>
            </w:tcBorders>
          </w:tcPr>
          <w:p>
            <w:pPr>
              <w:jc w:val="right"/>
              <w:ind w:right="370"/>
              <w:spacing w:after="0" w:line="191" w:lineRule="exact"/>
              <w:rPr>
                <w:sz w:val="20"/>
                <w:szCs w:val="20"/>
                <w:color w:val="auto"/>
              </w:rPr>
            </w:pPr>
            <w:r>
              <w:rPr>
                <w:rFonts w:ascii="Times New Roman" w:cs="Times New Roman" w:eastAsia="Times New Roman" w:hAnsi="Times New Roman"/>
                <w:sz w:val="18"/>
                <w:szCs w:val="18"/>
                <w:i w:val="1"/>
                <w:iCs w:val="1"/>
                <w:color w:val="auto"/>
              </w:rPr>
              <w:t>2020</w:t>
            </w:r>
          </w:p>
        </w:tc>
        <w:tc>
          <w:tcPr>
            <w:tcW w:w="6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310"/>
              <w:spacing w:after="0" w:line="191" w:lineRule="exact"/>
              <w:rPr>
                <w:sz w:val="20"/>
                <w:szCs w:val="20"/>
                <w:color w:val="auto"/>
              </w:rPr>
            </w:pPr>
            <w:r>
              <w:rPr>
                <w:rFonts w:ascii="Times New Roman" w:cs="Times New Roman" w:eastAsia="Times New Roman" w:hAnsi="Times New Roman"/>
                <w:sz w:val="18"/>
                <w:szCs w:val="18"/>
                <w:i w:val="1"/>
                <w:iCs w:val="1"/>
                <w:color w:val="auto"/>
              </w:rPr>
              <w:t>2021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90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rPr>
              <w:t>RMB’000</w:t>
            </w:r>
          </w:p>
        </w:tc>
        <w:tc>
          <w:tcPr>
            <w:tcW w:w="13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RMB’000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4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Product revenue</w:t>
            </w:r>
          </w:p>
        </w:tc>
        <w:tc>
          <w:tcPr>
            <w:tcW w:w="1360" w:type="dxa"/>
            <w:vAlign w:val="bottom"/>
          </w:tcPr>
          <w:p>
            <w:pPr>
              <w:spacing w:after="0"/>
              <w:rPr>
                <w:sz w:val="18"/>
                <w:szCs w:val="18"/>
                <w:color w:val="auto"/>
              </w:rPr>
            </w:pPr>
          </w:p>
        </w:tc>
        <w:tc>
          <w:tcPr>
            <w:tcW w:w="19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5,920</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101,597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4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Service revenue</w:t>
            </w:r>
          </w:p>
        </w:tc>
        <w:tc>
          <w:tcPr>
            <w:tcW w:w="13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12,270</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36,575</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88"/>
              </w:rPr>
              <w:t>5</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18,190</w:t>
            </w:r>
          </w:p>
        </w:tc>
        <w:tc>
          <w:tcPr>
            <w:tcW w:w="62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138,172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1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4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Cost of goods sold</w:t>
            </w:r>
          </w:p>
        </w:tc>
        <w:tc>
          <w:tcPr>
            <w:tcW w:w="1360" w:type="dxa"/>
            <w:vAlign w:val="bottom"/>
          </w:tcPr>
          <w:p>
            <w:pPr>
              <w:spacing w:after="0"/>
              <w:rPr>
                <w:sz w:val="18"/>
                <w:szCs w:val="18"/>
                <w:color w:val="auto"/>
              </w:rPr>
            </w:pPr>
          </w:p>
        </w:tc>
        <w:tc>
          <w:tcPr>
            <w:tcW w:w="19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(2,621)</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(77,383)</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4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services</w:t>
            </w:r>
          </w:p>
        </w:tc>
        <w:tc>
          <w:tcPr>
            <w:tcW w:w="13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(2,095)</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(9,129)</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cost of revenue</w:t>
            </w:r>
          </w:p>
        </w:tc>
        <w:tc>
          <w:tcPr>
            <w:tcW w:w="1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88"/>
              </w:rPr>
              <w:t>7</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(4,716)</w:t>
            </w:r>
          </w:p>
        </w:tc>
        <w:tc>
          <w:tcPr>
            <w:tcW w:w="62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(86,512)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3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13,474</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51,660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net income</w:t>
            </w:r>
          </w:p>
        </w:tc>
        <w:tc>
          <w:tcPr>
            <w:tcW w:w="1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88"/>
              </w:rPr>
              <w:t>6</w:t>
            </w:r>
          </w:p>
        </w:tc>
        <w:tc>
          <w:tcPr>
            <w:tcW w:w="19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14,122</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35,472</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36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88"/>
              </w:rPr>
              <w:t>7</w:t>
            </w:r>
          </w:p>
        </w:tc>
        <w:tc>
          <w:tcPr>
            <w:tcW w:w="19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(333,351)</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(443,178)</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1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88"/>
              </w:rPr>
              <w:t>7</w:t>
            </w:r>
          </w:p>
        </w:tc>
        <w:tc>
          <w:tcPr>
            <w:tcW w:w="19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(151,991)</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(107,119)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136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88"/>
              </w:rPr>
              <w:t>7</w:t>
            </w:r>
          </w:p>
        </w:tc>
        <w:tc>
          <w:tcPr>
            <w:tcW w:w="19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(6,171)</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(12,225)</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loss on receivables</w:t>
            </w:r>
          </w:p>
        </w:tc>
        <w:tc>
          <w:tcPr>
            <w:tcW w:w="1360" w:type="dxa"/>
            <w:vAlign w:val="bottom"/>
          </w:tcPr>
          <w:p>
            <w:pPr>
              <w:spacing w:after="0"/>
              <w:rPr>
                <w:sz w:val="18"/>
                <w:szCs w:val="18"/>
                <w:color w:val="auto"/>
              </w:rPr>
            </w:pPr>
          </w:p>
        </w:tc>
        <w:tc>
          <w:tcPr>
            <w:tcW w:w="19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(14)</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3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(463,931)</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(475,799)</w:t>
            </w:r>
          </w:p>
        </w:tc>
        <w:tc>
          <w:tcPr>
            <w:tcW w:w="0" w:type="dxa"/>
            <w:vAlign w:val="bottom"/>
          </w:tcPr>
          <w:p>
            <w:pPr>
              <w:spacing w:after="0"/>
              <w:rPr>
                <w:sz w:val="1"/>
                <w:szCs w:val="1"/>
                <w:color w:val="auto"/>
              </w:rPr>
            </w:pPr>
          </w:p>
        </w:tc>
      </w:tr>
      <w:tr>
        <w:trPr>
          <w:trHeight w:val="198"/>
        </w:trPr>
        <w:tc>
          <w:tcPr>
            <w:tcW w:w="120" w:type="dxa"/>
            <w:vAlign w:val="bottom"/>
          </w:tcPr>
          <w:p>
            <w:pPr>
              <w:spacing w:after="0"/>
              <w:rPr>
                <w:sz w:val="17"/>
                <w:szCs w:val="17"/>
                <w:color w:val="auto"/>
              </w:rPr>
            </w:pPr>
          </w:p>
        </w:tc>
        <w:tc>
          <w:tcPr>
            <w:tcW w:w="64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Fair value changes of financial assets measured at fair value through profit or loss</w:t>
            </w:r>
          </w:p>
        </w:tc>
        <w:tc>
          <w:tcPr>
            <w:tcW w:w="1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6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(“FVTPL”)</w:t>
            </w:r>
          </w:p>
        </w:tc>
        <w:tc>
          <w:tcPr>
            <w:tcW w:w="1360" w:type="dxa"/>
            <w:vAlign w:val="bottom"/>
          </w:tcPr>
          <w:p>
            <w:pPr>
              <w:spacing w:after="0"/>
              <w:rPr>
                <w:sz w:val="20"/>
                <w:szCs w:val="20"/>
                <w:color w:val="auto"/>
              </w:rPr>
            </w:pPr>
          </w:p>
        </w:tc>
        <w:tc>
          <w:tcPr>
            <w:tcW w:w="19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3,458</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3,479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finance costs</w:t>
            </w:r>
          </w:p>
        </w:tc>
        <w:tc>
          <w:tcPr>
            <w:tcW w:w="136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88"/>
              </w:rPr>
              <w:t>8</w:t>
            </w:r>
          </w:p>
        </w:tc>
        <w:tc>
          <w:tcPr>
            <w:tcW w:w="19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(7,264)</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(6,917)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Inducement charges of warrants</w:t>
            </w:r>
          </w:p>
        </w:tc>
        <w:tc>
          <w:tcPr>
            <w:tcW w:w="1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26(b)</w:t>
            </w:r>
          </w:p>
        </w:tc>
        <w:tc>
          <w:tcPr>
            <w:tcW w:w="19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(211,016)</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changes of financial liabilities measured at FVTPL</w:t>
            </w:r>
          </w:p>
        </w:tc>
        <w:tc>
          <w:tcPr>
            <w:tcW w:w="136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26</w:t>
            </w:r>
          </w:p>
        </w:tc>
        <w:tc>
          <w:tcPr>
            <w:tcW w:w="19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(12,876)</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(259,872)</w:t>
            </w:r>
          </w:p>
        </w:tc>
        <w:tc>
          <w:tcPr>
            <w:tcW w:w="0" w:type="dxa"/>
            <w:vAlign w:val="bottom"/>
          </w:tcPr>
          <w:p>
            <w:pPr>
              <w:spacing w:after="0"/>
              <w:rPr>
                <w:sz w:val="1"/>
                <w:szCs w:val="1"/>
                <w:color w:val="auto"/>
              </w:rPr>
            </w:pPr>
          </w:p>
        </w:tc>
      </w:tr>
      <w:tr>
        <w:trPr>
          <w:trHeight w:val="198"/>
        </w:trPr>
        <w:tc>
          <w:tcPr>
            <w:tcW w:w="120" w:type="dxa"/>
            <w:vAlign w:val="bottom"/>
          </w:tcPr>
          <w:p>
            <w:pPr>
              <w:spacing w:after="0"/>
              <w:rPr>
                <w:sz w:val="17"/>
                <w:szCs w:val="17"/>
                <w:color w:val="auto"/>
              </w:rPr>
            </w:pPr>
          </w:p>
        </w:tc>
        <w:tc>
          <w:tcPr>
            <w:tcW w:w="64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Changes in the carrying amounts of preferred shares and other financial instruments</w:t>
            </w:r>
          </w:p>
        </w:tc>
        <w:tc>
          <w:tcPr>
            <w:tcW w:w="1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6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subject to redemption and other preferential rights</w:t>
            </w:r>
          </w:p>
        </w:tc>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21</w:t>
            </w:r>
          </w:p>
        </w:tc>
        <w:tc>
          <w:tcPr>
            <w:tcW w:w="19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(3,259)</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(268,142)</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taxation</w:t>
            </w:r>
          </w:p>
        </w:tc>
        <w:tc>
          <w:tcPr>
            <w:tcW w:w="13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(694,888)</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(1,007,251)</w:t>
            </w:r>
          </w:p>
        </w:tc>
        <w:tc>
          <w:tcPr>
            <w:tcW w:w="0" w:type="dxa"/>
            <w:vAlign w:val="bottom"/>
          </w:tcPr>
          <w:p>
            <w:pPr>
              <w:spacing w:after="0"/>
              <w:rPr>
                <w:sz w:val="1"/>
                <w:szCs w:val="1"/>
                <w:color w:val="auto"/>
              </w:rPr>
            </w:pPr>
          </w:p>
        </w:tc>
      </w:tr>
      <w:tr>
        <w:trPr>
          <w:trHeight w:val="331"/>
        </w:trPr>
        <w:tc>
          <w:tcPr>
            <w:tcW w:w="120" w:type="dxa"/>
            <w:vAlign w:val="bottom"/>
          </w:tcPr>
          <w:p>
            <w:pPr>
              <w:spacing w:after="0"/>
              <w:rPr>
                <w:sz w:val="24"/>
                <w:szCs w:val="24"/>
                <w:color w:val="auto"/>
              </w:rPr>
            </w:pPr>
          </w:p>
        </w:tc>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w:t>
            </w:r>
          </w:p>
        </w:tc>
        <w:tc>
          <w:tcPr>
            <w:tcW w:w="1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6"/>
              </w:rPr>
              <w:t>9(a)</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for the year</w:t>
            </w:r>
          </w:p>
        </w:tc>
        <w:tc>
          <w:tcPr>
            <w:tcW w:w="13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(694,888)</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(1,007,251)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Loss per ordinary share</w:t>
            </w:r>
          </w:p>
        </w:tc>
        <w:tc>
          <w:tcPr>
            <w:tcW w:w="13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6460" w:type="dxa"/>
            <w:vAlign w:val="bottom"/>
            <w:gridSpan w:val="2"/>
            <w:vMerge w:val="continue"/>
          </w:tcPr>
          <w:p>
            <w:pPr>
              <w:spacing w:after="0"/>
              <w:rPr>
                <w:sz w:val="18"/>
                <w:szCs w:val="18"/>
                <w:color w:val="auto"/>
              </w:rPr>
            </w:pPr>
          </w:p>
        </w:tc>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loss per ordinary share (as if share split in RMB)</w:t>
            </w:r>
          </w:p>
        </w:tc>
        <w:tc>
          <w:tcPr>
            <w:tcW w:w="136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10</w:t>
            </w:r>
          </w:p>
        </w:tc>
        <w:tc>
          <w:tcPr>
            <w:tcW w:w="19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(3.27)</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140"/>
          </w:cols>
          <w:pgMar w:left="320" w:top="446" w:right="439" w:bottom="1440" w:gutter="0" w:footer="0" w:header="0"/>
        </w:sectPr>
      </w:pPr>
    </w:p>
    <w:bookmarkStart w:id="256" w:name="page257"/>
    <w:bookmarkEnd w:id="256"/>
    <w:tbl>
      <w:tblPr>
        <w:tblLayout w:type="fixed"/>
        <w:tblInd w:w="0" w:type="dxa"/>
        <w:tblCellMar>
          <w:top w:w="0" w:type="dxa"/>
          <w:left w:w="0" w:type="dxa"/>
          <w:bottom w:w="0" w:type="dxa"/>
          <w:right w:w="0" w:type="dxa"/>
        </w:tblCellMar>
      </w:tblPr>
      <w:tr>
        <w:trPr>
          <w:trHeight w:val="207"/>
        </w:trPr>
        <w:tc>
          <w:tcPr>
            <w:tcW w:w="7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513"/>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852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Profit or Loss and Other Comprehensive Income</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6"/>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740" w:type="dxa"/>
            <w:vAlign w:val="bottom"/>
          </w:tcPr>
          <w:p>
            <w:pPr>
              <w:jc w:val="center"/>
              <w:ind w:left="2710"/>
              <w:spacing w:after="0"/>
              <w:rPr>
                <w:sz w:val="20"/>
                <w:szCs w:val="20"/>
                <w:color w:val="auto"/>
              </w:rPr>
            </w:pPr>
            <w:r>
              <w:rPr>
                <w:rFonts w:ascii="Times New Roman" w:cs="Times New Roman" w:eastAsia="Times New Roman" w:hAnsi="Times New Roman"/>
                <w:sz w:val="18"/>
                <w:szCs w:val="18"/>
                <w:i w:val="1"/>
                <w:iCs w:val="1"/>
                <w:color w:val="auto"/>
                <w:w w:val="99"/>
              </w:rPr>
              <w:t>(Expressed in thousands of RMB)</w:t>
            </w: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9"/>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92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i w:val="1"/>
                <w:iCs w:val="1"/>
                <w:color w:val="auto"/>
              </w:rPr>
              <w:t>For the year ended December 31,</w:t>
            </w:r>
          </w:p>
        </w:tc>
      </w:tr>
      <w:tr>
        <w:trPr>
          <w:trHeight w:val="191"/>
        </w:trPr>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Borders>
              <w:top w:val="single" w:sz="8" w:color="auto"/>
            </w:tcBorders>
          </w:tcPr>
          <w:p>
            <w:pPr>
              <w:jc w:val="right"/>
              <w:ind w:right="290"/>
              <w:spacing w:after="0" w:line="191" w:lineRule="exact"/>
              <w:rPr>
                <w:sz w:val="20"/>
                <w:szCs w:val="20"/>
                <w:color w:val="auto"/>
              </w:rPr>
            </w:pPr>
            <w:r>
              <w:rPr>
                <w:rFonts w:ascii="Times New Roman" w:cs="Times New Roman" w:eastAsia="Times New Roman" w:hAnsi="Times New Roman"/>
                <w:sz w:val="18"/>
                <w:szCs w:val="18"/>
                <w:i w:val="1"/>
                <w:iCs w:val="1"/>
                <w:color w:val="auto"/>
              </w:rPr>
              <w:t>2020</w:t>
            </w:r>
          </w:p>
        </w:tc>
        <w:tc>
          <w:tcPr>
            <w:tcW w:w="5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290"/>
              <w:spacing w:after="0" w:line="191" w:lineRule="exact"/>
              <w:rPr>
                <w:sz w:val="20"/>
                <w:szCs w:val="20"/>
                <w:color w:val="auto"/>
              </w:rPr>
            </w:pPr>
            <w:r>
              <w:rPr>
                <w:rFonts w:ascii="Times New Roman" w:cs="Times New Roman" w:eastAsia="Times New Roman" w:hAnsi="Times New Roman"/>
                <w:sz w:val="18"/>
                <w:szCs w:val="18"/>
                <w:i w:val="1"/>
                <w:iCs w:val="1"/>
                <w:color w:val="auto"/>
              </w:rPr>
              <w:t>2021</w:t>
            </w:r>
          </w:p>
        </w:tc>
        <w:tc>
          <w:tcPr>
            <w:tcW w:w="120" w:type="dxa"/>
            <w:vAlign w:val="bottom"/>
          </w:tcPr>
          <w:p>
            <w:pPr>
              <w:spacing w:after="0"/>
              <w:rPr>
                <w:sz w:val="16"/>
                <w:szCs w:val="16"/>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6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rPr>
              <w:t>RMB’000</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RMB’000</w:t>
            </w:r>
          </w:p>
        </w:tc>
      </w:tr>
      <w:tr>
        <w:trPr>
          <w:trHeight w:val="216"/>
        </w:trPr>
        <w:tc>
          <w:tcPr>
            <w:tcW w:w="1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for the year</w:t>
            </w:r>
          </w:p>
        </w:tc>
        <w:tc>
          <w:tcPr>
            <w:tcW w:w="1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(694,888)</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(1,007,251)</w:t>
            </w:r>
          </w:p>
        </w:tc>
      </w:tr>
      <w:tr>
        <w:trPr>
          <w:trHeight w:val="223"/>
        </w:trPr>
        <w:tc>
          <w:tcPr>
            <w:tcW w:w="120" w:type="dxa"/>
            <w:vAlign w:val="bottom"/>
          </w:tcPr>
          <w:p>
            <w:pPr>
              <w:spacing w:after="0"/>
              <w:rPr>
                <w:sz w:val="19"/>
                <w:szCs w:val="19"/>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 /income for the year (net of nil tax):</w:t>
            </w:r>
          </w:p>
        </w:tc>
        <w:tc>
          <w:tcPr>
            <w:tcW w:w="112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108"/>
        </w:trPr>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57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216"/>
        </w:trPr>
        <w:tc>
          <w:tcPr>
            <w:tcW w:w="1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Items that will not be reclassified to profit or loss:</w:t>
            </w: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Exchange differences on translation of financial statements of foreign operations</w:t>
            </w:r>
          </w:p>
        </w:tc>
        <w:tc>
          <w:tcPr>
            <w:tcW w:w="1120" w:type="dxa"/>
            <w:vAlign w:val="bottom"/>
          </w:tcPr>
          <w:p>
            <w:pPr>
              <w:spacing w:after="0"/>
              <w:rPr>
                <w:sz w:val="18"/>
                <w:szCs w:val="18"/>
                <w:color w:val="auto"/>
              </w:rPr>
            </w:pPr>
          </w:p>
        </w:tc>
        <w:tc>
          <w:tcPr>
            <w:tcW w:w="16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11,193</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20,709</w:t>
            </w:r>
          </w:p>
        </w:tc>
      </w:tr>
      <w:tr>
        <w:trPr>
          <w:trHeight w:val="198"/>
        </w:trPr>
        <w:tc>
          <w:tcPr>
            <w:tcW w:w="120" w:type="dxa"/>
            <w:vAlign w:val="bottom"/>
          </w:tcPr>
          <w:p>
            <w:pPr>
              <w:spacing w:after="0"/>
              <w:rPr>
                <w:sz w:val="17"/>
                <w:szCs w:val="17"/>
                <w:color w:val="auto"/>
              </w:rPr>
            </w:pPr>
          </w:p>
        </w:tc>
        <w:tc>
          <w:tcPr>
            <w:tcW w:w="69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 Equity investment designated at fair value through other comprehensive income (“FVOCI”)</w:t>
            </w:r>
          </w:p>
        </w:tc>
        <w:tc>
          <w:tcPr>
            <w:tcW w:w="1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120" w:type="dxa"/>
            <w:vAlign w:val="bottom"/>
          </w:tcPr>
          <w:p>
            <w:pPr>
              <w:spacing w:after="0"/>
              <w:rPr>
                <w:sz w:val="20"/>
                <w:szCs w:val="20"/>
                <w:color w:val="auto"/>
              </w:rPr>
            </w:pPr>
          </w:p>
        </w:tc>
        <w:tc>
          <w:tcPr>
            <w:tcW w:w="6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net movement in fair value reserve</w:t>
            </w:r>
          </w:p>
        </w:tc>
        <w:tc>
          <w:tcPr>
            <w:tcW w:w="1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30(e)</w:t>
            </w:r>
          </w:p>
        </w:tc>
        <w:tc>
          <w:tcPr>
            <w:tcW w:w="16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(19,343)</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(8,213)</w:t>
            </w:r>
          </w:p>
        </w:tc>
      </w:tr>
      <w:tr>
        <w:trPr>
          <w:trHeight w:val="223"/>
        </w:trPr>
        <w:tc>
          <w:tcPr>
            <w:tcW w:w="120" w:type="dxa"/>
            <w:vAlign w:val="bottom"/>
          </w:tcPr>
          <w:p>
            <w:pPr>
              <w:spacing w:after="0"/>
              <w:rPr>
                <w:sz w:val="19"/>
                <w:szCs w:val="19"/>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(loss)/income for the year:</w:t>
            </w:r>
          </w:p>
        </w:tc>
        <w:tc>
          <w:tcPr>
            <w:tcW w:w="11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(8,150)</w:t>
            </w:r>
          </w:p>
        </w:tc>
        <w:tc>
          <w:tcPr>
            <w:tcW w:w="54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12,496</w:t>
            </w:r>
          </w:p>
        </w:tc>
        <w:tc>
          <w:tcPr>
            <w:tcW w:w="120" w:type="dxa"/>
            <w:vAlign w:val="bottom"/>
          </w:tcPr>
          <w:p>
            <w:pPr>
              <w:spacing w:after="0"/>
              <w:rPr>
                <w:sz w:val="19"/>
                <w:szCs w:val="19"/>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8"/>
        </w:trPr>
        <w:tc>
          <w:tcPr>
            <w:tcW w:w="120" w:type="dxa"/>
            <w:vAlign w:val="bottom"/>
          </w:tcPr>
          <w:p>
            <w:pPr>
              <w:spacing w:after="0"/>
              <w:rPr>
                <w:sz w:val="16"/>
                <w:szCs w:val="16"/>
                <w:color w:val="auto"/>
              </w:rPr>
            </w:pPr>
          </w:p>
        </w:tc>
        <w:tc>
          <w:tcPr>
            <w:tcW w:w="698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Total comprehensive loss for the year attributable to equity shareholders of the</w:t>
            </w:r>
          </w:p>
        </w:tc>
        <w:tc>
          <w:tcPr>
            <w:tcW w:w="1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38"/>
        </w:trPr>
        <w:tc>
          <w:tcPr>
            <w:tcW w:w="120" w:type="dxa"/>
            <w:vAlign w:val="bottom"/>
          </w:tcPr>
          <w:p>
            <w:pPr>
              <w:spacing w:after="0"/>
              <w:rPr>
                <w:sz w:val="20"/>
                <w:szCs w:val="20"/>
                <w:color w:val="auto"/>
              </w:rPr>
            </w:pPr>
          </w:p>
        </w:tc>
        <w:tc>
          <w:tcPr>
            <w:tcW w:w="6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112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(703,038)</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(994,755)</w:t>
            </w: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40"/>
          </w:cols>
          <w:pgMar w:left="320" w:top="446" w:right="439" w:bottom="1440" w:gutter="0" w:footer="0" w:header="0"/>
        </w:sectPr>
      </w:pPr>
    </w:p>
    <w:bookmarkStart w:id="257" w:name="page258"/>
    <w:bookmarkEnd w:id="257"/>
    <w:tbl>
      <w:tblPr>
        <w:tblLayout w:type="fixed"/>
        <w:tblInd w:w="0" w:type="dxa"/>
        <w:tblCellMar>
          <w:top w:w="0" w:type="dxa"/>
          <w:left w:w="0" w:type="dxa"/>
          <w:bottom w:w="0" w:type="dxa"/>
          <w:right w:w="0" w:type="dxa"/>
        </w:tblCellMar>
      </w:tblPr>
      <w:tr>
        <w:trPr>
          <w:trHeight w:val="207"/>
        </w:trPr>
        <w:tc>
          <w:tcPr>
            <w:tcW w:w="3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3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3"/>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2220" w:type="dxa"/>
            <w:vAlign w:val="bottom"/>
          </w:tcPr>
          <w:p>
            <w:pPr>
              <w:spacing w:after="0"/>
              <w:rPr>
                <w:sz w:val="24"/>
                <w:szCs w:val="24"/>
                <w:color w:val="auto"/>
              </w:rPr>
            </w:pPr>
          </w:p>
        </w:tc>
        <w:tc>
          <w:tcPr>
            <w:tcW w:w="490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Financial Position</w:t>
            </w: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3660" w:type="dxa"/>
            <w:vAlign w:val="bottom"/>
          </w:tcPr>
          <w:p>
            <w:pPr>
              <w:jc w:val="center"/>
              <w:ind w:left="350"/>
              <w:spacing w:after="0"/>
              <w:rPr>
                <w:sz w:val="20"/>
                <w:szCs w:val="20"/>
                <w:color w:val="auto"/>
              </w:rPr>
            </w:pPr>
            <w:r>
              <w:rPr>
                <w:rFonts w:ascii="Times New Roman" w:cs="Times New Roman" w:eastAsia="Times New Roman" w:hAnsi="Times New Roman"/>
                <w:sz w:val="18"/>
                <w:szCs w:val="18"/>
                <w:i w:val="1"/>
                <w:iCs w:val="1"/>
                <w:color w:val="auto"/>
                <w:w w:val="99"/>
              </w:rPr>
              <w:t>(Expressed in thousands of RMB)</w:t>
            </w: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i w:val="1"/>
                <w:iCs w:val="1"/>
                <w:color w:val="auto"/>
                <w:w w:val="98"/>
              </w:rPr>
              <w:t>As of</w:t>
            </w:r>
          </w:p>
        </w:tc>
        <w:tc>
          <w:tcPr>
            <w:tcW w:w="14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i w:val="1"/>
                <w:iCs w:val="1"/>
                <w:color w:val="auto"/>
              </w:rPr>
              <w:t>As of</w:t>
            </w: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i w:val="1"/>
                <w:iCs w:val="1"/>
                <w:color w:val="auto"/>
              </w:rPr>
              <w:t>As of</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i w:val="1"/>
                <w:iCs w:val="1"/>
                <w:color w:val="auto"/>
                <w:w w:val="98"/>
              </w:rPr>
              <w:t>January 1,</w:t>
            </w:r>
          </w:p>
        </w:tc>
        <w:tc>
          <w:tcPr>
            <w:tcW w:w="14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i w:val="1"/>
                <w:iCs w:val="1"/>
                <w:color w:val="auto"/>
              </w:rPr>
              <w:t>December 31,</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i w:val="1"/>
                <w:iCs w:val="1"/>
                <w:color w:val="auto"/>
              </w:rPr>
              <w:t>December 31,</w:t>
            </w:r>
          </w:p>
        </w:tc>
        <w:tc>
          <w:tcPr>
            <w:tcW w:w="0" w:type="dxa"/>
            <w:vAlign w:val="bottom"/>
          </w:tcPr>
          <w:p>
            <w:pPr>
              <w:spacing w:after="0"/>
              <w:rPr>
                <w:sz w:val="1"/>
                <w:szCs w:val="1"/>
                <w:color w:val="auto"/>
              </w:rPr>
            </w:pPr>
          </w:p>
        </w:tc>
      </w:tr>
      <w:tr>
        <w:trPr>
          <w:trHeight w:val="236"/>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3660" w:type="dxa"/>
            <w:vAlign w:val="bottom"/>
          </w:tcPr>
          <w:p>
            <w:pPr>
              <w:ind w:left="3060"/>
              <w:spacing w:after="0"/>
              <w:rPr>
                <w:sz w:val="20"/>
                <w:szCs w:val="20"/>
                <w:color w:val="auto"/>
              </w:rPr>
            </w:pPr>
            <w:r>
              <w:rPr>
                <w:rFonts w:ascii="Times New Roman" w:cs="Times New Roman" w:eastAsia="Times New Roman" w:hAnsi="Times New Roman"/>
                <w:sz w:val="18"/>
                <w:szCs w:val="18"/>
                <w:i w:val="1"/>
                <w:iCs w:val="1"/>
                <w:color w:val="auto"/>
              </w:rPr>
              <w:t>Note</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2020</w:t>
            </w:r>
          </w:p>
        </w:tc>
        <w:tc>
          <w:tcPr>
            <w:tcW w:w="340" w:type="dxa"/>
            <w:vAlign w:val="bottom"/>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i w:val="1"/>
                <w:iCs w:val="1"/>
                <w:color w:val="auto"/>
              </w:rPr>
              <w:t>2020</w:t>
            </w:r>
          </w:p>
        </w:tc>
        <w:tc>
          <w:tcPr>
            <w:tcW w:w="32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i w:val="1"/>
                <w:iCs w:val="1"/>
                <w:color w:val="auto"/>
              </w:rPr>
              <w:t>2021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RMB’000</w:t>
            </w:r>
          </w:p>
        </w:tc>
        <w:tc>
          <w:tcPr>
            <w:tcW w:w="3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RMB’000</w:t>
            </w:r>
          </w:p>
        </w:tc>
        <w:tc>
          <w:tcPr>
            <w:tcW w:w="3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RMB’000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3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3660" w:type="dxa"/>
            <w:vAlign w:val="bottom"/>
            <w:shd w:val="clear" w:color="auto" w:fill="CCEEFF"/>
          </w:tcPr>
          <w:p>
            <w:pPr>
              <w:jc w:val="center"/>
              <w:ind w:left="2730"/>
              <w:spacing w:after="0"/>
              <w:rPr>
                <w:sz w:val="20"/>
                <w:szCs w:val="20"/>
                <w:color w:val="auto"/>
              </w:rPr>
            </w:pPr>
            <w:r>
              <w:rPr>
                <w:rFonts w:ascii="Times New Roman" w:cs="Times New Roman" w:eastAsia="Times New Roman" w:hAnsi="Times New Roman"/>
                <w:sz w:val="18"/>
                <w:szCs w:val="18"/>
                <w:color w:val="auto"/>
                <w:w w:val="88"/>
              </w:rPr>
              <w:t>11</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133,058</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96,960</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85,051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3660" w:type="dxa"/>
            <w:vAlign w:val="bottom"/>
          </w:tcPr>
          <w:p>
            <w:pPr>
              <w:jc w:val="center"/>
              <w:ind w:left="2710"/>
              <w:spacing w:after="0"/>
              <w:rPr>
                <w:sz w:val="20"/>
                <w:szCs w:val="20"/>
                <w:color w:val="auto"/>
              </w:rPr>
            </w:pPr>
            <w:r>
              <w:rPr>
                <w:rFonts w:ascii="Times New Roman" w:cs="Times New Roman" w:eastAsia="Times New Roman" w:hAnsi="Times New Roman"/>
                <w:sz w:val="18"/>
                <w:szCs w:val="18"/>
                <w:color w:val="auto"/>
                <w:w w:val="99"/>
              </w:rPr>
              <w:t>12</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64,926</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56,257</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88,261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3660" w:type="dxa"/>
            <w:vAlign w:val="bottom"/>
            <w:shd w:val="clear" w:color="auto" w:fill="CCEEFF"/>
          </w:tcPr>
          <w:p>
            <w:pPr>
              <w:jc w:val="center"/>
              <w:ind w:left="2710"/>
              <w:spacing w:after="0"/>
              <w:rPr>
                <w:sz w:val="20"/>
                <w:szCs w:val="20"/>
                <w:color w:val="auto"/>
              </w:rPr>
            </w:pPr>
            <w:r>
              <w:rPr>
                <w:rFonts w:ascii="Times New Roman" w:cs="Times New Roman" w:eastAsia="Times New Roman" w:hAnsi="Times New Roman"/>
                <w:sz w:val="18"/>
                <w:szCs w:val="18"/>
                <w:color w:val="auto"/>
                <w:w w:val="99"/>
              </w:rPr>
              <w:t>13</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704</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899</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30,994</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3660" w:type="dxa"/>
            <w:vAlign w:val="bottom"/>
          </w:tcPr>
          <w:p>
            <w:pPr>
              <w:jc w:val="center"/>
              <w:ind w:left="2710"/>
              <w:spacing w:after="0"/>
              <w:rPr>
                <w:sz w:val="20"/>
                <w:szCs w:val="20"/>
                <w:color w:val="auto"/>
              </w:rPr>
            </w:pPr>
            <w:r>
              <w:rPr>
                <w:rFonts w:ascii="Times New Roman" w:cs="Times New Roman" w:eastAsia="Times New Roman" w:hAnsi="Times New Roman"/>
                <w:sz w:val="18"/>
                <w:szCs w:val="18"/>
                <w:color w:val="auto"/>
                <w:w w:val="99"/>
              </w:rPr>
              <w:t>29</w:t>
            </w: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44,758</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investment designated at FVOCI</w:t>
            </w:r>
          </w:p>
        </w:tc>
        <w:tc>
          <w:tcPr>
            <w:tcW w:w="3660" w:type="dxa"/>
            <w:vAlign w:val="bottom"/>
            <w:shd w:val="clear" w:color="auto" w:fill="CCEEFF"/>
          </w:tcPr>
          <w:p>
            <w:pPr>
              <w:jc w:val="center"/>
              <w:ind w:left="2710"/>
              <w:spacing w:after="0"/>
              <w:rPr>
                <w:sz w:val="20"/>
                <w:szCs w:val="20"/>
                <w:color w:val="auto"/>
              </w:rPr>
            </w:pPr>
            <w:r>
              <w:rPr>
                <w:rFonts w:ascii="Times New Roman" w:cs="Times New Roman" w:eastAsia="Times New Roman" w:hAnsi="Times New Roman"/>
                <w:sz w:val="18"/>
                <w:szCs w:val="18"/>
                <w:color w:val="auto"/>
                <w:w w:val="99"/>
              </w:rPr>
              <w:t>30(e)</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31,922</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12,579</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cash – non-current</w:t>
            </w:r>
          </w:p>
        </w:tc>
        <w:tc>
          <w:tcPr>
            <w:tcW w:w="3660" w:type="dxa"/>
            <w:vAlign w:val="bottom"/>
          </w:tcPr>
          <w:p>
            <w:pPr>
              <w:jc w:val="center"/>
              <w:ind w:left="2710"/>
              <w:spacing w:after="0"/>
              <w:rPr>
                <w:sz w:val="20"/>
                <w:szCs w:val="20"/>
                <w:color w:val="auto"/>
              </w:rPr>
            </w:pPr>
            <w:r>
              <w:rPr>
                <w:rFonts w:ascii="Times New Roman" w:cs="Times New Roman" w:eastAsia="Times New Roman" w:hAnsi="Times New Roman"/>
                <w:sz w:val="18"/>
                <w:szCs w:val="18"/>
                <w:color w:val="auto"/>
                <w:w w:val="99"/>
              </w:rPr>
              <w:t>15</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12,919</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12,084</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10,074</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3660" w:type="dxa"/>
            <w:vAlign w:val="bottom"/>
            <w:shd w:val="clear" w:color="auto" w:fill="CCEEFF"/>
          </w:tcPr>
          <w:p>
            <w:pPr>
              <w:jc w:val="center"/>
              <w:ind w:left="2710"/>
              <w:spacing w:after="0"/>
              <w:rPr>
                <w:sz w:val="20"/>
                <w:szCs w:val="20"/>
                <w:color w:val="auto"/>
              </w:rPr>
            </w:pPr>
            <w:r>
              <w:rPr>
                <w:rFonts w:ascii="Times New Roman" w:cs="Times New Roman" w:eastAsia="Times New Roman" w:hAnsi="Times New Roman"/>
                <w:sz w:val="18"/>
                <w:szCs w:val="18"/>
                <w:color w:val="auto"/>
                <w:w w:val="99"/>
              </w:rPr>
              <w:t>9(b)</w:t>
            </w:r>
          </w:p>
        </w:tc>
        <w:tc>
          <w:tcPr>
            <w:tcW w:w="12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3,990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366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21,500</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16,321</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23,863</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265,029</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195,100</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286,991</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66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3660" w:type="dxa"/>
            <w:vAlign w:val="bottom"/>
            <w:shd w:val="clear" w:color="auto" w:fill="CCEEFF"/>
          </w:tcPr>
          <w:p>
            <w:pPr>
              <w:jc w:val="center"/>
              <w:ind w:left="2710"/>
              <w:spacing w:after="0"/>
              <w:rPr>
                <w:sz w:val="20"/>
                <w:szCs w:val="20"/>
                <w:color w:val="auto"/>
              </w:rPr>
            </w:pPr>
            <w:r>
              <w:rPr>
                <w:rFonts w:ascii="Times New Roman" w:cs="Times New Roman" w:eastAsia="Times New Roman" w:hAnsi="Times New Roman"/>
                <w:sz w:val="18"/>
                <w:szCs w:val="18"/>
                <w:color w:val="auto"/>
                <w:w w:val="99"/>
              </w:rPr>
              <w:t>16</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3,995</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22,201</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114,553</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3660" w:type="dxa"/>
            <w:vAlign w:val="bottom"/>
          </w:tcPr>
          <w:p>
            <w:pPr>
              <w:jc w:val="center"/>
              <w:ind w:left="2710"/>
              <w:spacing w:after="0"/>
              <w:rPr>
                <w:sz w:val="20"/>
                <w:szCs w:val="20"/>
                <w:color w:val="auto"/>
              </w:rPr>
            </w:pPr>
            <w:r>
              <w:rPr>
                <w:rFonts w:ascii="Times New Roman" w:cs="Times New Roman" w:eastAsia="Times New Roman" w:hAnsi="Times New Roman"/>
                <w:sz w:val="18"/>
                <w:szCs w:val="18"/>
                <w:color w:val="auto"/>
                <w:w w:val="99"/>
              </w:rPr>
              <w:t>17</w:t>
            </w: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7,728</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30,127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deposits and other receivables</w:t>
            </w:r>
          </w:p>
        </w:tc>
        <w:tc>
          <w:tcPr>
            <w:tcW w:w="3660" w:type="dxa"/>
            <w:vAlign w:val="bottom"/>
            <w:shd w:val="clear" w:color="auto" w:fill="CCEEFF"/>
          </w:tcPr>
          <w:p>
            <w:pPr>
              <w:jc w:val="center"/>
              <w:ind w:left="2710"/>
              <w:spacing w:after="0"/>
              <w:rPr>
                <w:sz w:val="20"/>
                <w:szCs w:val="20"/>
                <w:color w:val="auto"/>
              </w:rPr>
            </w:pPr>
            <w:r>
              <w:rPr>
                <w:rFonts w:ascii="Times New Roman" w:cs="Times New Roman" w:eastAsia="Times New Roman" w:hAnsi="Times New Roman"/>
                <w:sz w:val="18"/>
                <w:szCs w:val="18"/>
                <w:color w:val="auto"/>
                <w:w w:val="99"/>
              </w:rPr>
              <w:t>17</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29,448</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31,785</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79,186</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3660" w:type="dxa"/>
            <w:vAlign w:val="bottom"/>
          </w:tcPr>
          <w:p>
            <w:pPr>
              <w:jc w:val="center"/>
              <w:ind w:left="2730"/>
              <w:spacing w:after="0"/>
              <w:rPr>
                <w:sz w:val="20"/>
                <w:szCs w:val="20"/>
                <w:color w:val="auto"/>
              </w:rPr>
            </w:pPr>
            <w:r>
              <w:rPr>
                <w:rFonts w:ascii="Times New Roman" w:cs="Times New Roman" w:eastAsia="Times New Roman" w:hAnsi="Times New Roman"/>
                <w:sz w:val="18"/>
                <w:szCs w:val="18"/>
                <w:color w:val="auto"/>
              </w:rPr>
              <w:t>32(d)</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6,544</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5,472</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13,308</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 measured at FVTPL</w:t>
            </w:r>
          </w:p>
        </w:tc>
        <w:tc>
          <w:tcPr>
            <w:tcW w:w="3660" w:type="dxa"/>
            <w:vAlign w:val="bottom"/>
            <w:shd w:val="clear" w:color="auto" w:fill="CCEEFF"/>
          </w:tcPr>
          <w:p>
            <w:pPr>
              <w:jc w:val="center"/>
              <w:ind w:left="2710"/>
              <w:spacing w:after="0"/>
              <w:rPr>
                <w:sz w:val="20"/>
                <w:szCs w:val="20"/>
                <w:color w:val="auto"/>
              </w:rPr>
            </w:pPr>
            <w:r>
              <w:rPr>
                <w:rFonts w:ascii="Times New Roman" w:cs="Times New Roman" w:eastAsia="Times New Roman" w:hAnsi="Times New Roman"/>
                <w:sz w:val="18"/>
                <w:szCs w:val="18"/>
                <w:color w:val="auto"/>
                <w:w w:val="99"/>
              </w:rPr>
              <w:t>18</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97,827</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607,962</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53,868</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60" w:type="dxa"/>
            <w:vAlign w:val="bottom"/>
          </w:tcPr>
          <w:p>
            <w:pPr>
              <w:jc w:val="center"/>
              <w:ind w:left="2710"/>
              <w:spacing w:after="0"/>
              <w:rPr>
                <w:sz w:val="20"/>
                <w:szCs w:val="20"/>
                <w:color w:val="auto"/>
              </w:rPr>
            </w:pPr>
            <w:r>
              <w:rPr>
                <w:rFonts w:ascii="Times New Roman" w:cs="Times New Roman" w:eastAsia="Times New Roman" w:hAnsi="Times New Roman"/>
                <w:sz w:val="18"/>
                <w:szCs w:val="18"/>
                <w:color w:val="auto"/>
                <w:w w:val="99"/>
              </w:rPr>
              <w:t>19(a)</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209,260</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212,622</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2,725,568</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 current</w:t>
            </w:r>
          </w:p>
        </w:tc>
        <w:tc>
          <w:tcPr>
            <w:tcW w:w="3660" w:type="dxa"/>
            <w:vAlign w:val="bottom"/>
            <w:shd w:val="clear" w:color="auto" w:fill="CCEEFF"/>
          </w:tcPr>
          <w:p>
            <w:pPr>
              <w:jc w:val="center"/>
              <w:ind w:left="2710"/>
              <w:spacing w:after="0"/>
              <w:rPr>
                <w:sz w:val="20"/>
                <w:szCs w:val="20"/>
                <w:color w:val="auto"/>
              </w:rPr>
            </w:pPr>
            <w:r>
              <w:rPr>
                <w:rFonts w:ascii="Times New Roman" w:cs="Times New Roman" w:eastAsia="Times New Roman" w:hAnsi="Times New Roman"/>
                <w:sz w:val="18"/>
                <w:szCs w:val="18"/>
                <w:color w:val="auto"/>
                <w:w w:val="99"/>
              </w:rPr>
              <w:t>15</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1,395</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48,105</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348,469</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935,875</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3,019,619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6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613,498</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1,130,975</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3,306,610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EQUITY/(DEFICIT)</w:t>
            </w:r>
          </w:p>
        </w:tc>
        <w:tc>
          <w:tcPr>
            <w:tcW w:w="36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460" w:type="dxa"/>
            <w:vAlign w:val="bottom"/>
            <w:gridSpan w:val="2"/>
            <w:vMerge w:val="continue"/>
          </w:tcPr>
          <w:p>
            <w:pPr>
              <w:spacing w:after="0"/>
              <w:rPr>
                <w:sz w:val="18"/>
                <w:szCs w:val="18"/>
                <w:color w:val="auto"/>
              </w:rPr>
            </w:pPr>
          </w:p>
        </w:tc>
        <w:tc>
          <w:tcPr>
            <w:tcW w:w="3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shares</w:t>
            </w:r>
          </w:p>
        </w:tc>
        <w:tc>
          <w:tcPr>
            <w:tcW w:w="3660" w:type="dxa"/>
            <w:vAlign w:val="bottom"/>
            <w:shd w:val="clear" w:color="auto" w:fill="CCEEFF"/>
          </w:tcPr>
          <w:p>
            <w:pPr>
              <w:jc w:val="center"/>
              <w:ind w:left="2710"/>
              <w:spacing w:after="0"/>
              <w:rPr>
                <w:sz w:val="20"/>
                <w:szCs w:val="20"/>
                <w:color w:val="auto"/>
              </w:rPr>
            </w:pPr>
            <w:r>
              <w:rPr>
                <w:rFonts w:ascii="Times New Roman" w:cs="Times New Roman" w:eastAsia="Times New Roman" w:hAnsi="Times New Roman"/>
                <w:sz w:val="18"/>
                <w:szCs w:val="18"/>
                <w:color w:val="auto"/>
                <w:w w:val="99"/>
              </w:rPr>
              <w:t>27(a)</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Seed-1 Preferred Shares</w:t>
            </w:r>
          </w:p>
        </w:tc>
        <w:tc>
          <w:tcPr>
            <w:tcW w:w="3660" w:type="dxa"/>
            <w:vAlign w:val="bottom"/>
          </w:tcPr>
          <w:p>
            <w:pPr>
              <w:jc w:val="center"/>
              <w:ind w:left="2710"/>
              <w:spacing w:after="0"/>
              <w:rPr>
                <w:sz w:val="20"/>
                <w:szCs w:val="20"/>
                <w:color w:val="auto"/>
              </w:rPr>
            </w:pPr>
            <w:r>
              <w:rPr>
                <w:rFonts w:ascii="Times New Roman" w:cs="Times New Roman" w:eastAsia="Times New Roman" w:hAnsi="Times New Roman"/>
                <w:sz w:val="18"/>
                <w:szCs w:val="18"/>
                <w:color w:val="auto"/>
                <w:w w:val="99"/>
              </w:rPr>
              <w:t>27(a)</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Seed-2 Preferred Shares</w:t>
            </w:r>
          </w:p>
        </w:tc>
        <w:tc>
          <w:tcPr>
            <w:tcW w:w="3660" w:type="dxa"/>
            <w:vAlign w:val="bottom"/>
            <w:shd w:val="clear" w:color="auto" w:fill="CCEEFF"/>
          </w:tcPr>
          <w:p>
            <w:pPr>
              <w:jc w:val="center"/>
              <w:ind w:left="2710"/>
              <w:spacing w:after="0"/>
              <w:rPr>
                <w:sz w:val="20"/>
                <w:szCs w:val="20"/>
                <w:color w:val="auto"/>
              </w:rPr>
            </w:pPr>
            <w:r>
              <w:rPr>
                <w:rFonts w:ascii="Times New Roman" w:cs="Times New Roman" w:eastAsia="Times New Roman" w:hAnsi="Times New Roman"/>
                <w:sz w:val="18"/>
                <w:szCs w:val="18"/>
                <w:color w:val="auto"/>
                <w:w w:val="99"/>
              </w:rPr>
              <w:t>27(a)</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A Preferred Shares</w:t>
            </w:r>
          </w:p>
        </w:tc>
        <w:tc>
          <w:tcPr>
            <w:tcW w:w="3660" w:type="dxa"/>
            <w:vAlign w:val="bottom"/>
          </w:tcPr>
          <w:p>
            <w:pPr>
              <w:jc w:val="center"/>
              <w:ind w:left="2710"/>
              <w:spacing w:after="0"/>
              <w:rPr>
                <w:sz w:val="20"/>
                <w:szCs w:val="20"/>
                <w:color w:val="auto"/>
              </w:rPr>
            </w:pPr>
            <w:r>
              <w:rPr>
                <w:rFonts w:ascii="Times New Roman" w:cs="Times New Roman" w:eastAsia="Times New Roman" w:hAnsi="Times New Roman"/>
                <w:sz w:val="18"/>
                <w:szCs w:val="18"/>
                <w:color w:val="auto"/>
                <w:w w:val="99"/>
              </w:rPr>
              <w:t>27(a)</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premium</w:t>
            </w:r>
          </w:p>
        </w:tc>
        <w:tc>
          <w:tcPr>
            <w:tcW w:w="36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947,560</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987,440</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1,046,621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Reserves</w:t>
            </w:r>
          </w:p>
        </w:tc>
        <w:tc>
          <w:tcPr>
            <w:tcW w:w="3660" w:type="dxa"/>
            <w:vAlign w:val="bottom"/>
          </w:tcPr>
          <w:p>
            <w:pPr>
              <w:jc w:val="center"/>
              <w:ind w:left="2730"/>
              <w:spacing w:after="0"/>
              <w:rPr>
                <w:sz w:val="20"/>
                <w:szCs w:val="20"/>
                <w:color w:val="auto"/>
              </w:rPr>
            </w:pPr>
            <w:r>
              <w:rPr>
                <w:rFonts w:ascii="Times New Roman" w:cs="Times New Roman" w:eastAsia="Times New Roman" w:hAnsi="Times New Roman"/>
                <w:sz w:val="18"/>
                <w:szCs w:val="18"/>
                <w:color w:val="auto"/>
              </w:rPr>
              <w:t>27(b)</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683,241</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738,694</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1,210,223</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losses</w:t>
            </w:r>
          </w:p>
        </w:tc>
        <w:tc>
          <w:tcPr>
            <w:tcW w:w="36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(1,433,161)</w:t>
            </w: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(2,128,049)</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(3,131,134)</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Treasury shares</w:t>
            </w:r>
          </w:p>
        </w:tc>
        <w:tc>
          <w:tcPr>
            <w:tcW w:w="3660" w:type="dxa"/>
            <w:vAlign w:val="bottom"/>
          </w:tcPr>
          <w:p>
            <w:pPr>
              <w:jc w:val="center"/>
              <w:ind w:left="2710"/>
              <w:spacing w:after="0"/>
              <w:rPr>
                <w:sz w:val="20"/>
                <w:szCs w:val="20"/>
                <w:color w:val="auto"/>
              </w:rPr>
            </w:pPr>
            <w:r>
              <w:rPr>
                <w:rFonts w:ascii="Times New Roman" w:cs="Times New Roman" w:eastAsia="Times New Roman" w:hAnsi="Times New Roman"/>
                <w:sz w:val="18"/>
                <w:szCs w:val="18"/>
                <w:color w:val="auto"/>
                <w:w w:val="99"/>
              </w:rPr>
              <w:t>27(c)</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(91,841)</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equity/(deficit)</w:t>
            </w:r>
          </w:p>
        </w:tc>
        <w:tc>
          <w:tcPr>
            <w:tcW w:w="36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197,659</w:t>
            </w: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(401,893)</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(966,109)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40"/>
          </w:cols>
          <w:pgMar w:left="320" w:top="446" w:right="439" w:bottom="1440" w:gutter="0" w:footer="0" w:header="0"/>
        </w:sectPr>
      </w:pPr>
    </w:p>
    <w:bookmarkStart w:id="258" w:name="page259"/>
    <w:bookmarkEnd w:id="258"/>
    <w:tbl>
      <w:tblPr>
        <w:tblLayout w:type="fixed"/>
        <w:tblInd w:w="0" w:type="dxa"/>
        <w:tblCellMar>
          <w:top w:w="0" w:type="dxa"/>
          <w:left w:w="0" w:type="dxa"/>
          <w:bottom w:w="0" w:type="dxa"/>
          <w:right w:w="0" w:type="dxa"/>
        </w:tblCellMar>
      </w:tblPr>
      <w:tr>
        <w:trPr>
          <w:trHeight w:val="207"/>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3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3"/>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7320" w:type="dxa"/>
            <w:vAlign w:val="bottom"/>
            <w:gridSpan w:val="4"/>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Position (continued)</w:t>
            </w: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3240" w:type="dxa"/>
            <w:vAlign w:val="bottom"/>
          </w:tcPr>
          <w:p>
            <w:pPr>
              <w:jc w:val="center"/>
              <w:ind w:right="450"/>
              <w:spacing w:after="0"/>
              <w:rPr>
                <w:sz w:val="20"/>
                <w:szCs w:val="20"/>
                <w:color w:val="auto"/>
              </w:rPr>
            </w:pPr>
            <w:r>
              <w:rPr>
                <w:rFonts w:ascii="Times New Roman" w:cs="Times New Roman" w:eastAsia="Times New Roman" w:hAnsi="Times New Roman"/>
                <w:sz w:val="18"/>
                <w:szCs w:val="18"/>
                <w:i w:val="1"/>
                <w:iCs w:val="1"/>
                <w:color w:val="auto"/>
                <w:w w:val="99"/>
              </w:rPr>
              <w:t>(Expressed in thousands of RMB)</w:t>
            </w: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8"/>
                <w:szCs w:val="18"/>
                <w:i w:val="1"/>
                <w:iCs w:val="1"/>
                <w:color w:val="auto"/>
              </w:rPr>
              <w:t>As of</w:t>
            </w:r>
          </w:p>
        </w:tc>
        <w:tc>
          <w:tcPr>
            <w:tcW w:w="13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i w:val="1"/>
                <w:iCs w:val="1"/>
                <w:color w:val="auto"/>
              </w:rPr>
              <w:t>As of</w:t>
            </w:r>
          </w:p>
        </w:tc>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i w:val="1"/>
                <w:iCs w:val="1"/>
                <w:color w:val="auto"/>
              </w:rPr>
              <w:t>As of</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January 1,</w:t>
            </w: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i w:val="1"/>
                <w:iCs w:val="1"/>
                <w:color w:val="auto"/>
                <w:w w:val="97"/>
              </w:rPr>
              <w:t>December 31,</w:t>
            </w:r>
          </w:p>
        </w:tc>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i w:val="1"/>
                <w:iCs w:val="1"/>
                <w:color w:val="auto"/>
              </w:rPr>
              <w:t>December 31,</w:t>
            </w:r>
          </w:p>
        </w:tc>
        <w:tc>
          <w:tcPr>
            <w:tcW w:w="0" w:type="dxa"/>
            <w:vAlign w:val="bottom"/>
          </w:tcPr>
          <w:p>
            <w:pPr>
              <w:spacing w:after="0"/>
              <w:rPr>
                <w:sz w:val="1"/>
                <w:szCs w:val="1"/>
                <w:color w:val="auto"/>
              </w:rPr>
            </w:pPr>
          </w:p>
        </w:tc>
      </w:tr>
      <w:tr>
        <w:trPr>
          <w:trHeight w:val="236"/>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3240" w:type="dxa"/>
            <w:vAlign w:val="bottom"/>
          </w:tcPr>
          <w:p>
            <w:pPr>
              <w:ind w:left="2540"/>
              <w:spacing w:after="0"/>
              <w:rPr>
                <w:sz w:val="20"/>
                <w:szCs w:val="20"/>
                <w:color w:val="auto"/>
              </w:rPr>
            </w:pPr>
            <w:r>
              <w:rPr>
                <w:rFonts w:ascii="Times New Roman" w:cs="Times New Roman" w:eastAsia="Times New Roman" w:hAnsi="Times New Roman"/>
                <w:sz w:val="18"/>
                <w:szCs w:val="18"/>
                <w:i w:val="1"/>
                <w:iCs w:val="1"/>
                <w:color w:val="auto"/>
              </w:rPr>
              <w:t>Note</w:t>
            </w:r>
          </w:p>
        </w:tc>
        <w:tc>
          <w:tcPr>
            <w:tcW w:w="7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2020</w:t>
            </w:r>
          </w:p>
        </w:tc>
        <w:tc>
          <w:tcPr>
            <w:tcW w:w="380" w:type="dxa"/>
            <w:vAlign w:val="bottom"/>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i w:val="1"/>
                <w:iCs w:val="1"/>
                <w:color w:val="auto"/>
              </w:rPr>
              <w:t>2020</w:t>
            </w:r>
          </w:p>
        </w:tc>
        <w:tc>
          <w:tcPr>
            <w:tcW w:w="380" w:type="dxa"/>
            <w:vAlign w:val="bottom"/>
          </w:tcPr>
          <w:p>
            <w:pPr>
              <w:spacing w:after="0"/>
              <w:rPr>
                <w:sz w:val="20"/>
                <w:szCs w:val="20"/>
                <w:color w:val="auto"/>
              </w:rPr>
            </w:pPr>
          </w:p>
        </w:tc>
        <w:tc>
          <w:tcPr>
            <w:tcW w:w="10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i w:val="1"/>
                <w:iCs w:val="1"/>
                <w:color w:val="auto"/>
              </w:rPr>
              <w:t>2021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RMB’000</w:t>
            </w:r>
          </w:p>
        </w:tc>
        <w:tc>
          <w:tcPr>
            <w:tcW w:w="3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RMB’000</w:t>
            </w:r>
          </w:p>
        </w:tc>
        <w:tc>
          <w:tcPr>
            <w:tcW w:w="3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RMB’000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3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 non-current</w:t>
            </w:r>
          </w:p>
        </w:tc>
        <w:tc>
          <w:tcPr>
            <w:tcW w:w="3240" w:type="dxa"/>
            <w:vAlign w:val="bottom"/>
            <w:shd w:val="clear" w:color="auto" w:fill="CCEEFF"/>
          </w:tcPr>
          <w:p>
            <w:pPr>
              <w:jc w:val="center"/>
              <w:ind w:left="2090"/>
              <w:spacing w:after="0"/>
              <w:rPr>
                <w:sz w:val="20"/>
                <w:szCs w:val="20"/>
                <w:color w:val="auto"/>
              </w:rPr>
            </w:pPr>
            <w:r>
              <w:rPr>
                <w:rFonts w:ascii="Times New Roman" w:cs="Times New Roman" w:eastAsia="Times New Roman" w:hAnsi="Times New Roman"/>
                <w:sz w:val="18"/>
                <w:szCs w:val="18"/>
                <w:color w:val="auto"/>
                <w:w w:val="99"/>
              </w:rPr>
              <w:t>20</w:t>
            </w: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59,695</w:t>
            </w: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48,052</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61,296</w:t>
            </w:r>
          </w:p>
        </w:tc>
        <w:tc>
          <w:tcPr>
            <w:tcW w:w="0" w:type="dxa"/>
            <w:vAlign w:val="bottom"/>
          </w:tcPr>
          <w:p>
            <w:pPr>
              <w:spacing w:after="0"/>
              <w:rPr>
                <w:sz w:val="1"/>
                <w:szCs w:val="1"/>
                <w:color w:val="auto"/>
              </w:rPr>
            </w:pPr>
          </w:p>
        </w:tc>
      </w:tr>
      <w:tr>
        <w:trPr>
          <w:trHeight w:val="198"/>
        </w:trPr>
        <w:tc>
          <w:tcPr>
            <w:tcW w:w="120" w:type="dxa"/>
            <w:vAlign w:val="bottom"/>
          </w:tcPr>
          <w:p>
            <w:pPr>
              <w:spacing w:after="0"/>
              <w:rPr>
                <w:sz w:val="17"/>
                <w:szCs w:val="17"/>
                <w:color w:val="auto"/>
              </w:rPr>
            </w:pPr>
          </w:p>
        </w:tc>
        <w:tc>
          <w:tcPr>
            <w:tcW w:w="740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Preferred shares and other financial instruments subject to redemption and other</w:t>
            </w: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4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preferential rights</w:t>
            </w:r>
          </w:p>
        </w:tc>
        <w:tc>
          <w:tcPr>
            <w:tcW w:w="3240" w:type="dxa"/>
            <w:vAlign w:val="bottom"/>
          </w:tcPr>
          <w:p>
            <w:pPr>
              <w:jc w:val="center"/>
              <w:ind w:left="2090"/>
              <w:spacing w:after="0"/>
              <w:rPr>
                <w:sz w:val="20"/>
                <w:szCs w:val="20"/>
                <w:color w:val="auto"/>
              </w:rPr>
            </w:pPr>
            <w:r>
              <w:rPr>
                <w:rFonts w:ascii="Times New Roman" w:cs="Times New Roman" w:eastAsia="Times New Roman" w:hAnsi="Times New Roman"/>
                <w:sz w:val="18"/>
                <w:szCs w:val="18"/>
                <w:color w:val="auto"/>
                <w:w w:val="99"/>
              </w:rPr>
              <w:t>21</w:t>
            </w:r>
          </w:p>
        </w:tc>
        <w:tc>
          <w:tcPr>
            <w:tcW w:w="11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688,350</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3,790,636</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Put option liabilities</w:t>
            </w:r>
          </w:p>
        </w:tc>
        <w:tc>
          <w:tcPr>
            <w:tcW w:w="3240" w:type="dxa"/>
            <w:vAlign w:val="bottom"/>
            <w:shd w:val="clear" w:color="auto" w:fill="CCEEFF"/>
          </w:tcPr>
          <w:p>
            <w:pPr>
              <w:jc w:val="center"/>
              <w:ind w:left="2090"/>
              <w:spacing w:after="0"/>
              <w:rPr>
                <w:sz w:val="20"/>
                <w:szCs w:val="20"/>
                <w:color w:val="auto"/>
              </w:rPr>
            </w:pPr>
            <w:r>
              <w:rPr>
                <w:rFonts w:ascii="Times New Roman" w:cs="Times New Roman" w:eastAsia="Times New Roman" w:hAnsi="Times New Roman"/>
                <w:sz w:val="18"/>
                <w:szCs w:val="18"/>
                <w:color w:val="auto"/>
                <w:w w:val="99"/>
              </w:rPr>
              <w:t>22</w:t>
            </w: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65,071</w:t>
            </w: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66,116</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39,184</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3240" w:type="dxa"/>
            <w:vAlign w:val="bottom"/>
          </w:tcPr>
          <w:p>
            <w:pPr>
              <w:jc w:val="center"/>
              <w:ind w:left="2090"/>
              <w:spacing w:after="0"/>
              <w:rPr>
                <w:sz w:val="20"/>
                <w:szCs w:val="20"/>
                <w:color w:val="auto"/>
              </w:rPr>
            </w:pPr>
            <w:r>
              <w:rPr>
                <w:rFonts w:ascii="Times New Roman" w:cs="Times New Roman" w:eastAsia="Times New Roman" w:hAnsi="Times New Roman"/>
                <w:sz w:val="18"/>
                <w:szCs w:val="18"/>
                <w:color w:val="auto"/>
                <w:w w:val="99"/>
              </w:rPr>
              <w:t>9(b)</w:t>
            </w:r>
          </w:p>
        </w:tc>
        <w:tc>
          <w:tcPr>
            <w:tcW w:w="11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7,479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240" w:type="dxa"/>
            <w:vAlign w:val="bottom"/>
            <w:shd w:val="clear" w:color="auto" w:fill="CCEEFF"/>
          </w:tcPr>
          <w:p>
            <w:pPr>
              <w:jc w:val="center"/>
              <w:ind w:left="2090"/>
              <w:spacing w:after="0"/>
              <w:rPr>
                <w:sz w:val="20"/>
                <w:szCs w:val="20"/>
                <w:color w:val="auto"/>
              </w:rPr>
            </w:pPr>
            <w:r>
              <w:rPr>
                <w:rFonts w:ascii="Times New Roman" w:cs="Times New Roman" w:eastAsia="Times New Roman" w:hAnsi="Times New Roman"/>
                <w:sz w:val="18"/>
                <w:szCs w:val="18"/>
                <w:color w:val="auto"/>
                <w:w w:val="99"/>
              </w:rPr>
              <w:t>23</w:t>
            </w: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67,211</w:t>
            </w: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138,630</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139,787</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191,977</w:t>
            </w:r>
          </w:p>
        </w:tc>
        <w:tc>
          <w:tcPr>
            <w:tcW w:w="38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941,148</w:t>
            </w:r>
          </w:p>
        </w:tc>
        <w:tc>
          <w:tcPr>
            <w:tcW w:w="38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4,038,382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3240" w:type="dxa"/>
            <w:vAlign w:val="bottom"/>
          </w:tcPr>
          <w:p>
            <w:pPr>
              <w:jc w:val="center"/>
              <w:ind w:left="2090"/>
              <w:spacing w:after="0"/>
              <w:rPr>
                <w:sz w:val="20"/>
                <w:szCs w:val="20"/>
                <w:color w:val="auto"/>
              </w:rPr>
            </w:pPr>
            <w:r>
              <w:rPr>
                <w:rFonts w:ascii="Times New Roman" w:cs="Times New Roman" w:eastAsia="Times New Roman" w:hAnsi="Times New Roman"/>
                <w:sz w:val="18"/>
                <w:szCs w:val="18"/>
                <w:color w:val="auto"/>
                <w:w w:val="99"/>
              </w:rPr>
              <w:t>24</w:t>
            </w: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12,027</w:t>
            </w: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18,839</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15,948</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payables, deposits received and accrued expenses</w:t>
            </w:r>
          </w:p>
        </w:tc>
        <w:tc>
          <w:tcPr>
            <w:tcW w:w="3240" w:type="dxa"/>
            <w:vAlign w:val="bottom"/>
            <w:shd w:val="clear" w:color="auto" w:fill="CCEEFF"/>
          </w:tcPr>
          <w:p>
            <w:pPr>
              <w:jc w:val="center"/>
              <w:ind w:left="2090"/>
              <w:spacing w:after="0"/>
              <w:rPr>
                <w:sz w:val="20"/>
                <w:szCs w:val="20"/>
                <w:color w:val="auto"/>
              </w:rPr>
            </w:pPr>
            <w:r>
              <w:rPr>
                <w:rFonts w:ascii="Times New Roman" w:cs="Times New Roman" w:eastAsia="Times New Roman" w:hAnsi="Times New Roman"/>
                <w:sz w:val="18"/>
                <w:szCs w:val="18"/>
                <w:color w:val="auto"/>
                <w:w w:val="99"/>
              </w:rPr>
              <w:t>24</w:t>
            </w: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58,217</w:t>
            </w: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121,160</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64,229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3240" w:type="dxa"/>
            <w:vAlign w:val="bottom"/>
          </w:tcPr>
          <w:p>
            <w:pPr>
              <w:spacing w:after="0"/>
              <w:rPr>
                <w:sz w:val="18"/>
                <w:szCs w:val="18"/>
                <w:color w:val="auto"/>
              </w:rPr>
            </w:pPr>
          </w:p>
        </w:tc>
        <w:tc>
          <w:tcPr>
            <w:tcW w:w="11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841</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3,819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and borrowings</w:t>
            </w:r>
          </w:p>
        </w:tc>
        <w:tc>
          <w:tcPr>
            <w:tcW w:w="3240" w:type="dxa"/>
            <w:vAlign w:val="bottom"/>
            <w:shd w:val="clear" w:color="auto" w:fill="CCEEFF"/>
          </w:tcPr>
          <w:p>
            <w:pPr>
              <w:jc w:val="center"/>
              <w:ind w:left="2090"/>
              <w:spacing w:after="0"/>
              <w:rPr>
                <w:sz w:val="20"/>
                <w:szCs w:val="20"/>
                <w:color w:val="auto"/>
              </w:rPr>
            </w:pPr>
            <w:r>
              <w:rPr>
                <w:rFonts w:ascii="Times New Roman" w:cs="Times New Roman" w:eastAsia="Times New Roman" w:hAnsi="Times New Roman"/>
                <w:sz w:val="18"/>
                <w:szCs w:val="18"/>
                <w:color w:val="auto"/>
                <w:w w:val="99"/>
              </w:rPr>
              <w:t>25</w:t>
            </w: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34,295</w:t>
            </w: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104,478</w:t>
            </w:r>
          </w:p>
        </w:tc>
        <w:tc>
          <w:tcPr>
            <w:tcW w:w="10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liabilities – current</w:t>
            </w:r>
          </w:p>
        </w:tc>
        <w:tc>
          <w:tcPr>
            <w:tcW w:w="3240" w:type="dxa"/>
            <w:vAlign w:val="bottom"/>
          </w:tcPr>
          <w:p>
            <w:pPr>
              <w:jc w:val="center"/>
              <w:ind w:left="2090"/>
              <w:spacing w:after="0"/>
              <w:rPr>
                <w:sz w:val="20"/>
                <w:szCs w:val="20"/>
                <w:color w:val="auto"/>
              </w:rPr>
            </w:pPr>
            <w:r>
              <w:rPr>
                <w:rFonts w:ascii="Times New Roman" w:cs="Times New Roman" w:eastAsia="Times New Roman" w:hAnsi="Times New Roman"/>
                <w:sz w:val="18"/>
                <w:szCs w:val="18"/>
                <w:color w:val="auto"/>
                <w:w w:val="99"/>
              </w:rPr>
              <w:t>20</w:t>
            </w: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15,362</w:t>
            </w: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16,915</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32,537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3240" w:type="dxa"/>
            <w:vAlign w:val="bottom"/>
            <w:shd w:val="clear" w:color="auto" w:fill="CCEEFF"/>
          </w:tcPr>
          <w:p>
            <w:pPr>
              <w:jc w:val="center"/>
              <w:ind w:left="2090"/>
              <w:spacing w:after="0"/>
              <w:rPr>
                <w:sz w:val="20"/>
                <w:szCs w:val="20"/>
                <w:color w:val="auto"/>
              </w:rPr>
            </w:pPr>
            <w:r>
              <w:rPr>
                <w:rFonts w:ascii="Times New Roman" w:cs="Times New Roman" w:eastAsia="Times New Roman" w:hAnsi="Times New Roman"/>
                <w:sz w:val="18"/>
                <w:szCs w:val="18"/>
                <w:color w:val="auto"/>
                <w:w w:val="97"/>
              </w:rPr>
              <w:t>32(d)</w:t>
            </w:r>
          </w:p>
        </w:tc>
        <w:tc>
          <w:tcPr>
            <w:tcW w:w="11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4,167</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43,447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liabilities measured at FVTPL</w:t>
            </w:r>
          </w:p>
        </w:tc>
        <w:tc>
          <w:tcPr>
            <w:tcW w:w="3240" w:type="dxa"/>
            <w:vAlign w:val="bottom"/>
          </w:tcPr>
          <w:p>
            <w:pPr>
              <w:jc w:val="center"/>
              <w:ind w:left="2090"/>
              <w:spacing w:after="0"/>
              <w:rPr>
                <w:sz w:val="20"/>
                <w:szCs w:val="20"/>
                <w:color w:val="auto"/>
              </w:rPr>
            </w:pPr>
            <w:r>
              <w:rPr>
                <w:rFonts w:ascii="Times New Roman" w:cs="Times New Roman" w:eastAsia="Times New Roman" w:hAnsi="Times New Roman"/>
                <w:sz w:val="18"/>
                <w:szCs w:val="18"/>
                <w:color w:val="auto"/>
                <w:w w:val="99"/>
              </w:rPr>
              <w:t>26</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103,961</w:t>
            </w:r>
          </w:p>
        </w:tc>
        <w:tc>
          <w:tcPr>
            <w:tcW w:w="38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325,320</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74,357</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223,862</w:t>
            </w: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591,720</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234,337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160" w:type="dxa"/>
            <w:vAlign w:val="bottom"/>
            <w:gridSpan w:val="2"/>
            <w:vMerge w:val="continue"/>
          </w:tcPr>
          <w:p>
            <w:pPr>
              <w:spacing w:after="0"/>
              <w:rPr>
                <w:sz w:val="18"/>
                <w:szCs w:val="18"/>
                <w:color w:val="auto"/>
              </w:rPr>
            </w:pPr>
          </w:p>
        </w:tc>
        <w:tc>
          <w:tcPr>
            <w:tcW w:w="324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415,839</w:t>
            </w:r>
          </w:p>
        </w:tc>
        <w:tc>
          <w:tcPr>
            <w:tcW w:w="3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1,532,868</w:t>
            </w:r>
          </w:p>
        </w:tc>
        <w:tc>
          <w:tcPr>
            <w:tcW w:w="38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4,272,719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equity/(deficit) and liabilities</w:t>
            </w:r>
          </w:p>
        </w:tc>
        <w:tc>
          <w:tcPr>
            <w:tcW w:w="3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613,498</w:t>
            </w: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1,130,975</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3,306,610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40"/>
          </w:cols>
          <w:pgMar w:left="320" w:top="446" w:right="43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 for the year ended December 31, 2020</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(Expressed in thousands of RMB)</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2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rPr>
              <w:t>Series</w:t>
            </w:r>
          </w:p>
        </w:tc>
        <w:tc>
          <w:tcPr>
            <w:tcW w:w="100" w:type="dxa"/>
            <w:vAlign w:val="bottom"/>
          </w:tcPr>
          <w:p>
            <w:pPr>
              <w:spacing w:after="0"/>
              <w:rPr>
                <w:sz w:val="12"/>
                <w:szCs w:val="12"/>
                <w:color w:val="auto"/>
              </w:rPr>
            </w:pP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i w:val="1"/>
                <w:iCs w:val="1"/>
                <w:color w:val="auto"/>
                <w:w w:val="94"/>
              </w:rPr>
              <w:t>Series</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2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5"/>
              </w:rPr>
              <w:t>Seed-1</w:t>
            </w:r>
          </w:p>
        </w:tc>
        <w:tc>
          <w:tcPr>
            <w:tcW w:w="100" w:type="dxa"/>
            <w:vAlign w:val="bottom"/>
          </w:tcPr>
          <w:p>
            <w:pPr>
              <w:spacing w:after="0"/>
              <w:rPr>
                <w:sz w:val="11"/>
                <w:szCs w:val="11"/>
                <w:color w:val="auto"/>
              </w:rPr>
            </w:pPr>
          </w:p>
        </w:tc>
        <w:tc>
          <w:tcPr>
            <w:tcW w:w="7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i w:val="1"/>
                <w:iCs w:val="1"/>
                <w:color w:val="auto"/>
                <w:w w:val="95"/>
              </w:rPr>
              <w:t>Seed-2</w:t>
            </w:r>
          </w:p>
        </w:tc>
        <w:tc>
          <w:tcPr>
            <w:tcW w:w="6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7"/>
              </w:rPr>
              <w:t>Series A</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2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7"/>
              </w:rPr>
              <w:t>Convertible</w:t>
            </w:r>
          </w:p>
        </w:tc>
        <w:tc>
          <w:tcPr>
            <w:tcW w:w="100" w:type="dxa"/>
            <w:vAlign w:val="bottom"/>
          </w:tcPr>
          <w:p>
            <w:pPr>
              <w:spacing w:after="0"/>
              <w:rPr>
                <w:sz w:val="11"/>
                <w:szCs w:val="11"/>
                <w:color w:val="auto"/>
              </w:rPr>
            </w:pPr>
          </w:p>
        </w:tc>
        <w:tc>
          <w:tcPr>
            <w:tcW w:w="7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i w:val="1"/>
                <w:iCs w:val="1"/>
                <w:color w:val="auto"/>
                <w:w w:val="97"/>
              </w:rPr>
              <w:t>Convertible</w:t>
            </w:r>
          </w:p>
        </w:tc>
        <w:tc>
          <w:tcPr>
            <w:tcW w:w="6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7"/>
              </w:rPr>
              <w:t>Convertible</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i w:val="1"/>
                <w:iCs w:val="1"/>
                <w:color w:val="auto"/>
                <w:w w:val="95"/>
              </w:rPr>
              <w:t>Share-based</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39"/>
              <w:spacing w:after="0" w:line="135" w:lineRule="exact"/>
              <w:rPr>
                <w:sz w:val="20"/>
                <w:szCs w:val="20"/>
                <w:color w:val="auto"/>
              </w:rPr>
            </w:pPr>
            <w:r>
              <w:rPr>
                <w:rFonts w:ascii="Times New Roman" w:cs="Times New Roman" w:eastAsia="Times New Roman" w:hAnsi="Times New Roman"/>
                <w:sz w:val="13"/>
                <w:szCs w:val="13"/>
                <w:i w:val="1"/>
                <w:iCs w:val="1"/>
                <w:color w:val="auto"/>
                <w:w w:val="94"/>
              </w:rPr>
              <w:t>Total</w:t>
            </w:r>
          </w:p>
        </w:tc>
      </w:tr>
      <w:tr>
        <w:trPr>
          <w:trHeight w:val="135"/>
        </w:trPr>
        <w:tc>
          <w:tcPr>
            <w:tcW w:w="2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i w:val="1"/>
                <w:iCs w:val="1"/>
                <w:color w:val="auto"/>
              </w:rPr>
              <w:t>Ordinary</w:t>
            </w:r>
          </w:p>
        </w:tc>
        <w:tc>
          <w:tcPr>
            <w:tcW w:w="640" w:type="dxa"/>
            <w:vAlign w:val="bottom"/>
          </w:tcPr>
          <w:p>
            <w:pPr>
              <w:jc w:val="right"/>
              <w:ind w:right="6"/>
              <w:spacing w:after="0" w:line="135" w:lineRule="exact"/>
              <w:rPr>
                <w:sz w:val="20"/>
                <w:szCs w:val="20"/>
                <w:color w:val="auto"/>
              </w:rPr>
            </w:pPr>
            <w:r>
              <w:rPr>
                <w:rFonts w:ascii="Times New Roman" w:cs="Times New Roman" w:eastAsia="Times New Roman" w:hAnsi="Times New Roman"/>
                <w:sz w:val="13"/>
                <w:szCs w:val="13"/>
                <w:i w:val="1"/>
                <w:iCs w:val="1"/>
                <w:color w:val="auto"/>
              </w:rPr>
              <w:t>Preferred</w:t>
            </w:r>
          </w:p>
        </w:tc>
        <w:tc>
          <w:tcPr>
            <w:tcW w:w="10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i w:val="1"/>
                <w:iCs w:val="1"/>
                <w:color w:val="auto"/>
              </w:rPr>
              <w:t>Preferred</w:t>
            </w:r>
          </w:p>
        </w:tc>
        <w:tc>
          <w:tcPr>
            <w:tcW w:w="640" w:type="dxa"/>
            <w:vAlign w:val="bottom"/>
          </w:tcPr>
          <w:p>
            <w:pPr>
              <w:jc w:val="right"/>
              <w:ind w:right="5"/>
              <w:spacing w:after="0" w:line="135" w:lineRule="exact"/>
              <w:rPr>
                <w:sz w:val="20"/>
                <w:szCs w:val="20"/>
                <w:color w:val="auto"/>
              </w:rPr>
            </w:pPr>
            <w:r>
              <w:rPr>
                <w:rFonts w:ascii="Times New Roman" w:cs="Times New Roman" w:eastAsia="Times New Roman" w:hAnsi="Times New Roman"/>
                <w:sz w:val="13"/>
                <w:szCs w:val="13"/>
                <w:i w:val="1"/>
                <w:iCs w:val="1"/>
                <w:color w:val="auto"/>
              </w:rPr>
              <w:t>Preferred</w:t>
            </w:r>
          </w:p>
        </w:tc>
        <w:tc>
          <w:tcPr>
            <w:tcW w:w="120" w:type="dxa"/>
            <w:vAlign w:val="bottom"/>
          </w:tcPr>
          <w:p>
            <w:pPr>
              <w:spacing w:after="0"/>
              <w:rPr>
                <w:sz w:val="11"/>
                <w:szCs w:val="11"/>
                <w:color w:val="auto"/>
              </w:rPr>
            </w:pPr>
          </w:p>
        </w:tc>
        <w:tc>
          <w:tcPr>
            <w:tcW w:w="78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i w:val="1"/>
                <w:iCs w:val="1"/>
                <w:color w:val="auto"/>
                <w:w w:val="98"/>
              </w:rPr>
              <w:t>Share</w:t>
            </w:r>
          </w:p>
        </w:tc>
        <w:tc>
          <w:tcPr>
            <w:tcW w:w="8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i w:val="1"/>
                <w:iCs w:val="1"/>
                <w:color w:val="auto"/>
                <w:w w:val="96"/>
              </w:rPr>
              <w:t>compensation</w:t>
            </w:r>
          </w:p>
        </w:tc>
        <w:tc>
          <w:tcPr>
            <w:tcW w:w="7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i w:val="1"/>
                <w:iCs w:val="1"/>
                <w:color w:val="auto"/>
                <w:w w:val="95"/>
              </w:rPr>
              <w:t>Translation</w:t>
            </w:r>
          </w:p>
        </w:tc>
        <w:tc>
          <w:tcPr>
            <w:tcW w:w="7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i w:val="1"/>
                <w:iCs w:val="1"/>
                <w:color w:val="auto"/>
                <w:w w:val="95"/>
              </w:rPr>
              <w:t>Fair value</w:t>
            </w:r>
          </w:p>
        </w:tc>
        <w:tc>
          <w:tcPr>
            <w:tcW w:w="7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i w:val="1"/>
                <w:iCs w:val="1"/>
                <w:color w:val="auto"/>
                <w:w w:val="98"/>
              </w:rPr>
              <w:t>Other</w:t>
            </w:r>
          </w:p>
        </w:tc>
        <w:tc>
          <w:tcPr>
            <w:tcW w:w="88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i w:val="1"/>
                <w:iCs w:val="1"/>
                <w:color w:val="auto"/>
                <w:w w:val="97"/>
              </w:rPr>
              <w:t>Accumulated</w:t>
            </w:r>
          </w:p>
        </w:tc>
        <w:tc>
          <w:tcPr>
            <w:tcW w:w="740" w:type="dxa"/>
            <w:vAlign w:val="bottom"/>
            <w:gridSpan w:val="2"/>
          </w:tcPr>
          <w:p>
            <w:pPr>
              <w:jc w:val="center"/>
              <w:ind w:right="39"/>
              <w:spacing w:after="0" w:line="135" w:lineRule="exact"/>
              <w:rPr>
                <w:sz w:val="20"/>
                <w:szCs w:val="20"/>
                <w:color w:val="auto"/>
              </w:rPr>
            </w:pPr>
            <w:r>
              <w:rPr>
                <w:rFonts w:ascii="Times New Roman" w:cs="Times New Roman" w:eastAsia="Times New Roman" w:hAnsi="Times New Roman"/>
                <w:sz w:val="13"/>
                <w:szCs w:val="13"/>
                <w:i w:val="1"/>
                <w:iCs w:val="1"/>
                <w:color w:val="auto"/>
                <w:w w:val="95"/>
              </w:rPr>
              <w:t>equity/</w:t>
            </w:r>
          </w:p>
        </w:tc>
      </w:tr>
      <w:tr>
        <w:trPr>
          <w:trHeight w:val="155"/>
        </w:trPr>
        <w:tc>
          <w:tcPr>
            <w:tcW w:w="2120" w:type="dxa"/>
            <w:vAlign w:val="bottom"/>
          </w:tcPr>
          <w:p>
            <w:pPr>
              <w:spacing w:after="0"/>
              <w:rPr>
                <w:sz w:val="13"/>
                <w:szCs w:val="13"/>
                <w:color w:val="auto"/>
              </w:rPr>
            </w:pP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3"/>
                <w:szCs w:val="13"/>
                <w:i w:val="1"/>
                <w:iCs w:val="1"/>
                <w:color w:val="auto"/>
              </w:rPr>
              <w:t>Note</w:t>
            </w: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i w:val="1"/>
                <w:iCs w:val="1"/>
                <w:color w:val="auto"/>
                <w:w w:val="94"/>
              </w:rPr>
              <w:t>shares</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5"/>
              </w:rPr>
              <w:t>Shares</w:t>
            </w:r>
          </w:p>
        </w:tc>
        <w:tc>
          <w:tcPr>
            <w:tcW w:w="100" w:type="dxa"/>
            <w:vAlign w:val="bottom"/>
          </w:tcPr>
          <w:p>
            <w:pPr>
              <w:spacing w:after="0"/>
              <w:rPr>
                <w:sz w:val="13"/>
                <w:szCs w:val="13"/>
                <w:color w:val="auto"/>
              </w:rPr>
            </w:pP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i w:val="1"/>
                <w:iCs w:val="1"/>
                <w:color w:val="auto"/>
                <w:w w:val="95"/>
              </w:rPr>
              <w:t>Shares</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5"/>
              </w:rPr>
              <w:t>Shares</w:t>
            </w:r>
          </w:p>
        </w:tc>
        <w:tc>
          <w:tcPr>
            <w:tcW w:w="120" w:type="dxa"/>
            <w:vAlign w:val="bottom"/>
          </w:tcPr>
          <w:p>
            <w:pPr>
              <w:spacing w:after="0"/>
              <w:rPr>
                <w:sz w:val="13"/>
                <w:szCs w:val="13"/>
                <w:color w:val="auto"/>
              </w:rPr>
            </w:pP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i w:val="1"/>
                <w:iCs w:val="1"/>
                <w:color w:val="auto"/>
                <w:w w:val="99"/>
              </w:rPr>
              <w:t>premium</w:t>
            </w: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i w:val="1"/>
                <w:iCs w:val="1"/>
                <w:color w:val="auto"/>
                <w:w w:val="93"/>
              </w:rPr>
              <w:t>reserve</w:t>
            </w: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i w:val="1"/>
                <w:iCs w:val="1"/>
                <w:color w:val="auto"/>
                <w:w w:val="93"/>
              </w:rPr>
              <w:t>reserve</w:t>
            </w: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i w:val="1"/>
                <w:iCs w:val="1"/>
                <w:color w:val="auto"/>
                <w:w w:val="96"/>
              </w:rPr>
              <w:t>reserves</w:t>
            </w: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i w:val="1"/>
                <w:iCs w:val="1"/>
                <w:color w:val="auto"/>
                <w:w w:val="96"/>
              </w:rPr>
              <w:t>reserves</w:t>
            </w: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i w:val="1"/>
                <w:iCs w:val="1"/>
                <w:color w:val="auto"/>
                <w:w w:val="96"/>
              </w:rPr>
              <w:t>losses</w:t>
            </w:r>
          </w:p>
        </w:tc>
        <w:tc>
          <w:tcPr>
            <w:tcW w:w="740" w:type="dxa"/>
            <w:vAlign w:val="bottom"/>
            <w:gridSpan w:val="2"/>
          </w:tcPr>
          <w:p>
            <w:pPr>
              <w:jc w:val="center"/>
              <w:ind w:right="19"/>
              <w:spacing w:after="0"/>
              <w:rPr>
                <w:sz w:val="20"/>
                <w:szCs w:val="20"/>
                <w:color w:val="auto"/>
              </w:rPr>
            </w:pPr>
            <w:r>
              <w:rPr>
                <w:rFonts w:ascii="Times New Roman" w:cs="Times New Roman" w:eastAsia="Times New Roman" w:hAnsi="Times New Roman"/>
                <w:sz w:val="13"/>
                <w:szCs w:val="13"/>
                <w:i w:val="1"/>
                <w:iCs w:val="1"/>
                <w:color w:val="auto"/>
                <w:w w:val="97"/>
              </w:rPr>
              <w:t>(deficit)</w:t>
            </w:r>
          </w:p>
        </w:tc>
      </w:tr>
      <w:tr>
        <w:trPr>
          <w:trHeight w:val="110"/>
        </w:trPr>
        <w:tc>
          <w:tcPr>
            <w:tcW w:w="212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Borders>
              <w:top w:val="single" w:sz="8" w:color="auto"/>
            </w:tcBorders>
          </w:tcPr>
          <w:p>
            <w:pPr>
              <w:jc w:val="center"/>
              <w:spacing w:after="0" w:line="110" w:lineRule="exact"/>
              <w:rPr>
                <w:sz w:val="20"/>
                <w:szCs w:val="20"/>
                <w:color w:val="auto"/>
              </w:rPr>
            </w:pPr>
            <w:r>
              <w:rPr>
                <w:rFonts w:ascii="Times New Roman" w:cs="Times New Roman" w:eastAsia="Times New Roman" w:hAnsi="Times New Roman"/>
                <w:sz w:val="12"/>
                <w:szCs w:val="12"/>
                <w:color w:val="auto"/>
              </w:rPr>
              <w:t>(Note 27(b)</w:t>
            </w:r>
          </w:p>
        </w:tc>
        <w:tc>
          <w:tcPr>
            <w:tcW w:w="140" w:type="dxa"/>
            <w:vAlign w:val="bottom"/>
          </w:tcPr>
          <w:p>
            <w:pPr>
              <w:spacing w:after="0"/>
              <w:rPr>
                <w:sz w:val="9"/>
                <w:szCs w:val="9"/>
                <w:color w:val="auto"/>
              </w:rPr>
            </w:pPr>
          </w:p>
        </w:tc>
        <w:tc>
          <w:tcPr>
            <w:tcW w:w="600" w:type="dxa"/>
            <w:vAlign w:val="bottom"/>
            <w:tcBorders>
              <w:top w:val="single" w:sz="8" w:color="auto"/>
            </w:tcBorders>
          </w:tcPr>
          <w:p>
            <w:pPr>
              <w:jc w:val="center"/>
              <w:spacing w:after="0" w:line="110" w:lineRule="exact"/>
              <w:rPr>
                <w:sz w:val="20"/>
                <w:szCs w:val="20"/>
                <w:color w:val="auto"/>
              </w:rPr>
            </w:pPr>
            <w:r>
              <w:rPr>
                <w:rFonts w:ascii="Times New Roman" w:cs="Times New Roman" w:eastAsia="Times New Roman" w:hAnsi="Times New Roman"/>
                <w:sz w:val="12"/>
                <w:szCs w:val="12"/>
                <w:color w:val="auto"/>
              </w:rPr>
              <w:t>(Note 27(b)</w:t>
            </w:r>
          </w:p>
        </w:tc>
        <w:tc>
          <w:tcPr>
            <w:tcW w:w="140" w:type="dxa"/>
            <w:vAlign w:val="bottom"/>
          </w:tcPr>
          <w:p>
            <w:pPr>
              <w:spacing w:after="0"/>
              <w:rPr>
                <w:sz w:val="9"/>
                <w:szCs w:val="9"/>
                <w:color w:val="auto"/>
              </w:rPr>
            </w:pPr>
          </w:p>
        </w:tc>
        <w:tc>
          <w:tcPr>
            <w:tcW w:w="600" w:type="dxa"/>
            <w:vAlign w:val="bottom"/>
            <w:tcBorders>
              <w:top w:val="single" w:sz="8" w:color="auto"/>
            </w:tcBorders>
          </w:tcPr>
          <w:p>
            <w:pPr>
              <w:jc w:val="center"/>
              <w:spacing w:after="0" w:line="110" w:lineRule="exact"/>
              <w:rPr>
                <w:sz w:val="20"/>
                <w:szCs w:val="20"/>
                <w:color w:val="auto"/>
              </w:rPr>
            </w:pPr>
            <w:r>
              <w:rPr>
                <w:rFonts w:ascii="Times New Roman" w:cs="Times New Roman" w:eastAsia="Times New Roman" w:hAnsi="Times New Roman"/>
                <w:sz w:val="12"/>
                <w:szCs w:val="12"/>
                <w:color w:val="auto"/>
              </w:rPr>
              <w:t>(Note 27(b)</w:t>
            </w:r>
          </w:p>
        </w:tc>
        <w:tc>
          <w:tcPr>
            <w:tcW w:w="140" w:type="dxa"/>
            <w:vAlign w:val="bottom"/>
          </w:tcPr>
          <w:p>
            <w:pPr>
              <w:spacing w:after="0"/>
              <w:rPr>
                <w:sz w:val="9"/>
                <w:szCs w:val="9"/>
                <w:color w:val="auto"/>
              </w:rPr>
            </w:pPr>
          </w:p>
        </w:tc>
        <w:tc>
          <w:tcPr>
            <w:tcW w:w="600" w:type="dxa"/>
            <w:vAlign w:val="bottom"/>
            <w:tcBorders>
              <w:top w:val="single" w:sz="8" w:color="auto"/>
            </w:tcBorders>
          </w:tcPr>
          <w:p>
            <w:pPr>
              <w:jc w:val="center"/>
              <w:spacing w:after="0" w:line="110" w:lineRule="exact"/>
              <w:rPr>
                <w:sz w:val="20"/>
                <w:szCs w:val="20"/>
                <w:color w:val="auto"/>
              </w:rPr>
            </w:pPr>
            <w:r>
              <w:rPr>
                <w:rFonts w:ascii="Times New Roman" w:cs="Times New Roman" w:eastAsia="Times New Roman" w:hAnsi="Times New Roman"/>
                <w:sz w:val="12"/>
                <w:szCs w:val="12"/>
                <w:color w:val="auto"/>
              </w:rPr>
              <w:t>(Note 27(b)</w:t>
            </w:r>
          </w:p>
        </w:tc>
        <w:tc>
          <w:tcPr>
            <w:tcW w:w="120" w:type="dxa"/>
            <w:vAlign w:val="bottom"/>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r>
      <w:tr>
        <w:trPr>
          <w:trHeight w:val="135"/>
        </w:trPr>
        <w:tc>
          <w:tcPr>
            <w:tcW w:w="2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w w:val="95"/>
              </w:rPr>
              <w:t>(Note 27(a))</w:t>
            </w: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5"/>
              </w:rPr>
              <w:t>(Note 27(a))</w:t>
            </w:r>
          </w:p>
        </w:tc>
        <w:tc>
          <w:tcPr>
            <w:tcW w:w="10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w w:val="95"/>
              </w:rPr>
              <w:t>(Note 27(a))</w:t>
            </w:r>
          </w:p>
        </w:tc>
        <w:tc>
          <w:tcPr>
            <w:tcW w:w="6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(Note 27(a))</w:t>
            </w:r>
          </w:p>
        </w:tc>
        <w:tc>
          <w:tcPr>
            <w:tcW w:w="120" w:type="dxa"/>
            <w:vAlign w:val="bottom"/>
          </w:tcPr>
          <w:p>
            <w:pPr>
              <w:spacing w:after="0"/>
              <w:rPr>
                <w:sz w:val="11"/>
                <w:szCs w:val="11"/>
                <w:color w:val="auto"/>
              </w:rPr>
            </w:pPr>
          </w:p>
        </w:tc>
        <w:tc>
          <w:tcPr>
            <w:tcW w:w="78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color w:val="auto"/>
                <w:w w:val="95"/>
              </w:rPr>
              <w:t>(Note 27(a))</w:t>
            </w:r>
          </w:p>
        </w:tc>
        <w:tc>
          <w:tcPr>
            <w:tcW w:w="84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color w:val="auto"/>
                <w:w w:val="96"/>
              </w:rPr>
              <w:t>(i))</w:t>
            </w:r>
          </w:p>
        </w:tc>
        <w:tc>
          <w:tcPr>
            <w:tcW w:w="7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color w:val="auto"/>
                <w:w w:val="98"/>
              </w:rPr>
              <w:t>(ii))</w:t>
            </w:r>
          </w:p>
        </w:tc>
        <w:tc>
          <w:tcPr>
            <w:tcW w:w="7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color w:val="auto"/>
              </w:rPr>
              <w:t>(iii))</w:t>
            </w:r>
          </w:p>
        </w:tc>
        <w:tc>
          <w:tcPr>
            <w:tcW w:w="7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color w:val="auto"/>
                <w:w w:val="95"/>
              </w:rPr>
              <w:t>(iv))</w:t>
            </w: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2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8"/>
              </w:rPr>
              <w:t>RMB’000</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RMB’000</w:t>
            </w:r>
          </w:p>
        </w:tc>
        <w:tc>
          <w:tcPr>
            <w:tcW w:w="10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RMB’000</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RMB’000</w:t>
            </w: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RMB’000</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RMB’000</w:t>
            </w: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w w:val="98"/>
              </w:rPr>
              <w:t>RMB’000</w:t>
            </w: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w w:val="98"/>
              </w:rPr>
              <w:t>RMB’000</w:t>
            </w: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4"/>
              </w:rPr>
              <w:t>RMB’000</w:t>
            </w: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w w:val="98"/>
              </w:rPr>
              <w:t>RMB’000</w:t>
            </w:r>
          </w:p>
        </w:tc>
        <w:tc>
          <w:tcPr>
            <w:tcW w:w="740" w:type="dxa"/>
            <w:vAlign w:val="bottom"/>
            <w:gridSpan w:val="2"/>
          </w:tcPr>
          <w:p>
            <w:pPr>
              <w:jc w:val="center"/>
              <w:ind w:right="39"/>
              <w:spacing w:after="0"/>
              <w:rPr>
                <w:sz w:val="20"/>
                <w:szCs w:val="20"/>
                <w:color w:val="auto"/>
              </w:rPr>
            </w:pPr>
            <w:r>
              <w:rPr>
                <w:rFonts w:ascii="Times New Roman" w:cs="Times New Roman" w:eastAsia="Times New Roman" w:hAnsi="Times New Roman"/>
                <w:sz w:val="13"/>
                <w:szCs w:val="13"/>
                <w:color w:val="auto"/>
                <w:w w:val="94"/>
              </w:rPr>
              <w:t>RMB’000</w:t>
            </w:r>
          </w:p>
        </w:tc>
      </w:tr>
      <w:tr>
        <w:trPr>
          <w:trHeight w:val="203"/>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January 1, 2020</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6</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3</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947,560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299,360</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(15,651)</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31,722</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367,810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(1,433,161)</w:t>
            </w:r>
          </w:p>
        </w:tc>
        <w:tc>
          <w:tcPr>
            <w:tcW w:w="74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197,659</w:t>
            </w:r>
          </w:p>
        </w:tc>
      </w:tr>
      <w:tr>
        <w:trPr>
          <w:trHeight w:val="207"/>
        </w:trPr>
        <w:tc>
          <w:tcPr>
            <w:tcW w:w="2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Changes in equity for 2020</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05"/>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for the year</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(694,888)</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(694,888)</w:t>
            </w:r>
          </w:p>
        </w:tc>
      </w:tr>
      <w:tr>
        <w:trPr>
          <w:trHeight w:val="189"/>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Fair value changes of equity</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2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investment designated at</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3"/>
        </w:trPr>
        <w:tc>
          <w:tcPr>
            <w:tcW w:w="2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FVOCI</w:t>
            </w:r>
          </w:p>
        </w:tc>
        <w:tc>
          <w:tcPr>
            <w:tcW w:w="48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color w:val="auto"/>
              </w:rPr>
              <w:t>30(e)</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(19,343)</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(19,343)</w:t>
            </w:r>
          </w:p>
        </w:tc>
      </w:tr>
      <w:tr>
        <w:trPr>
          <w:trHeight w:val="192"/>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03"/>
        </w:trPr>
        <w:tc>
          <w:tcPr>
            <w:tcW w:w="2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adjustment, net of nil income</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taxes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11,193</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11,193</w:t>
            </w:r>
          </w:p>
        </w:tc>
      </w:tr>
      <w:tr>
        <w:trPr>
          <w:trHeight w:val="217"/>
        </w:trPr>
        <w:tc>
          <w:tcPr>
            <w:tcW w:w="2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comprehensive loss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11,193</w:t>
            </w:r>
          </w:p>
        </w:tc>
        <w:tc>
          <w:tcPr>
            <w:tcW w:w="14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(19,343)</w:t>
            </w:r>
          </w:p>
        </w:tc>
        <w:tc>
          <w:tcPr>
            <w:tcW w:w="14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(694,888)</w:t>
            </w:r>
          </w:p>
        </w:tc>
        <w:tc>
          <w:tcPr>
            <w:tcW w:w="14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(703,038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189"/>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Shared-based compensation</w:t>
            </w: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16"/>
        </w:trPr>
        <w:tc>
          <w:tcPr>
            <w:tcW w:w="2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expenses</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129,943</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129,943</w:t>
            </w:r>
          </w:p>
        </w:tc>
      </w:tr>
      <w:tr>
        <w:trPr>
          <w:trHeight w:val="189"/>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Conversion of convertible</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2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notes to non-redeemable</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3"/>
        </w:trPr>
        <w:tc>
          <w:tcPr>
            <w:tcW w:w="2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preferred shares</w:t>
            </w:r>
          </w:p>
        </w:tc>
        <w:tc>
          <w:tcPr>
            <w:tcW w:w="48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color w:val="auto"/>
              </w:rPr>
              <w:t>26(a)</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w:t>
            </w:r>
          </w:p>
        </w:tc>
        <w:tc>
          <w:tcPr>
            <w:tcW w:w="64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41,195</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41,197</w:t>
            </w:r>
          </w:p>
        </w:tc>
      </w:tr>
      <w:tr>
        <w:trPr>
          <w:trHeight w:val="192"/>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Conversion of convertible</w:t>
            </w: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03"/>
        </w:trPr>
        <w:tc>
          <w:tcPr>
            <w:tcW w:w="2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notes to non-redeemable and</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2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convertible redeemable</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preferred shares</w:t>
            </w:r>
          </w:p>
        </w:tc>
        <w:tc>
          <w:tcPr>
            <w:tcW w:w="48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rPr>
              <w:t>26(a)</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48,703</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48,703</w:t>
            </w:r>
          </w:p>
        </w:tc>
      </w:tr>
      <w:tr>
        <w:trPr>
          <w:trHeight w:val="189"/>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Registration of vested restricted</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3"/>
        </w:trPr>
        <w:tc>
          <w:tcPr>
            <w:tcW w:w="2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share units</w:t>
            </w:r>
          </w:p>
        </w:tc>
        <w:tc>
          <w:tcPr>
            <w:tcW w:w="4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rPr>
              <w:t>28(b)</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115,042</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(115,043)</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and cancellation of</w:t>
            </w: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16"/>
        </w:trPr>
        <w:tc>
          <w:tcPr>
            <w:tcW w:w="2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ordinary shares</w:t>
            </w:r>
          </w:p>
        </w:tc>
        <w:tc>
          <w:tcPr>
            <w:tcW w:w="4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rPr>
              <w:t>28(b)</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(116,357)</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(116,357)</w:t>
            </w:r>
          </w:p>
        </w:tc>
      </w:tr>
      <w:tr>
        <w:trPr>
          <w:trHeight w:val="207"/>
        </w:trPr>
        <w:tc>
          <w:tcPr>
            <w:tcW w:w="2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39,880</w:t>
            </w:r>
          </w:p>
        </w:tc>
        <w:tc>
          <w:tcPr>
            <w:tcW w:w="16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14,900</w:t>
            </w:r>
          </w:p>
        </w:tc>
        <w:tc>
          <w:tcPr>
            <w:tcW w:w="14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48,703</w:t>
            </w:r>
          </w:p>
        </w:tc>
        <w:tc>
          <w:tcPr>
            <w:tcW w:w="12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103,486</w:t>
            </w:r>
          </w:p>
        </w:tc>
        <w:tc>
          <w:tcPr>
            <w:tcW w:w="120" w:type="dxa"/>
            <w:vAlign w:val="bottom"/>
          </w:tcPr>
          <w:p>
            <w:pPr>
              <w:spacing w:after="0"/>
              <w:rPr>
                <w:sz w:val="17"/>
                <w:szCs w:val="17"/>
                <w:color w:val="auto"/>
              </w:rPr>
            </w:pPr>
          </w:p>
        </w:tc>
      </w:tr>
      <w:tr>
        <w:trPr>
          <w:trHeight w:val="20"/>
        </w:trPr>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December 31,</w:t>
            </w: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18"/>
        </w:trPr>
        <w:tc>
          <w:tcPr>
            <w:tcW w:w="2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2020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7</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4</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987,440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314,260</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(4,458)</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12,379</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416,513</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(2,128,049)</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(401,893)</w:t>
            </w:r>
          </w:p>
        </w:tc>
      </w:tr>
      <w:tr>
        <w:trPr>
          <w:trHeight w:val="20"/>
        </w:trPr>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40"/>
          </w:cols>
          <w:pgMar w:left="320" w:top="455" w:right="43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 for the year ended December 31, 2021</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(Expressed in thousands of RMB)</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i w:val="1"/>
                <w:iCs w:val="1"/>
                <w:color w:val="auto"/>
              </w:rPr>
              <w:t>Series</w:t>
            </w: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i w:val="1"/>
                <w:iCs w:val="1"/>
                <w:color w:val="auto"/>
                <w:w w:val="94"/>
              </w:rPr>
              <w:t>Series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i w:val="1"/>
                <w:iCs w:val="1"/>
                <w:color w:val="auto"/>
              </w:rPr>
              <w:t>Seed-1</w:t>
            </w:r>
          </w:p>
        </w:tc>
        <w:tc>
          <w:tcPr>
            <w:tcW w:w="7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i w:val="1"/>
                <w:iCs w:val="1"/>
                <w:color w:val="auto"/>
                <w:w w:val="95"/>
              </w:rPr>
              <w:t>Seed-2</w:t>
            </w:r>
          </w:p>
        </w:tc>
        <w:tc>
          <w:tcPr>
            <w:tcW w:w="7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i w:val="1"/>
                <w:iCs w:val="1"/>
                <w:color w:val="auto"/>
                <w:w w:val="97"/>
              </w:rPr>
              <w:t>Series A</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i w:val="1"/>
                <w:iCs w:val="1"/>
                <w:color w:val="auto"/>
                <w:w w:val="97"/>
              </w:rPr>
              <w:t>Convertible</w:t>
            </w:r>
          </w:p>
        </w:tc>
        <w:tc>
          <w:tcPr>
            <w:tcW w:w="7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i w:val="1"/>
                <w:iCs w:val="1"/>
                <w:color w:val="auto"/>
                <w:w w:val="94"/>
              </w:rPr>
              <w:t>Convertible</w:t>
            </w:r>
          </w:p>
        </w:tc>
        <w:tc>
          <w:tcPr>
            <w:tcW w:w="72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i w:val="1"/>
                <w:iCs w:val="1"/>
                <w:color w:val="auto"/>
                <w:w w:val="97"/>
              </w:rPr>
              <w:t>Convertible</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i w:val="1"/>
                <w:iCs w:val="1"/>
                <w:color w:val="auto"/>
                <w:w w:val="95"/>
              </w:rPr>
              <w:t>Share-based</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i w:val="1"/>
                <w:iCs w:val="1"/>
                <w:color w:val="auto"/>
                <w:w w:val="94"/>
              </w:rPr>
              <w:t>Total</w:t>
            </w: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i w:val="1"/>
                <w:iCs w:val="1"/>
                <w:color w:val="auto"/>
              </w:rPr>
              <w:t>Ordinary</w:t>
            </w:r>
          </w:p>
        </w:tc>
        <w:tc>
          <w:tcPr>
            <w:tcW w:w="7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i w:val="1"/>
                <w:iCs w:val="1"/>
                <w:color w:val="auto"/>
              </w:rPr>
              <w:t>Preferred</w:t>
            </w:r>
          </w:p>
        </w:tc>
        <w:tc>
          <w:tcPr>
            <w:tcW w:w="7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i w:val="1"/>
                <w:iCs w:val="1"/>
                <w:color w:val="auto"/>
              </w:rPr>
              <w:t>Preferred</w:t>
            </w:r>
          </w:p>
        </w:tc>
        <w:tc>
          <w:tcPr>
            <w:tcW w:w="7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i w:val="1"/>
                <w:iCs w:val="1"/>
                <w:color w:val="auto"/>
              </w:rPr>
              <w:t>Preferred</w:t>
            </w:r>
          </w:p>
        </w:tc>
        <w:tc>
          <w:tcPr>
            <w:tcW w:w="8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i w:val="1"/>
                <w:iCs w:val="1"/>
                <w:color w:val="auto"/>
                <w:w w:val="98"/>
              </w:rPr>
              <w:t>Share</w:t>
            </w:r>
          </w:p>
        </w:tc>
        <w:tc>
          <w:tcPr>
            <w:tcW w:w="7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i w:val="1"/>
                <w:iCs w:val="1"/>
                <w:color w:val="auto"/>
                <w:w w:val="96"/>
              </w:rPr>
              <w:t>compensation</w:t>
            </w:r>
          </w:p>
        </w:tc>
        <w:tc>
          <w:tcPr>
            <w:tcW w:w="7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i w:val="1"/>
                <w:iCs w:val="1"/>
                <w:color w:val="auto"/>
                <w:w w:val="95"/>
              </w:rPr>
              <w:t>Translation</w:t>
            </w:r>
          </w:p>
        </w:tc>
        <w:tc>
          <w:tcPr>
            <w:tcW w:w="740" w:type="dxa"/>
            <w:vAlign w:val="bottom"/>
            <w:gridSpan w:val="2"/>
          </w:tcPr>
          <w:p>
            <w:pPr>
              <w:jc w:val="center"/>
              <w:ind w:right="88"/>
              <w:spacing w:after="0" w:line="135" w:lineRule="exact"/>
              <w:rPr>
                <w:sz w:val="20"/>
                <w:szCs w:val="20"/>
                <w:color w:val="auto"/>
              </w:rPr>
            </w:pPr>
            <w:r>
              <w:rPr>
                <w:rFonts w:ascii="Times New Roman" w:cs="Times New Roman" w:eastAsia="Times New Roman" w:hAnsi="Times New Roman"/>
                <w:sz w:val="13"/>
                <w:szCs w:val="13"/>
                <w:i w:val="1"/>
                <w:iCs w:val="1"/>
                <w:color w:val="auto"/>
                <w:w w:val="98"/>
              </w:rPr>
              <w:t>Fair value</w:t>
            </w:r>
          </w:p>
        </w:tc>
        <w:tc>
          <w:tcPr>
            <w:tcW w:w="6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i w:val="1"/>
                <w:iCs w:val="1"/>
                <w:color w:val="auto"/>
                <w:w w:val="98"/>
              </w:rPr>
              <w:t>Other</w:t>
            </w:r>
          </w:p>
        </w:tc>
        <w:tc>
          <w:tcPr>
            <w:tcW w:w="8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i w:val="1"/>
                <w:iCs w:val="1"/>
                <w:color w:val="auto"/>
                <w:w w:val="94"/>
              </w:rPr>
              <w:t>Accumulated</w:t>
            </w:r>
          </w:p>
        </w:tc>
        <w:tc>
          <w:tcPr>
            <w:tcW w:w="780" w:type="dxa"/>
            <w:vAlign w:val="bottom"/>
            <w:gridSpan w:val="2"/>
          </w:tcPr>
          <w:p>
            <w:pPr>
              <w:jc w:val="center"/>
              <w:ind w:right="99"/>
              <w:spacing w:after="0" w:line="135" w:lineRule="exact"/>
              <w:rPr>
                <w:sz w:val="20"/>
                <w:szCs w:val="20"/>
                <w:color w:val="auto"/>
              </w:rPr>
            </w:pPr>
            <w:r>
              <w:rPr>
                <w:rFonts w:ascii="Times New Roman" w:cs="Times New Roman" w:eastAsia="Times New Roman" w:hAnsi="Times New Roman"/>
                <w:sz w:val="13"/>
                <w:szCs w:val="13"/>
                <w:i w:val="1"/>
                <w:iCs w:val="1"/>
                <w:color w:val="auto"/>
                <w:w w:val="93"/>
              </w:rPr>
              <w:t>Treasury</w:t>
            </w:r>
          </w:p>
        </w:tc>
        <w:tc>
          <w:tcPr>
            <w:tcW w:w="8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i w:val="1"/>
                <w:iCs w:val="1"/>
                <w:color w:val="auto"/>
                <w:w w:val="95"/>
              </w:rPr>
              <w:t>equity/</w:t>
            </w:r>
          </w:p>
        </w:tc>
        <w:tc>
          <w:tcPr>
            <w:tcW w:w="0" w:type="dxa"/>
            <w:vAlign w:val="bottom"/>
          </w:tcPr>
          <w:p>
            <w:pPr>
              <w:spacing w:after="0"/>
              <w:rPr>
                <w:sz w:val="1"/>
                <w:szCs w:val="1"/>
                <w:color w:val="auto"/>
              </w:rPr>
            </w:pPr>
          </w:p>
        </w:tc>
      </w:tr>
      <w:tr>
        <w:trPr>
          <w:trHeight w:val="155"/>
        </w:trPr>
        <w:tc>
          <w:tcPr>
            <w:tcW w:w="1500" w:type="dxa"/>
            <w:vAlign w:val="bottom"/>
          </w:tcPr>
          <w:p>
            <w:pPr>
              <w:spacing w:after="0"/>
              <w:rPr>
                <w:sz w:val="13"/>
                <w:szCs w:val="13"/>
                <w:color w:val="auto"/>
              </w:rPr>
            </w:pP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3"/>
                <w:szCs w:val="13"/>
                <w:i w:val="1"/>
                <w:iCs w:val="1"/>
                <w:color w:val="auto"/>
              </w:rPr>
              <w:t>Note</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i w:val="1"/>
                <w:iCs w:val="1"/>
                <w:color w:val="auto"/>
              </w:rPr>
              <w:t>shares</w:t>
            </w: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i w:val="1"/>
                <w:iCs w:val="1"/>
                <w:color w:val="auto"/>
                <w:w w:val="90"/>
              </w:rPr>
              <w:t>Shares</w:t>
            </w: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i w:val="1"/>
                <w:iCs w:val="1"/>
                <w:color w:val="auto"/>
                <w:w w:val="95"/>
              </w:rPr>
              <w:t>Shares</w:t>
            </w: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i w:val="1"/>
                <w:iCs w:val="1"/>
                <w:color w:val="auto"/>
                <w:w w:val="95"/>
              </w:rPr>
              <w:t>Shares</w:t>
            </w: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i w:val="1"/>
                <w:iCs w:val="1"/>
                <w:color w:val="auto"/>
                <w:w w:val="95"/>
              </w:rPr>
              <w:t>premium</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i w:val="1"/>
                <w:iCs w:val="1"/>
                <w:color w:val="auto"/>
                <w:w w:val="93"/>
              </w:rPr>
              <w:t>reserve</w:t>
            </w: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i w:val="1"/>
                <w:iCs w:val="1"/>
                <w:color w:val="auto"/>
                <w:w w:val="93"/>
              </w:rPr>
              <w:t>reserve</w:t>
            </w:r>
          </w:p>
        </w:tc>
        <w:tc>
          <w:tcPr>
            <w:tcW w:w="740" w:type="dxa"/>
            <w:vAlign w:val="bottom"/>
            <w:gridSpan w:val="2"/>
          </w:tcPr>
          <w:p>
            <w:pPr>
              <w:jc w:val="center"/>
              <w:ind w:right="88"/>
              <w:spacing w:after="0"/>
              <w:rPr>
                <w:sz w:val="20"/>
                <w:szCs w:val="20"/>
                <w:color w:val="auto"/>
              </w:rPr>
            </w:pPr>
            <w:r>
              <w:rPr>
                <w:rFonts w:ascii="Times New Roman" w:cs="Times New Roman" w:eastAsia="Times New Roman" w:hAnsi="Times New Roman"/>
                <w:sz w:val="13"/>
                <w:szCs w:val="13"/>
                <w:i w:val="1"/>
                <w:iCs w:val="1"/>
                <w:color w:val="auto"/>
                <w:w w:val="99"/>
              </w:rPr>
              <w:t>reserve</w:t>
            </w: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i w:val="1"/>
                <w:iCs w:val="1"/>
                <w:color w:val="auto"/>
                <w:w w:val="96"/>
              </w:rPr>
              <w:t>reserves</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i w:val="1"/>
                <w:iCs w:val="1"/>
                <w:color w:val="auto"/>
              </w:rPr>
              <w:t>losses</w:t>
            </w:r>
          </w:p>
        </w:tc>
        <w:tc>
          <w:tcPr>
            <w:tcW w:w="780" w:type="dxa"/>
            <w:vAlign w:val="bottom"/>
            <w:gridSpan w:val="2"/>
          </w:tcPr>
          <w:p>
            <w:pPr>
              <w:jc w:val="center"/>
              <w:ind w:right="99"/>
              <w:spacing w:after="0"/>
              <w:rPr>
                <w:sz w:val="20"/>
                <w:szCs w:val="20"/>
                <w:color w:val="auto"/>
              </w:rPr>
            </w:pPr>
            <w:r>
              <w:rPr>
                <w:rFonts w:ascii="Times New Roman" w:cs="Times New Roman" w:eastAsia="Times New Roman" w:hAnsi="Times New Roman"/>
                <w:sz w:val="13"/>
                <w:szCs w:val="13"/>
                <w:i w:val="1"/>
                <w:iCs w:val="1"/>
                <w:color w:val="auto"/>
                <w:w w:val="94"/>
              </w:rPr>
              <w:t>shares</w:t>
            </w: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i w:val="1"/>
                <w:iCs w:val="1"/>
                <w:color w:val="auto"/>
                <w:w w:val="97"/>
              </w:rPr>
              <w:t>(deficit)</w:t>
            </w:r>
          </w:p>
        </w:tc>
        <w:tc>
          <w:tcPr>
            <w:tcW w:w="0" w:type="dxa"/>
            <w:vAlign w:val="bottom"/>
          </w:tcPr>
          <w:p>
            <w:pPr>
              <w:spacing w:after="0"/>
              <w:rPr>
                <w:sz w:val="1"/>
                <w:szCs w:val="1"/>
                <w:color w:val="auto"/>
              </w:rPr>
            </w:pPr>
          </w:p>
        </w:tc>
      </w:tr>
      <w:tr>
        <w:trPr>
          <w:trHeight w:val="110"/>
        </w:trPr>
        <w:tc>
          <w:tcPr>
            <w:tcW w:w="1500" w:type="dxa"/>
            <w:vAlign w:val="bottom"/>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Borders>
              <w:top w:val="single" w:sz="8" w:color="auto"/>
            </w:tcBorders>
          </w:tcPr>
          <w:p>
            <w:pPr>
              <w:jc w:val="center"/>
              <w:spacing w:after="0" w:line="110" w:lineRule="exact"/>
              <w:rPr>
                <w:sz w:val="20"/>
                <w:szCs w:val="20"/>
                <w:color w:val="auto"/>
              </w:rPr>
            </w:pPr>
            <w:r>
              <w:rPr>
                <w:rFonts w:ascii="Times New Roman" w:cs="Times New Roman" w:eastAsia="Times New Roman" w:hAnsi="Times New Roman"/>
                <w:sz w:val="12"/>
                <w:szCs w:val="12"/>
                <w:color w:val="auto"/>
              </w:rPr>
              <w:t>(Note 27(b)</w:t>
            </w:r>
          </w:p>
        </w:tc>
        <w:tc>
          <w:tcPr>
            <w:tcW w:w="80" w:type="dxa"/>
            <w:vAlign w:val="bottom"/>
          </w:tcPr>
          <w:p>
            <w:pPr>
              <w:spacing w:after="0"/>
              <w:rPr>
                <w:sz w:val="9"/>
                <w:szCs w:val="9"/>
                <w:color w:val="auto"/>
              </w:rPr>
            </w:pPr>
          </w:p>
        </w:tc>
        <w:tc>
          <w:tcPr>
            <w:tcW w:w="600" w:type="dxa"/>
            <w:vAlign w:val="bottom"/>
            <w:tcBorders>
              <w:top w:val="single" w:sz="8" w:color="auto"/>
            </w:tcBorders>
          </w:tcPr>
          <w:p>
            <w:pPr>
              <w:jc w:val="center"/>
              <w:spacing w:after="0" w:line="110" w:lineRule="exact"/>
              <w:rPr>
                <w:sz w:val="20"/>
                <w:szCs w:val="20"/>
                <w:color w:val="auto"/>
              </w:rPr>
            </w:pPr>
            <w:r>
              <w:rPr>
                <w:rFonts w:ascii="Times New Roman" w:cs="Times New Roman" w:eastAsia="Times New Roman" w:hAnsi="Times New Roman"/>
                <w:sz w:val="12"/>
                <w:szCs w:val="12"/>
                <w:color w:val="auto"/>
              </w:rPr>
              <w:t>(Note 27(b)</w:t>
            </w:r>
          </w:p>
        </w:tc>
        <w:tc>
          <w:tcPr>
            <w:tcW w:w="160" w:type="dxa"/>
            <w:vAlign w:val="bottom"/>
          </w:tcPr>
          <w:p>
            <w:pPr>
              <w:spacing w:after="0"/>
              <w:rPr>
                <w:sz w:val="9"/>
                <w:szCs w:val="9"/>
                <w:color w:val="auto"/>
              </w:rPr>
            </w:pPr>
          </w:p>
        </w:tc>
        <w:tc>
          <w:tcPr>
            <w:tcW w:w="580" w:type="dxa"/>
            <w:vAlign w:val="bottom"/>
            <w:tcBorders>
              <w:top w:val="single" w:sz="8" w:color="auto"/>
            </w:tcBorders>
          </w:tcPr>
          <w:p>
            <w:pPr>
              <w:jc w:val="center"/>
              <w:spacing w:after="0" w:line="110" w:lineRule="exact"/>
              <w:rPr>
                <w:sz w:val="20"/>
                <w:szCs w:val="20"/>
                <w:color w:val="auto"/>
              </w:rPr>
            </w:pPr>
            <w:r>
              <w:rPr>
                <w:rFonts w:ascii="Times New Roman" w:cs="Times New Roman" w:eastAsia="Times New Roman" w:hAnsi="Times New Roman"/>
                <w:sz w:val="12"/>
                <w:szCs w:val="12"/>
                <w:color w:val="auto"/>
              </w:rPr>
              <w:t>(Note 27(b)</w:t>
            </w:r>
          </w:p>
        </w:tc>
        <w:tc>
          <w:tcPr>
            <w:tcW w:w="160" w:type="dxa"/>
            <w:vAlign w:val="bottom"/>
          </w:tcPr>
          <w:p>
            <w:pPr>
              <w:spacing w:after="0"/>
              <w:rPr>
                <w:sz w:val="9"/>
                <w:szCs w:val="9"/>
                <w:color w:val="auto"/>
              </w:rPr>
            </w:pPr>
          </w:p>
        </w:tc>
        <w:tc>
          <w:tcPr>
            <w:tcW w:w="580" w:type="dxa"/>
            <w:vAlign w:val="bottom"/>
            <w:tcBorders>
              <w:top w:val="single" w:sz="8" w:color="auto"/>
            </w:tcBorders>
          </w:tcPr>
          <w:p>
            <w:pPr>
              <w:jc w:val="center"/>
              <w:spacing w:after="0" w:line="110" w:lineRule="exact"/>
              <w:rPr>
                <w:sz w:val="20"/>
                <w:szCs w:val="20"/>
                <w:color w:val="auto"/>
              </w:rPr>
            </w:pPr>
            <w:r>
              <w:rPr>
                <w:rFonts w:ascii="Times New Roman" w:cs="Times New Roman" w:eastAsia="Times New Roman" w:hAnsi="Times New Roman"/>
                <w:sz w:val="12"/>
                <w:szCs w:val="12"/>
                <w:color w:val="auto"/>
              </w:rPr>
              <w:t>(Note 27(b)</w:t>
            </w:r>
          </w:p>
        </w:tc>
        <w:tc>
          <w:tcPr>
            <w:tcW w:w="10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w w:val="92"/>
              </w:rPr>
              <w:t>(Note 27(a))</w:t>
            </w:r>
          </w:p>
        </w:tc>
        <w:tc>
          <w:tcPr>
            <w:tcW w:w="7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color w:val="auto"/>
                <w:w w:val="98"/>
              </w:rPr>
              <w:t>(Note 27(a))</w:t>
            </w:r>
          </w:p>
        </w:tc>
        <w:tc>
          <w:tcPr>
            <w:tcW w:w="7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color w:val="auto"/>
                <w:w w:val="95"/>
              </w:rPr>
              <w:t>(Note 27(a))</w:t>
            </w:r>
          </w:p>
        </w:tc>
        <w:tc>
          <w:tcPr>
            <w:tcW w:w="7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w w:val="95"/>
              </w:rPr>
              <w:t>(Note 27(a))</w:t>
            </w:r>
          </w:p>
        </w:tc>
        <w:tc>
          <w:tcPr>
            <w:tcW w:w="8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color w:val="auto"/>
                <w:w w:val="95"/>
              </w:rPr>
              <w:t>(Note 27(a))</w:t>
            </w:r>
          </w:p>
        </w:tc>
        <w:tc>
          <w:tcPr>
            <w:tcW w:w="7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color w:val="auto"/>
                <w:w w:val="96"/>
              </w:rPr>
              <w:t>(i))</w:t>
            </w:r>
          </w:p>
        </w:tc>
        <w:tc>
          <w:tcPr>
            <w:tcW w:w="76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color w:val="auto"/>
                <w:w w:val="98"/>
              </w:rPr>
              <w:t>(ii))</w:t>
            </w:r>
          </w:p>
        </w:tc>
        <w:tc>
          <w:tcPr>
            <w:tcW w:w="740" w:type="dxa"/>
            <w:vAlign w:val="bottom"/>
            <w:gridSpan w:val="2"/>
          </w:tcPr>
          <w:p>
            <w:pPr>
              <w:jc w:val="center"/>
              <w:ind w:right="88"/>
              <w:spacing w:after="0" w:line="135" w:lineRule="exact"/>
              <w:rPr>
                <w:sz w:val="20"/>
                <w:szCs w:val="20"/>
                <w:color w:val="auto"/>
              </w:rPr>
            </w:pPr>
            <w:r>
              <w:rPr>
                <w:rFonts w:ascii="Times New Roman" w:cs="Times New Roman" w:eastAsia="Times New Roman" w:hAnsi="Times New Roman"/>
                <w:sz w:val="13"/>
                <w:szCs w:val="13"/>
                <w:color w:val="auto"/>
                <w:w w:val="92"/>
              </w:rPr>
              <w:t>(iii))</w:t>
            </w:r>
          </w:p>
        </w:tc>
        <w:tc>
          <w:tcPr>
            <w:tcW w:w="6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color w:val="auto"/>
                <w:w w:val="95"/>
              </w:rPr>
              <w:t>(iv))</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center"/>
              <w:ind w:right="79"/>
              <w:spacing w:after="0" w:line="135" w:lineRule="exact"/>
              <w:rPr>
                <w:sz w:val="20"/>
                <w:szCs w:val="20"/>
                <w:color w:val="auto"/>
              </w:rPr>
            </w:pPr>
            <w:r>
              <w:rPr>
                <w:rFonts w:ascii="Times New Roman" w:cs="Times New Roman" w:eastAsia="Times New Roman" w:hAnsi="Times New Roman"/>
                <w:sz w:val="13"/>
                <w:szCs w:val="13"/>
                <w:color w:val="auto"/>
                <w:w w:val="95"/>
              </w:rPr>
              <w:t>(Note 27(c))</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RMB’000</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RMB’000</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RMB’000</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RMB’000</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RMB’000</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8"/>
              </w:rPr>
              <w:t>RMB’000</w:t>
            </w: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w w:val="94"/>
              </w:rPr>
              <w:t>RMB’000</w:t>
            </w:r>
          </w:p>
        </w:tc>
        <w:tc>
          <w:tcPr>
            <w:tcW w:w="740" w:type="dxa"/>
            <w:vAlign w:val="bottom"/>
            <w:gridSpan w:val="2"/>
          </w:tcPr>
          <w:p>
            <w:pPr>
              <w:jc w:val="center"/>
              <w:ind w:right="88"/>
              <w:spacing w:after="0"/>
              <w:rPr>
                <w:sz w:val="20"/>
                <w:szCs w:val="20"/>
                <w:color w:val="auto"/>
              </w:rPr>
            </w:pPr>
            <w:r>
              <w:rPr>
                <w:rFonts w:ascii="Times New Roman" w:cs="Times New Roman" w:eastAsia="Times New Roman" w:hAnsi="Times New Roman"/>
                <w:sz w:val="13"/>
                <w:szCs w:val="13"/>
                <w:color w:val="auto"/>
                <w:w w:val="94"/>
              </w:rPr>
              <w:t>RMB’000</w:t>
            </w: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4"/>
              </w:rPr>
              <w:t>RMB’000</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RMB’000</w:t>
            </w:r>
          </w:p>
        </w:tc>
        <w:tc>
          <w:tcPr>
            <w:tcW w:w="780" w:type="dxa"/>
            <w:vAlign w:val="bottom"/>
            <w:gridSpan w:val="2"/>
          </w:tcPr>
          <w:p>
            <w:pPr>
              <w:jc w:val="right"/>
              <w:ind w:right="159"/>
              <w:spacing w:after="0"/>
              <w:rPr>
                <w:sz w:val="20"/>
                <w:szCs w:val="20"/>
                <w:color w:val="auto"/>
              </w:rPr>
            </w:pPr>
            <w:r>
              <w:rPr>
                <w:rFonts w:ascii="Times New Roman" w:cs="Times New Roman" w:eastAsia="Times New Roman" w:hAnsi="Times New Roman"/>
                <w:sz w:val="13"/>
                <w:szCs w:val="13"/>
                <w:color w:val="auto"/>
              </w:rPr>
              <w:t>RMB’000</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4"/>
              </w:rPr>
              <w:t>RMB’000</w:t>
            </w:r>
          </w:p>
        </w:tc>
        <w:tc>
          <w:tcPr>
            <w:tcW w:w="0" w:type="dxa"/>
            <w:vAlign w:val="bottom"/>
          </w:tcPr>
          <w:p>
            <w:pPr>
              <w:spacing w:after="0"/>
              <w:rPr>
                <w:sz w:val="1"/>
                <w:szCs w:val="1"/>
                <w:color w:val="auto"/>
              </w:rPr>
            </w:pPr>
          </w:p>
        </w:tc>
      </w:tr>
      <w:tr>
        <w:trPr>
          <w:trHeight w:val="124"/>
        </w:trPr>
        <w:tc>
          <w:tcPr>
            <w:tcW w:w="150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Balance as of</w:t>
            </w: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7</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5</w:t>
            </w: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4</w:t>
            </w: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6</w:t>
            </w: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987,440</w:t>
            </w:r>
          </w:p>
        </w:tc>
        <w:tc>
          <w:tcPr>
            <w:tcW w:w="7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314,260</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(4,458)</w:t>
            </w:r>
          </w:p>
        </w:tc>
        <w:tc>
          <w:tcPr>
            <w:tcW w:w="740" w:type="dxa"/>
            <w:vAlign w:val="bottom"/>
            <w:gridSpan w:val="2"/>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12,379</w:t>
            </w: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416,513</w:t>
            </w: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(2,128,049)</w:t>
            </w:r>
          </w:p>
        </w:tc>
        <w:tc>
          <w:tcPr>
            <w:tcW w:w="780" w:type="dxa"/>
            <w:vAlign w:val="bottom"/>
            <w:gridSpan w:val="2"/>
            <w:vMerge w:val="restart"/>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(401,893)</w:t>
            </w:r>
          </w:p>
        </w:tc>
        <w:tc>
          <w:tcPr>
            <w:tcW w:w="0" w:type="dxa"/>
            <w:vAlign w:val="bottom"/>
          </w:tcPr>
          <w:p>
            <w:pPr>
              <w:spacing w:after="0"/>
              <w:rPr>
                <w:sz w:val="1"/>
                <w:szCs w:val="1"/>
                <w:color w:val="auto"/>
              </w:rPr>
            </w:pPr>
          </w:p>
        </w:tc>
      </w:tr>
      <w:tr>
        <w:trPr>
          <w:trHeight w:val="173"/>
        </w:trPr>
        <w:tc>
          <w:tcPr>
            <w:tcW w:w="1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January 1, 2021</w:t>
            </w: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500" w:type="dxa"/>
            <w:vAlign w:val="bottom"/>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Changes in equity for</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5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5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Loss for the year</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(1,007,251)</w:t>
            </w:r>
          </w:p>
        </w:tc>
        <w:tc>
          <w:tcPr>
            <w:tcW w:w="78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(1,007,251)</w:t>
            </w:r>
          </w:p>
        </w:tc>
        <w:tc>
          <w:tcPr>
            <w:tcW w:w="0" w:type="dxa"/>
            <w:vAlign w:val="bottom"/>
          </w:tcPr>
          <w:p>
            <w:pPr>
              <w:spacing w:after="0"/>
              <w:rPr>
                <w:sz w:val="1"/>
                <w:szCs w:val="1"/>
                <w:color w:val="auto"/>
              </w:rPr>
            </w:pPr>
          </w:p>
        </w:tc>
      </w:tr>
      <w:tr>
        <w:trPr>
          <w:trHeight w:val="126"/>
        </w:trPr>
        <w:tc>
          <w:tcPr>
            <w:tcW w:w="15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Fair value change of</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5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equity investment</w:t>
            </w:r>
          </w:p>
        </w:tc>
        <w:tc>
          <w:tcPr>
            <w:tcW w:w="4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30(e)</w:t>
            </w: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(8,213)</w:t>
            </w: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(8,213)</w:t>
            </w:r>
          </w:p>
        </w:tc>
        <w:tc>
          <w:tcPr>
            <w:tcW w:w="0" w:type="dxa"/>
            <w:vAlign w:val="bottom"/>
          </w:tcPr>
          <w:p>
            <w:pPr>
              <w:spacing w:after="0"/>
              <w:rPr>
                <w:sz w:val="1"/>
                <w:szCs w:val="1"/>
                <w:color w:val="auto"/>
              </w:rPr>
            </w:pPr>
          </w:p>
        </w:tc>
      </w:tr>
      <w:tr>
        <w:trPr>
          <w:trHeight w:val="171"/>
        </w:trPr>
        <w:tc>
          <w:tcPr>
            <w:tcW w:w="1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designated at FVOCI</w:t>
            </w:r>
          </w:p>
        </w:tc>
        <w:tc>
          <w:tcPr>
            <w:tcW w:w="46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5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Foreign currency</w:t>
            </w: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5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translation adjustment,</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spacing w:after="0"/>
              <w:rPr>
                <w:sz w:val="12"/>
                <w:szCs w:val="12"/>
                <w:color w:val="auto"/>
              </w:rPr>
            </w:pPr>
          </w:p>
        </w:tc>
        <w:tc>
          <w:tcPr>
            <w:tcW w:w="64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spacing w:after="0"/>
              <w:rPr>
                <w:sz w:val="12"/>
                <w:szCs w:val="12"/>
                <w:color w:val="auto"/>
              </w:rPr>
            </w:pPr>
          </w:p>
        </w:tc>
        <w:tc>
          <w:tcPr>
            <w:tcW w:w="6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shd w:val="clear" w:color="auto" w:fill="CCEEFF"/>
          </w:tcPr>
          <w:p>
            <w:pPr>
              <w:spacing w:after="0"/>
              <w:rPr>
                <w:sz w:val="12"/>
                <w:szCs w:val="12"/>
                <w:color w:val="auto"/>
              </w:rPr>
            </w:pPr>
          </w:p>
        </w:tc>
        <w:tc>
          <w:tcPr>
            <w:tcW w:w="700" w:type="dxa"/>
            <w:vAlign w:val="bottom"/>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20,709</w:t>
            </w:r>
          </w:p>
        </w:tc>
        <w:tc>
          <w:tcPr>
            <w:tcW w:w="740" w:type="dxa"/>
            <w:vAlign w:val="bottom"/>
            <w:gridSpan w:val="2"/>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20,709</w:t>
            </w:r>
          </w:p>
        </w:tc>
        <w:tc>
          <w:tcPr>
            <w:tcW w:w="0" w:type="dxa"/>
            <w:vAlign w:val="bottom"/>
          </w:tcPr>
          <w:p>
            <w:pPr>
              <w:spacing w:after="0"/>
              <w:rPr>
                <w:sz w:val="1"/>
                <w:szCs w:val="1"/>
                <w:color w:val="auto"/>
              </w:rPr>
            </w:pPr>
          </w:p>
        </w:tc>
      </w:tr>
      <w:tr>
        <w:trPr>
          <w:trHeight w:val="171"/>
        </w:trPr>
        <w:tc>
          <w:tcPr>
            <w:tcW w:w="1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of nil income taxes</w:t>
            </w: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500" w:type="dxa"/>
            <w:vAlign w:val="bottom"/>
            <w:vMerge w:val="restart"/>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Total comprehensive</w:t>
            </w: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150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vMerge w:val="restart"/>
          </w:tcPr>
          <w:p>
            <w:pPr>
              <w:spacing w:after="0"/>
              <w:rPr>
                <w:sz w:val="11"/>
                <w:szCs w:val="11"/>
                <w:color w:val="auto"/>
              </w:rPr>
            </w:pPr>
          </w:p>
        </w:tc>
        <w:tc>
          <w:tcPr>
            <w:tcW w:w="64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vMerge w:val="restart"/>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vMerge w:val="restart"/>
          </w:tcPr>
          <w:p>
            <w:pPr>
              <w:spacing w:after="0"/>
              <w:rPr>
                <w:sz w:val="11"/>
                <w:szCs w:val="11"/>
                <w:color w:val="auto"/>
              </w:rPr>
            </w:pPr>
          </w:p>
        </w:tc>
        <w:tc>
          <w:tcPr>
            <w:tcW w:w="64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vMerge w:val="restart"/>
          </w:tcPr>
          <w:p>
            <w:pPr>
              <w:spacing w:after="0"/>
              <w:rPr>
                <w:sz w:val="11"/>
                <w:szCs w:val="11"/>
                <w:color w:val="auto"/>
              </w:rPr>
            </w:pPr>
          </w:p>
        </w:tc>
        <w:tc>
          <w:tcPr>
            <w:tcW w:w="70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tcPr>
          <w:p>
            <w:pPr>
              <w:spacing w:after="0"/>
              <w:rPr>
                <w:sz w:val="11"/>
                <w:szCs w:val="11"/>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20,709</w:t>
            </w:r>
          </w:p>
        </w:tc>
        <w:tc>
          <w:tcPr>
            <w:tcW w:w="74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(8,213)</w:t>
            </w: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(1,007,251)</w:t>
            </w:r>
          </w:p>
        </w:tc>
        <w:tc>
          <w:tcPr>
            <w:tcW w:w="780" w:type="dxa"/>
            <w:vAlign w:val="bottom"/>
            <w:gridSpan w:val="2"/>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(994,755)</w:t>
            </w:r>
          </w:p>
        </w:tc>
        <w:tc>
          <w:tcPr>
            <w:tcW w:w="0" w:type="dxa"/>
            <w:vAlign w:val="bottom"/>
          </w:tcPr>
          <w:p>
            <w:pPr>
              <w:spacing w:after="0"/>
              <w:rPr>
                <w:sz w:val="1"/>
                <w:szCs w:val="1"/>
                <w:color w:val="auto"/>
              </w:rPr>
            </w:pPr>
          </w:p>
        </w:tc>
      </w:tr>
      <w:tr>
        <w:trPr>
          <w:trHeight w:val="180"/>
        </w:trPr>
        <w:tc>
          <w:tcPr>
            <w:tcW w:w="15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5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Share-based</w:t>
            </w: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5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compensation</w:t>
            </w:r>
          </w:p>
        </w:tc>
        <w:tc>
          <w:tcPr>
            <w:tcW w:w="3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55,959</w:t>
            </w:r>
          </w:p>
        </w:tc>
        <w:tc>
          <w:tcPr>
            <w:tcW w:w="7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55,959</w:t>
            </w:r>
          </w:p>
        </w:tc>
        <w:tc>
          <w:tcPr>
            <w:tcW w:w="0" w:type="dxa"/>
            <w:vAlign w:val="bottom"/>
          </w:tcPr>
          <w:p>
            <w:pPr>
              <w:spacing w:after="0"/>
              <w:rPr>
                <w:sz w:val="1"/>
                <w:szCs w:val="1"/>
                <w:color w:val="auto"/>
              </w:rPr>
            </w:pPr>
          </w:p>
        </w:tc>
      </w:tr>
      <w:tr>
        <w:trPr>
          <w:trHeight w:val="171"/>
        </w:trPr>
        <w:tc>
          <w:tcPr>
            <w:tcW w:w="1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expenses</w:t>
            </w:r>
          </w:p>
        </w:tc>
        <w:tc>
          <w:tcPr>
            <w:tcW w:w="3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5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Conversion of</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5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convertible notes to</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convertible</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redeemable preferred</w:t>
            </w:r>
          </w:p>
        </w:tc>
        <w:tc>
          <w:tcPr>
            <w:tcW w:w="4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26(a)</w:t>
            </w: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2,616</w:t>
            </w: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2,616</w:t>
            </w:r>
          </w:p>
        </w:tc>
        <w:tc>
          <w:tcPr>
            <w:tcW w:w="0" w:type="dxa"/>
            <w:vAlign w:val="bottom"/>
          </w:tcPr>
          <w:p>
            <w:pPr>
              <w:spacing w:after="0"/>
              <w:rPr>
                <w:sz w:val="1"/>
                <w:szCs w:val="1"/>
                <w:color w:val="auto"/>
              </w:rPr>
            </w:pPr>
          </w:p>
        </w:tc>
      </w:tr>
      <w:tr>
        <w:trPr>
          <w:trHeight w:val="171"/>
        </w:trPr>
        <w:tc>
          <w:tcPr>
            <w:tcW w:w="1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shares</w:t>
            </w:r>
          </w:p>
        </w:tc>
        <w:tc>
          <w:tcPr>
            <w:tcW w:w="46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5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Exercise of warrants to</w:t>
            </w: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5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subscribe for</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convertible</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redeemable preferred</w:t>
            </w:r>
          </w:p>
        </w:tc>
        <w:tc>
          <w:tcPr>
            <w:tcW w:w="460" w:type="dxa"/>
            <w:vAlign w:val="bottom"/>
            <w:gridSpan w:val="2"/>
            <w:vMerge w:val="restart"/>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rPr>
              <w:t>26(b)</w:t>
            </w: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404,624</w:t>
            </w: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404,624</w:t>
            </w:r>
          </w:p>
        </w:tc>
        <w:tc>
          <w:tcPr>
            <w:tcW w:w="0" w:type="dxa"/>
            <w:vAlign w:val="bottom"/>
          </w:tcPr>
          <w:p>
            <w:pPr>
              <w:spacing w:after="0"/>
              <w:rPr>
                <w:sz w:val="1"/>
                <w:szCs w:val="1"/>
                <w:color w:val="auto"/>
              </w:rPr>
            </w:pPr>
          </w:p>
        </w:tc>
      </w:tr>
      <w:tr>
        <w:trPr>
          <w:trHeight w:val="171"/>
        </w:trPr>
        <w:tc>
          <w:tcPr>
            <w:tcW w:w="1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shares</w:t>
            </w:r>
          </w:p>
        </w:tc>
        <w:tc>
          <w:tcPr>
            <w:tcW w:w="46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5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new ordinary</w:t>
            </w:r>
          </w:p>
        </w:tc>
        <w:tc>
          <w:tcPr>
            <w:tcW w:w="4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27(a)</w:t>
            </w: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45,160</w:t>
            </w:r>
          </w:p>
        </w:tc>
        <w:tc>
          <w:tcPr>
            <w:tcW w:w="7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45,160</w:t>
            </w:r>
          </w:p>
        </w:tc>
        <w:tc>
          <w:tcPr>
            <w:tcW w:w="0" w:type="dxa"/>
            <w:vAlign w:val="bottom"/>
          </w:tcPr>
          <w:p>
            <w:pPr>
              <w:spacing w:after="0"/>
              <w:rPr>
                <w:sz w:val="1"/>
                <w:szCs w:val="1"/>
                <w:color w:val="auto"/>
              </w:rPr>
            </w:pPr>
          </w:p>
        </w:tc>
      </w:tr>
      <w:tr>
        <w:trPr>
          <w:trHeight w:val="171"/>
        </w:trPr>
        <w:tc>
          <w:tcPr>
            <w:tcW w:w="1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shares</w:t>
            </w:r>
          </w:p>
        </w:tc>
        <w:tc>
          <w:tcPr>
            <w:tcW w:w="46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5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new</w:t>
            </w: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5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non-redeemable</w:t>
            </w:r>
          </w:p>
        </w:tc>
        <w:tc>
          <w:tcPr>
            <w:tcW w:w="46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27(a)</w:t>
            </w: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28,750</w:t>
            </w:r>
          </w:p>
        </w:tc>
        <w:tc>
          <w:tcPr>
            <w:tcW w:w="78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28,750</w:t>
            </w:r>
          </w:p>
        </w:tc>
        <w:tc>
          <w:tcPr>
            <w:tcW w:w="0" w:type="dxa"/>
            <w:vAlign w:val="bottom"/>
          </w:tcPr>
          <w:p>
            <w:pPr>
              <w:spacing w:after="0"/>
              <w:rPr>
                <w:sz w:val="1"/>
                <w:szCs w:val="1"/>
                <w:color w:val="auto"/>
              </w:rPr>
            </w:pPr>
          </w:p>
        </w:tc>
      </w:tr>
      <w:tr>
        <w:trPr>
          <w:trHeight w:val="171"/>
        </w:trPr>
        <w:tc>
          <w:tcPr>
            <w:tcW w:w="1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preferred shares</w:t>
            </w:r>
          </w:p>
        </w:tc>
        <w:tc>
          <w:tcPr>
            <w:tcW w:w="46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5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Repurchase of ordinary</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5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shares and</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non-redeemable</w:t>
            </w:r>
          </w:p>
        </w:tc>
        <w:tc>
          <w:tcPr>
            <w:tcW w:w="4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27(c)</w:t>
            </w: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color w:val="auto"/>
              </w:rPr>
              <w:t>(126,457)</w:t>
            </w: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(126,457)</w:t>
            </w:r>
          </w:p>
        </w:tc>
        <w:tc>
          <w:tcPr>
            <w:tcW w:w="0" w:type="dxa"/>
            <w:vAlign w:val="bottom"/>
          </w:tcPr>
          <w:p>
            <w:pPr>
              <w:spacing w:after="0"/>
              <w:rPr>
                <w:sz w:val="1"/>
                <w:szCs w:val="1"/>
                <w:color w:val="auto"/>
              </w:rPr>
            </w:pPr>
          </w:p>
        </w:tc>
      </w:tr>
      <w:tr>
        <w:trPr>
          <w:trHeight w:val="171"/>
        </w:trPr>
        <w:tc>
          <w:tcPr>
            <w:tcW w:w="1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preferred shares</w:t>
            </w:r>
          </w:p>
        </w:tc>
        <w:tc>
          <w:tcPr>
            <w:tcW w:w="46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5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Cancellation of treasury</w:t>
            </w:r>
          </w:p>
        </w:tc>
        <w:tc>
          <w:tcPr>
            <w:tcW w:w="46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27(a)</w:t>
            </w: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(19,355)</w:t>
            </w:r>
          </w:p>
        </w:tc>
        <w:tc>
          <w:tcPr>
            <w:tcW w:w="78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19,355</w:t>
            </w: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shares</w:t>
            </w:r>
          </w:p>
        </w:tc>
        <w:tc>
          <w:tcPr>
            <w:tcW w:w="46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5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Sales of treasury shares</w:t>
            </w:r>
          </w:p>
        </w:tc>
        <w:tc>
          <w:tcPr>
            <w:tcW w:w="4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27(c)</w:t>
            </w:r>
          </w:p>
        </w:tc>
        <w:tc>
          <w:tcPr>
            <w:tcW w:w="7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4,626</w:t>
            </w:r>
          </w:p>
        </w:tc>
        <w:tc>
          <w:tcPr>
            <w:tcW w:w="78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15,261</w:t>
            </w: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19,887</w:t>
            </w:r>
          </w:p>
        </w:tc>
        <w:tc>
          <w:tcPr>
            <w:tcW w:w="0" w:type="dxa"/>
            <w:vAlign w:val="bottom"/>
          </w:tcPr>
          <w:p>
            <w:pPr>
              <w:spacing w:after="0"/>
              <w:rPr>
                <w:sz w:val="1"/>
                <w:szCs w:val="1"/>
                <w:color w:val="auto"/>
              </w:rPr>
            </w:pPr>
          </w:p>
        </w:tc>
      </w:tr>
      <w:tr>
        <w:trPr>
          <w:trHeight w:val="148"/>
        </w:trPr>
        <w:tc>
          <w:tcPr>
            <w:tcW w:w="15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Business acquisition</w:t>
            </w:r>
          </w:p>
        </w:tc>
        <w:tc>
          <w:tcPr>
            <w:tcW w:w="3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29</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(4,166)</w:t>
            </w:r>
          </w:p>
        </w:tc>
        <w:tc>
          <w:tcPr>
            <w:tcW w:w="6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4,166</w:t>
            </w:r>
          </w:p>
        </w:tc>
        <w:tc>
          <w:tcPr>
            <w:tcW w:w="78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5"/>
        </w:trPr>
        <w:tc>
          <w:tcPr>
            <w:tcW w:w="1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ind w:right="11"/>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ind w:right="10"/>
              <w:spacing w:after="0" w:line="15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59,181</w:t>
            </w:r>
          </w:p>
        </w:tc>
        <w:tc>
          <w:tcPr>
            <w:tcW w:w="16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55,959</w:t>
            </w:r>
          </w:p>
        </w:tc>
        <w:tc>
          <w:tcPr>
            <w:tcW w:w="8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(4,166</w:t>
            </w:r>
          </w:p>
        </w:tc>
        <w:tc>
          <w:tcPr>
            <w:tcW w:w="160" w:type="dxa"/>
            <w:vAlign w:val="bottom"/>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407,240</w:t>
            </w:r>
          </w:p>
        </w:tc>
        <w:tc>
          <w:tcPr>
            <w:tcW w:w="10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4,166</w:t>
            </w:r>
          </w:p>
        </w:tc>
        <w:tc>
          <w:tcPr>
            <w:tcW w:w="14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(91,841</w:t>
            </w:r>
          </w:p>
        </w:tc>
        <w:tc>
          <w:tcPr>
            <w:tcW w:w="140" w:type="dxa"/>
            <w:vAlign w:val="bottom"/>
          </w:tcPr>
          <w:p>
            <w:pPr>
              <w:jc w:val="right"/>
              <w:ind w:right="59"/>
              <w:spacing w:after="0"/>
              <w:rPr>
                <w:sz w:val="20"/>
                <w:szCs w:val="20"/>
                <w:color w:val="auto"/>
              </w:rPr>
            </w:pPr>
            <w:r>
              <w:rPr>
                <w:rFonts w:ascii="Times New Roman" w:cs="Times New Roman" w:eastAsia="Times New Roman" w:hAnsi="Times New Roman"/>
                <w:sz w:val="8"/>
                <w:szCs w:val="8"/>
                <w:color w:val="auto"/>
                <w:w w:val="73"/>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430,539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50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Balance as of</w:t>
            </w: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7</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5</w:t>
            </w: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4</w:t>
            </w: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6</w:t>
            </w: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1,046,621</w:t>
            </w:r>
          </w:p>
        </w:tc>
        <w:tc>
          <w:tcPr>
            <w:tcW w:w="7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370,219</w:t>
            </w: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16,251</w:t>
            </w:r>
          </w:p>
        </w:tc>
        <w:tc>
          <w:tcPr>
            <w:tcW w:w="740" w:type="dxa"/>
            <w:vAlign w:val="bottom"/>
            <w:gridSpan w:val="2"/>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823,753</w:t>
            </w: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(3,131,134)</w:t>
            </w:r>
          </w:p>
        </w:tc>
        <w:tc>
          <w:tcPr>
            <w:tcW w:w="780" w:type="dxa"/>
            <w:vAlign w:val="bottom"/>
            <w:gridSpan w:val="2"/>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(91,841)</w:t>
            </w: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(966,109)</w:t>
            </w:r>
          </w:p>
        </w:tc>
        <w:tc>
          <w:tcPr>
            <w:tcW w:w="0" w:type="dxa"/>
            <w:vAlign w:val="bottom"/>
          </w:tcPr>
          <w:p>
            <w:pPr>
              <w:spacing w:after="0"/>
              <w:rPr>
                <w:sz w:val="1"/>
                <w:szCs w:val="1"/>
                <w:color w:val="auto"/>
              </w:rPr>
            </w:pPr>
          </w:p>
        </w:tc>
      </w:tr>
      <w:tr>
        <w:trPr>
          <w:trHeight w:val="173"/>
        </w:trPr>
        <w:tc>
          <w:tcPr>
            <w:tcW w:w="1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*Representsamounts less than RMB1,000.</w:t>
      </w:r>
    </w:p>
    <w:p>
      <w:pPr>
        <w:spacing w:after="0" w:line="3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40"/>
          </w:cols>
          <w:pgMar w:left="320" w:top="455" w:right="439" w:bottom="1440" w:gutter="0" w:footer="0" w:header="0"/>
        </w:sectPr>
      </w:pPr>
    </w:p>
    <w:bookmarkStart w:id="261" w:name="page262"/>
    <w:bookmarkEnd w:id="261"/>
    <w:tbl>
      <w:tblPr>
        <w:tblLayout w:type="fixed"/>
        <w:tblInd w:w="0" w:type="dxa"/>
        <w:tblCellMar>
          <w:top w:w="0" w:type="dxa"/>
          <w:left w:w="0" w:type="dxa"/>
          <w:bottom w:w="0" w:type="dxa"/>
          <w:right w:w="0" w:type="dxa"/>
        </w:tblCellMar>
      </w:tblPr>
      <w:tr>
        <w:trPr>
          <w:trHeight w:val="207"/>
        </w:trPr>
        <w:tc>
          <w:tcPr>
            <w:tcW w:w="7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9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3"/>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5900" w:type="dxa"/>
            <w:vAlign w:val="bottom"/>
          </w:tcPr>
          <w:p>
            <w:pPr>
              <w:jc w:val="center"/>
              <w:ind w:left="253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900" w:type="dxa"/>
            <w:vAlign w:val="bottom"/>
          </w:tcPr>
          <w:p>
            <w:pPr>
              <w:jc w:val="center"/>
              <w:ind w:left="2550"/>
              <w:spacing w:after="0"/>
              <w:rPr>
                <w:sz w:val="20"/>
                <w:szCs w:val="20"/>
                <w:color w:val="auto"/>
              </w:rPr>
            </w:pPr>
            <w:r>
              <w:rPr>
                <w:rFonts w:ascii="Times New Roman" w:cs="Times New Roman" w:eastAsia="Times New Roman" w:hAnsi="Times New Roman"/>
                <w:sz w:val="18"/>
                <w:szCs w:val="18"/>
                <w:i w:val="1"/>
                <w:iCs w:val="1"/>
                <w:color w:val="auto"/>
                <w:w w:val="99"/>
              </w:rPr>
              <w:t>(Expressed in thousands of RMB)</w:t>
            </w:r>
          </w:p>
        </w:tc>
        <w:tc>
          <w:tcPr>
            <w:tcW w:w="9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9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i w:val="1"/>
                <w:iCs w:val="1"/>
                <w:color w:val="auto"/>
              </w:rPr>
              <w:t>Note</w:t>
            </w:r>
          </w:p>
        </w:tc>
        <w:tc>
          <w:tcPr>
            <w:tcW w:w="292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i w:val="1"/>
                <w:iCs w:val="1"/>
                <w:color w:val="auto"/>
              </w:rPr>
              <w:t>For the year ended December 31,</w:t>
            </w: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120" w:type="dxa"/>
            <w:vAlign w:val="bottom"/>
            <w:tcBorders>
              <w:top w:val="single" w:sz="8" w:color="auto"/>
            </w:tcBorders>
          </w:tcPr>
          <w:p>
            <w:pPr>
              <w:jc w:val="right"/>
              <w:ind w:right="290"/>
              <w:spacing w:after="0" w:line="191" w:lineRule="exact"/>
              <w:rPr>
                <w:sz w:val="20"/>
                <w:szCs w:val="20"/>
                <w:color w:val="auto"/>
              </w:rPr>
            </w:pPr>
            <w:r>
              <w:rPr>
                <w:rFonts w:ascii="Times New Roman" w:cs="Times New Roman" w:eastAsia="Times New Roman" w:hAnsi="Times New Roman"/>
                <w:sz w:val="18"/>
                <w:szCs w:val="18"/>
                <w:i w:val="1"/>
                <w:iCs w:val="1"/>
                <w:color w:val="auto"/>
              </w:rPr>
              <w:t>2020</w:t>
            </w:r>
          </w:p>
        </w:tc>
        <w:tc>
          <w:tcPr>
            <w:tcW w:w="5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290"/>
              <w:spacing w:after="0" w:line="191" w:lineRule="exact"/>
              <w:rPr>
                <w:sz w:val="20"/>
                <w:szCs w:val="20"/>
                <w:color w:val="auto"/>
              </w:rPr>
            </w:pPr>
            <w:r>
              <w:rPr>
                <w:rFonts w:ascii="Times New Roman" w:cs="Times New Roman" w:eastAsia="Times New Roman" w:hAnsi="Times New Roman"/>
                <w:sz w:val="18"/>
                <w:szCs w:val="18"/>
                <w:i w:val="1"/>
                <w:iCs w:val="1"/>
                <w:color w:val="auto"/>
              </w:rPr>
              <w:t>2021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6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8"/>
              </w:rPr>
              <w:t>RMB’000</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RMB’000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9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used in operations</w:t>
            </w:r>
          </w:p>
        </w:tc>
        <w:tc>
          <w:tcPr>
            <w:tcW w:w="9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7"/>
              </w:rPr>
              <w:t>19(b)</w:t>
            </w:r>
          </w:p>
        </w:tc>
        <w:tc>
          <w:tcPr>
            <w:tcW w:w="16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(213,830)</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(506,667)</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9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9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(213,830)</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(506,667)</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96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for purchase of property and equipment</w:t>
            </w:r>
          </w:p>
        </w:tc>
        <w:tc>
          <w:tcPr>
            <w:tcW w:w="9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(2,980)</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(25,156)</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Payments for purchase of intangible assets</w:t>
            </w:r>
          </w:p>
        </w:tc>
        <w:tc>
          <w:tcPr>
            <w:tcW w:w="9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13</w:t>
            </w:r>
          </w:p>
        </w:tc>
        <w:tc>
          <w:tcPr>
            <w:tcW w:w="16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(386)</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disposal of property, equipment and intangible assets</w:t>
            </w:r>
          </w:p>
        </w:tc>
        <w:tc>
          <w:tcPr>
            <w:tcW w:w="9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841</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1,254</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 of time deposits</w:t>
            </w:r>
          </w:p>
        </w:tc>
        <w:tc>
          <w:tcPr>
            <w:tcW w:w="960" w:type="dxa"/>
            <w:vAlign w:val="bottom"/>
          </w:tcPr>
          <w:p>
            <w:pPr>
              <w:spacing w:after="0"/>
              <w:rPr>
                <w:sz w:val="18"/>
                <w:szCs w:val="18"/>
                <w:color w:val="auto"/>
              </w:rPr>
            </w:pPr>
          </w:p>
        </w:tc>
        <w:tc>
          <w:tcPr>
            <w:tcW w:w="16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(270,000)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maturity of time deposits</w:t>
            </w:r>
          </w:p>
        </w:tc>
        <w:tc>
          <w:tcPr>
            <w:tcW w:w="9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270,000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Payments for purchase of financial assets measured at FVTPL</w:t>
            </w:r>
          </w:p>
        </w:tc>
        <w:tc>
          <w:tcPr>
            <w:tcW w:w="960" w:type="dxa"/>
            <w:vAlign w:val="bottom"/>
          </w:tcPr>
          <w:p>
            <w:pPr>
              <w:spacing w:after="0"/>
              <w:rPr>
                <w:sz w:val="18"/>
                <w:szCs w:val="18"/>
                <w:color w:val="auto"/>
              </w:rPr>
            </w:pPr>
          </w:p>
        </w:tc>
        <w:tc>
          <w:tcPr>
            <w:tcW w:w="16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(1,207,549)</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(520,273)</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sales of financial assets measured at FVTPL</w:t>
            </w:r>
          </w:p>
        </w:tc>
        <w:tc>
          <w:tcPr>
            <w:tcW w:w="9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700,873</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1,075,029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 for equity investment designated at FVOCI</w:t>
            </w:r>
          </w:p>
        </w:tc>
        <w:tc>
          <w:tcPr>
            <w:tcW w:w="960" w:type="dxa"/>
            <w:vAlign w:val="bottom"/>
          </w:tcPr>
          <w:p>
            <w:pPr>
              <w:spacing w:after="0"/>
              <w:rPr>
                <w:sz w:val="18"/>
                <w:szCs w:val="18"/>
                <w:color w:val="auto"/>
              </w:rPr>
            </w:pPr>
          </w:p>
        </w:tc>
        <w:tc>
          <w:tcPr>
            <w:tcW w:w="16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(200)</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a subsidiary, net of cash acquired</w:t>
            </w:r>
          </w:p>
        </w:tc>
        <w:tc>
          <w:tcPr>
            <w:tcW w:w="960" w:type="dxa"/>
            <w:vAlign w:val="bottom"/>
            <w:shd w:val="clear" w:color="auto" w:fill="CCEEFF"/>
          </w:tcPr>
          <w:p>
            <w:pPr>
              <w:jc w:val="center"/>
              <w:ind w:right="210"/>
              <w:spacing w:after="0"/>
              <w:rPr>
                <w:sz w:val="20"/>
                <w:szCs w:val="20"/>
                <w:color w:val="auto"/>
              </w:rPr>
            </w:pPr>
            <w:r>
              <w:rPr>
                <w:rFonts w:ascii="Times New Roman" w:cs="Times New Roman" w:eastAsia="Times New Roman" w:hAnsi="Times New Roman"/>
                <w:sz w:val="18"/>
                <w:szCs w:val="18"/>
                <w:color w:val="auto"/>
                <w:w w:val="99"/>
              </w:rPr>
              <w:t>29</w:t>
            </w:r>
          </w:p>
        </w:tc>
        <w:tc>
          <w:tcPr>
            <w:tcW w:w="16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(69,470)</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(used in)/generated from investing activities</w:t>
            </w:r>
          </w:p>
        </w:tc>
        <w:tc>
          <w:tcPr>
            <w:tcW w:w="96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(509,401)</w:t>
            </w:r>
          </w:p>
        </w:tc>
        <w:tc>
          <w:tcPr>
            <w:tcW w:w="54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460,903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140"/>
          </w:cols>
          <w:pgMar w:left="320" w:top="446" w:right="439" w:bottom="1440" w:gutter="0" w:footer="0" w:header="0"/>
        </w:sectPr>
      </w:pPr>
    </w:p>
    <w:bookmarkStart w:id="262" w:name="page263"/>
    <w:bookmarkEnd w:id="262"/>
    <w:tbl>
      <w:tblPr>
        <w:tblLayout w:type="fixed"/>
        <w:tblInd w:w="0" w:type="dxa"/>
        <w:tblCellMar>
          <w:top w:w="0" w:type="dxa"/>
          <w:left w:w="0" w:type="dxa"/>
          <w:bottom w:w="0" w:type="dxa"/>
          <w:right w:w="0" w:type="dxa"/>
        </w:tblCellMar>
      </w:tblPr>
      <w:tr>
        <w:trPr>
          <w:trHeight w:val="207"/>
        </w:trPr>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3"/>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678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680" w:type="dxa"/>
            <w:vAlign w:val="bottom"/>
          </w:tcPr>
          <w:p>
            <w:pPr>
              <w:ind w:left="3060"/>
              <w:spacing w:after="0"/>
              <w:rPr>
                <w:sz w:val="20"/>
                <w:szCs w:val="20"/>
                <w:color w:val="auto"/>
              </w:rPr>
            </w:pPr>
            <w:r>
              <w:rPr>
                <w:rFonts w:ascii="Times New Roman" w:cs="Times New Roman" w:eastAsia="Times New Roman" w:hAnsi="Times New Roman"/>
                <w:sz w:val="18"/>
                <w:szCs w:val="18"/>
                <w:i w:val="1"/>
                <w:iCs w:val="1"/>
                <w:color w:val="auto"/>
              </w:rPr>
              <w:t>(Expressed in thousands of RMB)</w:t>
            </w:r>
          </w:p>
        </w:tc>
        <w:tc>
          <w:tcPr>
            <w:tcW w:w="1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10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i w:val="1"/>
                <w:iCs w:val="1"/>
                <w:color w:val="auto"/>
              </w:rPr>
              <w:t>Note</w:t>
            </w:r>
          </w:p>
        </w:tc>
        <w:tc>
          <w:tcPr>
            <w:tcW w:w="300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i w:val="1"/>
                <w:iCs w:val="1"/>
                <w:color w:val="auto"/>
              </w:rPr>
              <w:t>For the year ended December 31,</w:t>
            </w: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120" w:type="dxa"/>
            <w:vAlign w:val="bottom"/>
            <w:tcBorders>
              <w:top w:val="single" w:sz="8" w:color="auto"/>
            </w:tcBorders>
          </w:tcPr>
          <w:p>
            <w:pPr>
              <w:jc w:val="right"/>
              <w:ind w:right="290"/>
              <w:spacing w:after="0" w:line="191" w:lineRule="exact"/>
              <w:rPr>
                <w:sz w:val="20"/>
                <w:szCs w:val="20"/>
                <w:color w:val="auto"/>
              </w:rPr>
            </w:pPr>
            <w:r>
              <w:rPr>
                <w:rFonts w:ascii="Times New Roman" w:cs="Times New Roman" w:eastAsia="Times New Roman" w:hAnsi="Times New Roman"/>
                <w:sz w:val="18"/>
                <w:szCs w:val="18"/>
                <w:i w:val="1"/>
                <w:iCs w:val="1"/>
                <w:color w:val="auto"/>
              </w:rPr>
              <w:t>2020</w:t>
            </w:r>
          </w:p>
        </w:tc>
        <w:tc>
          <w:tcPr>
            <w:tcW w:w="6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290"/>
              <w:spacing w:after="0" w:line="191" w:lineRule="exact"/>
              <w:rPr>
                <w:sz w:val="20"/>
                <w:szCs w:val="20"/>
                <w:color w:val="auto"/>
              </w:rPr>
            </w:pPr>
            <w:r>
              <w:rPr>
                <w:rFonts w:ascii="Times New Roman" w:cs="Times New Roman" w:eastAsia="Times New Roman" w:hAnsi="Times New Roman"/>
                <w:sz w:val="18"/>
                <w:szCs w:val="18"/>
                <w:i w:val="1"/>
                <w:iCs w:val="1"/>
                <w:color w:val="auto"/>
              </w:rPr>
              <w:t>2021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74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color w:val="auto"/>
                <w:w w:val="98"/>
              </w:rPr>
              <w:t>RMB’000</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RMB’000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issuance of ordinary shares</w:t>
            </w:r>
          </w:p>
        </w:tc>
        <w:tc>
          <w:tcPr>
            <w:tcW w:w="11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27(a)</w:t>
            </w:r>
          </w:p>
        </w:tc>
        <w:tc>
          <w:tcPr>
            <w:tcW w:w="17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45,160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non-redeemable preferred shares</w:t>
            </w:r>
          </w:p>
        </w:tc>
        <w:tc>
          <w:tcPr>
            <w:tcW w:w="1100" w:type="dxa"/>
            <w:vAlign w:val="bottom"/>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color w:val="auto"/>
                <w:w w:val="99"/>
              </w:rPr>
              <w:t>27(a)</w:t>
            </w:r>
          </w:p>
        </w:tc>
        <w:tc>
          <w:tcPr>
            <w:tcW w:w="174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28,750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sales of treasury shares</w:t>
            </w:r>
          </w:p>
        </w:tc>
        <w:tc>
          <w:tcPr>
            <w:tcW w:w="11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27(c)</w:t>
            </w:r>
          </w:p>
        </w:tc>
        <w:tc>
          <w:tcPr>
            <w:tcW w:w="17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19,887</w:t>
            </w:r>
          </w:p>
        </w:tc>
        <w:tc>
          <w:tcPr>
            <w:tcW w:w="0" w:type="dxa"/>
            <w:vAlign w:val="bottom"/>
          </w:tcPr>
          <w:p>
            <w:pPr>
              <w:spacing w:after="0"/>
              <w:rPr>
                <w:sz w:val="1"/>
                <w:szCs w:val="1"/>
                <w:color w:val="auto"/>
              </w:rPr>
            </w:pPr>
          </w:p>
        </w:tc>
      </w:tr>
      <w:tr>
        <w:trPr>
          <w:trHeight w:val="198"/>
        </w:trPr>
        <w:tc>
          <w:tcPr>
            <w:tcW w:w="120" w:type="dxa"/>
            <w:vAlign w:val="bottom"/>
          </w:tcPr>
          <w:p>
            <w:pPr>
              <w:spacing w:after="0"/>
              <w:rPr>
                <w:sz w:val="17"/>
                <w:szCs w:val="17"/>
                <w:color w:val="auto"/>
              </w:rPr>
            </w:pPr>
          </w:p>
        </w:tc>
        <w:tc>
          <w:tcPr>
            <w:tcW w:w="69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Proceeds from issuance of preferred shares and other financial instruments subject to</w:t>
            </w:r>
          </w:p>
        </w:tc>
        <w:tc>
          <w:tcPr>
            <w:tcW w:w="1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6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redemption and other preferential rights</w:t>
            </w:r>
          </w:p>
        </w:tc>
        <w:tc>
          <w:tcPr>
            <w:tcW w:w="1100" w:type="dxa"/>
            <w:vAlign w:val="bottom"/>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color w:val="auto"/>
                <w:w w:val="99"/>
              </w:rPr>
              <w:t>19(c)</w:t>
            </w:r>
          </w:p>
        </w:tc>
        <w:tc>
          <w:tcPr>
            <w:tcW w:w="17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653,550</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2,683,290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issuance of financial liabilities measured at FVTPL</w:t>
            </w:r>
          </w:p>
        </w:tc>
        <w:tc>
          <w:tcPr>
            <w:tcW w:w="11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19(c)</w:t>
            </w:r>
          </w:p>
        </w:tc>
        <w:tc>
          <w:tcPr>
            <w:tcW w:w="17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140,261</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107,095</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capital element of lease liabilities</w:t>
            </w:r>
          </w:p>
        </w:tc>
        <w:tc>
          <w:tcPr>
            <w:tcW w:w="1100" w:type="dxa"/>
            <w:vAlign w:val="bottom"/>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color w:val="auto"/>
                <w:w w:val="99"/>
              </w:rPr>
              <w:t>19(c)</w:t>
            </w:r>
          </w:p>
        </w:tc>
        <w:tc>
          <w:tcPr>
            <w:tcW w:w="17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(19,619)</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(21,632)</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 of interest element of lease liabilities</w:t>
            </w:r>
          </w:p>
        </w:tc>
        <w:tc>
          <w:tcPr>
            <w:tcW w:w="11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19(c)</w:t>
            </w:r>
          </w:p>
        </w:tc>
        <w:tc>
          <w:tcPr>
            <w:tcW w:w="17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(3,202)</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(3,147)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for put option liabilities</w:t>
            </w:r>
          </w:p>
        </w:tc>
        <w:tc>
          <w:tcPr>
            <w:tcW w:w="1100" w:type="dxa"/>
            <w:vAlign w:val="bottom"/>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color w:val="auto"/>
                <w:w w:val="99"/>
              </w:rPr>
              <w:t>19(c)</w:t>
            </w:r>
          </w:p>
        </w:tc>
        <w:tc>
          <w:tcPr>
            <w:tcW w:w="174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(28,280)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changes in restricted cash for the issuance of bank loans</w:t>
            </w:r>
          </w:p>
        </w:tc>
        <w:tc>
          <w:tcPr>
            <w:tcW w:w="11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15</w:t>
            </w:r>
          </w:p>
        </w:tc>
        <w:tc>
          <w:tcPr>
            <w:tcW w:w="17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(46,800)</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46,800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for repurchase of ordinary shares and non-redeemable preferred shares</w:t>
            </w:r>
          </w:p>
        </w:tc>
        <w:tc>
          <w:tcPr>
            <w:tcW w:w="1100" w:type="dxa"/>
            <w:vAlign w:val="bottom"/>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color w:val="auto"/>
                <w:w w:val="99"/>
              </w:rPr>
              <w:t>27(c)</w:t>
            </w:r>
          </w:p>
        </w:tc>
        <w:tc>
          <w:tcPr>
            <w:tcW w:w="17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(56,270)</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(181,240)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loans and borrowings</w:t>
            </w:r>
          </w:p>
        </w:tc>
        <w:tc>
          <w:tcPr>
            <w:tcW w:w="11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19(c)</w:t>
            </w:r>
          </w:p>
        </w:tc>
        <w:tc>
          <w:tcPr>
            <w:tcW w:w="17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106,356</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of loans and borrowings paid</w:t>
            </w:r>
          </w:p>
        </w:tc>
        <w:tc>
          <w:tcPr>
            <w:tcW w:w="1100" w:type="dxa"/>
            <w:vAlign w:val="bottom"/>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color w:val="auto"/>
                <w:w w:val="99"/>
              </w:rPr>
              <w:t>19(c)</w:t>
            </w:r>
          </w:p>
        </w:tc>
        <w:tc>
          <w:tcPr>
            <w:tcW w:w="17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(3,017)</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(2,422)</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Repayment of loans and borrowings</w:t>
            </w:r>
          </w:p>
        </w:tc>
        <w:tc>
          <w:tcPr>
            <w:tcW w:w="11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19(c)</w:t>
            </w:r>
          </w:p>
        </w:tc>
        <w:tc>
          <w:tcPr>
            <w:tcW w:w="17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(34,295)</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(91,208)</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generated from financing activities</w:t>
            </w:r>
          </w:p>
        </w:tc>
        <w:tc>
          <w:tcPr>
            <w:tcW w:w="1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736,964</w:t>
            </w:r>
          </w:p>
        </w:tc>
        <w:tc>
          <w:tcPr>
            <w:tcW w:w="6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2,603,053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1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6920" w:type="dxa"/>
            <w:vAlign w:val="bottom"/>
            <w:gridSpan w:val="2"/>
            <w:vMerge w:val="continue"/>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13,733</w:t>
            </w:r>
          </w:p>
        </w:tc>
        <w:tc>
          <w:tcPr>
            <w:tcW w:w="6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2,557,289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as of January 1</w:t>
            </w:r>
          </w:p>
        </w:tc>
        <w:tc>
          <w:tcPr>
            <w:tcW w:w="1100" w:type="dxa"/>
            <w:vAlign w:val="bottom"/>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color w:val="auto"/>
                <w:w w:val="99"/>
              </w:rPr>
              <w:t>19(a)</w:t>
            </w:r>
          </w:p>
        </w:tc>
        <w:tc>
          <w:tcPr>
            <w:tcW w:w="17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209,260</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212,622</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Effect of foreign exchange rate changes</w:t>
            </w:r>
          </w:p>
        </w:tc>
        <w:tc>
          <w:tcPr>
            <w:tcW w:w="1100" w:type="dxa"/>
            <w:vAlign w:val="bottom"/>
          </w:tcPr>
          <w:p>
            <w:pPr>
              <w:spacing w:after="0"/>
              <w:rPr>
                <w:sz w:val="18"/>
                <w:szCs w:val="18"/>
                <w:color w:val="auto"/>
              </w:rPr>
            </w:pPr>
          </w:p>
        </w:tc>
        <w:tc>
          <w:tcPr>
            <w:tcW w:w="17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(10,371)</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(44,343)</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as of December 31</w:t>
            </w:r>
          </w:p>
        </w:tc>
        <w:tc>
          <w:tcPr>
            <w:tcW w:w="1100" w:type="dxa"/>
            <w:vAlign w:val="bottom"/>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color w:val="auto"/>
                <w:w w:val="99"/>
              </w:rPr>
              <w:t>19(a)</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212,622</w:t>
            </w:r>
          </w:p>
        </w:tc>
        <w:tc>
          <w:tcPr>
            <w:tcW w:w="6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2,725,568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140"/>
          </w:cols>
          <w:pgMar w:left="320" w:top="446" w:right="43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(Expressed in thousands of RMB, unless otherwise indicated)</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 General information and basis of presentation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 General information</w:t>
      </w:r>
    </w:p>
    <w:p>
      <w:pPr>
        <w:spacing w:after="0" w:line="121"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WeRide Inc. (the “Company”), an exempted company with limited liability, was incorporated in Cayman Islands under the Companies Act, Cap. 22 (Law 3 of 1961, as consolidated and revised) of the Cayman Islands, on March 13, 2017.</w:t>
      </w:r>
    </w:p>
    <w:p>
      <w:pPr>
        <w:spacing w:after="0" w:line="162"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The Company is an investment holding company. The Company, through its wholly-owned subsidiaries, consolidated variable interest entity (“VIE”) and the VIE’s subsidiaries (collectively referred to as the “Group”), is principally engaged in providing autonomous driving products and services. The Group’s principal operations and geographic markets are mainly in the People’s Republic of China (the “PRC”).</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 VIE</w:t>
      </w:r>
    </w:p>
    <w:p>
      <w:pPr>
        <w:spacing w:after="0" w:line="12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The Group was engaged in surveying and mapping businesses through a PRC operating entity, Guangzhou Jingqi Technology Co., Ltd. (“Guangzhou Jingqi” or the VIE) and its subsidiaries.</w:t>
      </w:r>
    </w:p>
    <w:p>
      <w:pPr>
        <w:spacing w:after="0" w:line="162"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The recognized and unrecognized revenue-producing assets that are held by the VIE primarily consist of property and equipment, assembled workforce and the Internet Content Provider (“ICP”) licenses. The equity interests of Guangzhou Jingqi are legally held by three individuals, including 1) Dr. Tony Xu Han, the co-founder and controlling shareholder, chairman of the Board of Directors and Chief Executive Officer (“CEO”); 2) Mr. Li Zhang, the Chief Operation Officer (“COO”); and 3) Mr. Hua Zhong, the senior Vice President of Engineering. All the individual shareholders of the VIE are collectively referred to as “Nominee Shareholders” and act as Nominee Shareholders of Guangzhou Jingqi on behalf of Guangzhou Wenyuan Zhixing Technology Co., Ltd. (“Guangzhou Wenyuan”), the Company’s wholly owned subsidiary (“WFOE”). A series of contractual agreements and arrangements, including Powers of Attorney, Exclusive Technology Consulting and Service Agreement, Equity Interest Pledge Agreement, Exclusive Option Agreement and Spousal Consent Letters, (collectively, the “VIE Agreements”), were entered into among the WFOE, the VIE and the Nominee Shareholders. Pursuant to the VIE Agreements, Nominee Shareholders have granted all their legal rights, including voting rights and disposition rights of their equity interests in the VIE, to the WFOE. The Nominee Shareholders do not participate significantly in income and loss and do not have the power to direct the activities of the VIE that most significantly impact their returns. Accordingly, the VIE is considered variable interest entity.</w:t>
      </w:r>
    </w:p>
    <w:p>
      <w:pPr>
        <w:spacing w:after="0" w:line="192"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Under the Contractual Arrangements, the Company has the power to direct the management, financial and operating policies of the VIE, has exposure or rights to variable returns from its involvement with the VIE, and has the ability to use its power over the VIE to affect the amount of the returns. As a result, the VIE has been accounted for as consolidated subsidiary of the Company.</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principal terms of the VIE Agreements are further described below.</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 Powers of Attorney</w:t>
      </w:r>
    </w:p>
    <w:p>
      <w:pPr>
        <w:spacing w:after="0" w:line="117"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Pursuant to the powers of attorney executed by the Nominee Shareholders of the VIE, each of the Nominee Shareholders of the VIE irrevocably authorize the WFOE to act as their attorney-in-fact to exercise all of the rights as a shareholder, including, but not limited to, the right to (i) attend shareholders’ meeting and sign the relevant resolutions on behalf of the shareholder, (ii) exercise all shareholder’s rights under PRC laws and the articles of association of the VIE, such as the voting right, the rights to sale, transfer, pledge and dispose of all or part of the shareholder’s equity interest in the VIE, and (3) designate and appoint the VIE’s legal representative, chairman of the board of directors, director, general manager and other senior management members on behalf of the shareholder. The powers of attorney will remain effective until such shareholder ceases to be a shareholder of the VIE.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120"/>
          </w:cols>
          <w:pgMar w:left="320" w:top="455" w:right="45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 Equity Interest Pledge Agreements</w:t>
      </w:r>
    </w:p>
    <w:p>
      <w:pPr>
        <w:spacing w:after="0" w:line="117"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Pursuant to equity interest pledge agreements, the Nominee Shareholders of the VIE have pledged 100% equity interests in the VIE to the WFOE to guarantee the performance of the obligations by the VIE and the Nominee Shareholders under the exclusive technology consulting and service agreement, the exclusive option agreement and the powers of attorney. If events of default occur, the WFOE, as the pledgee, to the extent permitted by PRC laws, may exercise the right to enforce the pledge, provided that a written notice is delivered. The Nominee Shareholders of the VIE also covenant that, without the prior written consent of the WFOE, they shall not transfer the pledged equity interests, create or allow any new pledge or other encumbrance of other type on the pledged equity interests. As of the date of this report, the Group has completed registering the equity pledges with the local branch of the State Administration for Market Regulation (“SAMR”) in accordance with relevant PRC laws and regulations.</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 Spousal Consent</w:t>
      </w:r>
    </w:p>
    <w:p>
      <w:pPr>
        <w:spacing w:after="0" w:line="117"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Pursuant to the spousal consent letters, each of the spouses of the applicable Nominee Shareholders of the VIE acknowledges and confirms the execution of the relevant equity interest pledge agreement, exclusive option agreement and powers of attorney, and unconditionally and irrevocably agrees that the equity interest in the VIE held by and registered in the name of their respective spouse will be disposed of pursuant to these agreements. In addition, each of them agrees not to assert any rights over the equity interest in the VIE held by their respective spouses. In addition, in the event that any of them obtains any equity interest in the VIE held by their respective spouses for any reason, such spouses agree to be bound by similar obligations and agree to enter into similar contractual arrangements, as amended and restated from time to time.</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4) Exclusive Technology Consulting and Service Agreement</w:t>
      </w:r>
    </w:p>
    <w:p>
      <w:pPr>
        <w:spacing w:after="0" w:line="11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Pursuant to the exclusive technology consulting and service agreement, the WFOE have the exclusive right to provide the VIE with technology consulting and services, including but not limited to technology research and development, technology application and implementation, staff training and technology consultations. Without the WFOE’s prior written consents, the VIE may not accept the same or similar service contemplated by the agreement provided by any third party during the term of the agreement. The VIE agree to pay the WFOE consulting and service fees at the total amount of the pre-tax profit, after deducting the necessary expenses, costs for business operations generated by the VIE, or an amount that is adjusted in accordance with the WFOE’s sole discretion based on the services and technologies provided by the VIE, the operating conditions and the plans of business development of the VIE. To guarantee the VIE’s performance, the Nominee Shareholders of the VIE have pledged all of their equity interests in the VIE to the WFOE pursuant to the equity interest pledge agreement. The exclusive technology consulting and service agreement has a term of ten years upon the date of execution, which will be automatically extended for another ten years upon the date of expiration, unless terminated in writing by the WFOE.</w:t>
      </w:r>
    </w:p>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 Exclusive Option Agreement</w:t>
      </w:r>
    </w:p>
    <w:p>
      <w:pPr>
        <w:spacing w:after="0" w:line="117" w:lineRule="exact"/>
        <w:rPr>
          <w:sz w:val="20"/>
          <w:szCs w:val="20"/>
          <w:color w:val="auto"/>
        </w:rPr>
      </w:pPr>
    </w:p>
    <w:p>
      <w:pPr>
        <w:ind w:left="120" w:right="40"/>
        <w:spacing w:after="0" w:line="268" w:lineRule="auto"/>
        <w:rPr>
          <w:sz w:val="20"/>
          <w:szCs w:val="20"/>
          <w:color w:val="auto"/>
        </w:rPr>
      </w:pPr>
      <w:r>
        <w:rPr>
          <w:rFonts w:ascii="Times New Roman" w:cs="Times New Roman" w:eastAsia="Times New Roman" w:hAnsi="Times New Roman"/>
          <w:sz w:val="17"/>
          <w:szCs w:val="17"/>
          <w:color w:val="auto"/>
        </w:rPr>
        <w:t>Pursuant to the exclusive option agreement, each of the Nominee Shareholders of the VIE has irrevocably granted the WFOE, or any person or persons designated by the WFOE, an exclusive option to purchase all or part of the equity interests in the VIE held by the Nominee Shareholders. In addition, the VIE has granted each of the Nominee Shareholders of the VIE an exclusive option to purchase all or a part of the assets held by the VIE. The WFOE or persons designated by the WFOE may exercise such options to purchase equity interests in the VIE at the lowest price permitted under PRC laws, or assets of the VIE at the lower of the net book value and the lowest price permitted under PRC laws. The Nominee Shareholders further undertake that, without the prior written consent of the WFOE, the VIE will not, among other things, (i) supplement, change or amend the VIE’s articles of association,</w:t>
      </w:r>
    </w:p>
    <w:p>
      <w:pPr>
        <w:spacing w:after="0" w:line="5" w:lineRule="exact"/>
        <w:rPr>
          <w:sz w:val="20"/>
          <w:szCs w:val="20"/>
          <w:color w:val="auto"/>
        </w:rPr>
      </w:pPr>
    </w:p>
    <w:p>
      <w:pPr>
        <w:ind w:left="120" w:right="320" w:hanging="4"/>
        <w:spacing w:after="0" w:line="260" w:lineRule="auto"/>
        <w:tabs>
          <w:tab w:leader="none" w:pos="38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or decrease the VIE’s registered capital or change its structure of registered capital, (iii) sell, transfer, mortgage, dispose of, or allow any new pledge or other encumbrance of other types on any</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140"/>
          </w:cols>
          <w:pgMar w:left="320" w:top="455" w:right="43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assets of the VIE and any legal or beneficial interests in the business or revenues of the VIE, (iv) enter into any material contracts, except in the ordinary course of business, or (v) merge or consolidate the VIE with any other entity, acquire any other entity, or provide investment to any other entity. The exclusive option agreement will remain effective until all of the equity interests or assets of the VIE have been transferred to the WFOE and/or their designated person.</w:t>
      </w:r>
    </w:p>
    <w:p>
      <w:pPr>
        <w:spacing w:after="0" w:line="180" w:lineRule="exact"/>
        <w:rPr>
          <w:sz w:val="20"/>
          <w:szCs w:val="20"/>
          <w:color w:val="auto"/>
        </w:rPr>
      </w:pPr>
    </w:p>
    <w:p>
      <w:pPr>
        <w:jc w:val="both"/>
        <w:ind w:left="120" w:right="140"/>
        <w:spacing w:after="0" w:line="258" w:lineRule="auto"/>
        <w:rPr>
          <w:sz w:val="20"/>
          <w:szCs w:val="20"/>
          <w:color w:val="auto"/>
        </w:rPr>
      </w:pPr>
      <w:r>
        <w:rPr>
          <w:rFonts w:ascii="Times New Roman" w:cs="Times New Roman" w:eastAsia="Times New Roman" w:hAnsi="Times New Roman"/>
          <w:sz w:val="18"/>
          <w:szCs w:val="18"/>
          <w:color w:val="auto"/>
        </w:rPr>
        <w:t>The Company relies on the VIE Agreements to operate and control the VIE. All the VIE Agreements are governed by the PRC laws and provided for the resolution of disputes through arbitration in China. Accordingly, these agreements would be interpreted in accordance with the PRC laws and any disputes would be resolved in accordance with the PRC legal procedures. In the opinion of management, based on the legal opinion obtained from the Company’s PRC legal counsel, the contractual arrangements described below are valid, binding and enforceable upon each party to such arrangements in accordance with its terms and applicable PRC laws currently in effect.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Summary financial information of the Group’s VIE, inclusive of VIE’s subsidiaries</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Company’s involvement with the VIE under the VIE Agreements affected the Company’s consolidated financial position, results of operations and cash flows as indicated below.</w:t>
      </w:r>
    </w:p>
    <w:p>
      <w:pPr>
        <w:spacing w:after="0" w:line="162"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The following consolidated assets and liabilities information of the Group’s VIE as of December 31, 2020 and 2021, and consolidated revenue, loss and cash flow information for the years then ended, have been included in the accompanying consolidated financial statements. All intercompany transactions and balances with the Company, and its wholly-owned subsidiaries have been eliminated upon consolidation:</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80" w:type="dxa"/>
            <w:vAlign w:val="bottom"/>
            <w:gridSpan w:val="3"/>
          </w:tcPr>
          <w:p>
            <w:pPr>
              <w:jc w:val="center"/>
              <w:ind w:right="880"/>
              <w:spacing w:after="0"/>
              <w:rPr>
                <w:sz w:val="20"/>
                <w:szCs w:val="20"/>
                <w:color w:val="auto"/>
              </w:rPr>
            </w:pPr>
            <w:r>
              <w:rPr>
                <w:rFonts w:ascii="Times New Roman" w:cs="Times New Roman" w:eastAsia="Times New Roman" w:hAnsi="Times New Roman"/>
                <w:sz w:val="14"/>
                <w:szCs w:val="14"/>
                <w:i w:val="1"/>
                <w:iCs w:val="1"/>
                <w:color w:val="auto"/>
                <w:w w:val="98"/>
              </w:rPr>
              <w:t>As of</w:t>
            </w:r>
          </w:p>
        </w:tc>
      </w:tr>
      <w:tr>
        <w:trPr>
          <w:trHeight w:val="173"/>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06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i w:val="1"/>
                <w:iCs w:val="1"/>
                <w:color w:val="auto"/>
              </w:rPr>
              <w:t>December 31,</w:t>
            </w:r>
          </w:p>
        </w:tc>
      </w:tr>
      <w:tr>
        <w:trPr>
          <w:trHeight w:val="119"/>
        </w:trPr>
        <w:tc>
          <w:tcPr>
            <w:tcW w:w="2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780" w:type="dxa"/>
            <w:vAlign w:val="bottom"/>
            <w:tcBorders>
              <w:top w:val="single" w:sz="8" w:color="auto"/>
            </w:tcBorders>
          </w:tcPr>
          <w:p>
            <w:pPr>
              <w:jc w:val="right"/>
              <w:ind w:right="157"/>
              <w:spacing w:after="0" w:line="119" w:lineRule="exact"/>
              <w:rPr>
                <w:sz w:val="20"/>
                <w:szCs w:val="20"/>
                <w:color w:val="auto"/>
              </w:rPr>
            </w:pPr>
            <w:r>
              <w:rPr>
                <w:rFonts w:ascii="Times New Roman" w:cs="Times New Roman" w:eastAsia="Times New Roman" w:hAnsi="Times New Roman"/>
                <w:sz w:val="13"/>
                <w:szCs w:val="13"/>
                <w:i w:val="1"/>
                <w:iCs w:val="1"/>
                <w:color w:val="auto"/>
              </w:rPr>
              <w:t>2020</w:t>
            </w:r>
          </w:p>
        </w:tc>
        <w:tc>
          <w:tcPr>
            <w:tcW w:w="1200" w:type="dxa"/>
            <w:vAlign w:val="bottom"/>
            <w:tcBorders>
              <w:top w:val="single" w:sz="8" w:color="auto"/>
            </w:tcBorders>
            <w:gridSpan w:val="2"/>
          </w:tcPr>
          <w:p>
            <w:pPr>
              <w:jc w:val="right"/>
              <w:ind w:right="253"/>
              <w:spacing w:after="0" w:line="119" w:lineRule="exact"/>
              <w:rPr>
                <w:sz w:val="20"/>
                <w:szCs w:val="20"/>
                <w:color w:val="auto"/>
              </w:rPr>
            </w:pPr>
            <w:r>
              <w:rPr>
                <w:rFonts w:ascii="Times New Roman" w:cs="Times New Roman" w:eastAsia="Times New Roman" w:hAnsi="Times New Roman"/>
                <w:sz w:val="13"/>
                <w:szCs w:val="13"/>
                <w:i w:val="1"/>
                <w:iCs w:val="1"/>
                <w:color w:val="auto"/>
              </w:rPr>
              <w:t>2021</w:t>
            </w:r>
          </w:p>
        </w:tc>
        <w:tc>
          <w:tcPr>
            <w:tcW w:w="8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RMB’000</w:t>
            </w:r>
          </w:p>
        </w:tc>
        <w:tc>
          <w:tcPr>
            <w:tcW w:w="240" w:type="dxa"/>
            <w:vAlign w:val="bottom"/>
          </w:tcPr>
          <w:p>
            <w:pPr>
              <w:spacing w:after="0"/>
              <w:rPr>
                <w:sz w:val="14"/>
                <w:szCs w:val="14"/>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RMB’000</w:t>
            </w: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3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3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59,225</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49,548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3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13,882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30,518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3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30,134</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3040" w:type="dxa"/>
            <w:vAlign w:val="bottom"/>
          </w:tcPr>
          <w:p>
            <w:pPr>
              <w:spacing w:after="0"/>
              <w:rPr>
                <w:sz w:val="18"/>
                <w:szCs w:val="18"/>
                <w:color w:val="auto"/>
              </w:rPr>
            </w:pP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44,758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investment designated at FVOCI</w:t>
            </w:r>
          </w:p>
        </w:tc>
        <w:tc>
          <w:tcPr>
            <w:tcW w:w="3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3040" w:type="dxa"/>
            <w:vAlign w:val="bottom"/>
          </w:tcPr>
          <w:p>
            <w:pPr>
              <w:spacing w:after="0"/>
              <w:rPr>
                <w:sz w:val="18"/>
                <w:szCs w:val="18"/>
                <w:color w:val="auto"/>
              </w:rPr>
            </w:pP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3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14,456</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15,100</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100,402</w:t>
            </w:r>
          </w:p>
        </w:tc>
        <w:tc>
          <w:tcPr>
            <w:tcW w:w="24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174,048</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0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3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5,221</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3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Prepayments, deposits and other receivables</w:t>
            </w:r>
          </w:p>
        </w:tc>
        <w:tc>
          <w:tcPr>
            <w:tcW w:w="3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21,670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25,698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3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Amounts due from the Company and its subsidiaries*</w:t>
            </w:r>
          </w:p>
        </w:tc>
        <w:tc>
          <w:tcPr>
            <w:tcW w:w="3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72,021</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290,753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 measured at FVTPL</w:t>
            </w:r>
          </w:p>
        </w:tc>
        <w:tc>
          <w:tcPr>
            <w:tcW w:w="3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549,289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172,603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764,207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 current</w:t>
            </w:r>
          </w:p>
        </w:tc>
        <w:tc>
          <w:tcPr>
            <w:tcW w:w="3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46,800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869,406</w:t>
            </w:r>
          </w:p>
        </w:tc>
        <w:tc>
          <w:tcPr>
            <w:tcW w:w="2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1,087,975</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4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969,808</w:t>
            </w:r>
          </w:p>
        </w:tc>
        <w:tc>
          <w:tcPr>
            <w:tcW w:w="24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1,262,023</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820" w:type="dxa"/>
            <w:vAlign w:val="bottom"/>
            <w:gridSpan w:val="2"/>
          </w:tcPr>
          <w:p>
            <w:pPr>
              <w:jc w:val="right"/>
              <w:ind w:right="3097"/>
              <w:spacing w:after="0"/>
              <w:rPr>
                <w:sz w:val="20"/>
                <w:szCs w:val="20"/>
                <w:color w:val="auto"/>
              </w:rPr>
            </w:pPr>
            <w:r>
              <w:rPr>
                <w:rFonts w:ascii="Times New Roman" w:cs="Times New Roman" w:eastAsia="Times New Roman" w:hAnsi="Times New Roman"/>
                <w:sz w:val="18"/>
                <w:szCs w:val="18"/>
                <w:color w:val="auto"/>
              </w:rPr>
              <w:t>F-13</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00"/>
          </w:cols>
          <w:pgMar w:left="320" w:top="455" w:right="47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3" w:lineRule="exact"/>
        <w:rPr>
          <w:sz w:val="20"/>
          <w:szCs w:val="20"/>
          <w:color w:val="auto"/>
        </w:rPr>
      </w:pPr>
    </w:p>
    <w:p>
      <w:pPr>
        <w:jc w:val="center"/>
        <w:ind w:left="6920"/>
        <w:spacing w:after="0"/>
        <w:rPr>
          <w:sz w:val="20"/>
          <w:szCs w:val="20"/>
          <w:color w:val="auto"/>
        </w:rPr>
      </w:pPr>
      <w:r>
        <w:rPr>
          <w:rFonts w:ascii="Times New Roman" w:cs="Times New Roman" w:eastAsia="Times New Roman" w:hAnsi="Times New Roman"/>
          <w:sz w:val="14"/>
          <w:szCs w:val="14"/>
          <w:i w:val="1"/>
          <w:iCs w:val="1"/>
          <w:color w:val="auto"/>
        </w:rPr>
        <w:t>As of</w:t>
      </w:r>
    </w:p>
    <w:p>
      <w:pPr>
        <w:jc w:val="center"/>
        <w:ind w:left="6920"/>
        <w:spacing w:after="0"/>
        <w:rPr>
          <w:sz w:val="20"/>
          <w:szCs w:val="20"/>
          <w:color w:val="auto"/>
        </w:rPr>
      </w:pPr>
      <w:r>
        <w:rPr>
          <w:rFonts w:ascii="Times New Roman" w:cs="Times New Roman" w:eastAsia="Times New Roman" w:hAnsi="Times New Roman"/>
          <w:sz w:val="14"/>
          <w:szCs w:val="14"/>
          <w:i w:val="1"/>
          <w:iCs w:val="1"/>
          <w:color w:val="auto"/>
        </w:rPr>
        <w:t>December 31,</w:t>
      </w:r>
    </w:p>
    <w:tbl>
      <w:tblPr>
        <w:tblLayout w:type="fixed"/>
        <w:tblInd w:w="1000" w:type="dxa"/>
        <w:tblCellMar>
          <w:top w:w="0" w:type="dxa"/>
          <w:left w:w="0" w:type="dxa"/>
          <w:bottom w:w="0" w:type="dxa"/>
          <w:right w:w="0" w:type="dxa"/>
        </w:tblCellMar>
      </w:tblPr>
      <w:tr>
        <w:trPr>
          <w:trHeight w:val="119"/>
        </w:trPr>
        <w:tc>
          <w:tcPr>
            <w:tcW w:w="7020" w:type="dxa"/>
            <w:vAlign w:val="bottom"/>
          </w:tcPr>
          <w:p>
            <w:pPr>
              <w:spacing w:after="0"/>
              <w:rPr>
                <w:sz w:val="10"/>
                <w:szCs w:val="10"/>
                <w:color w:val="auto"/>
              </w:rPr>
            </w:pPr>
          </w:p>
        </w:tc>
        <w:tc>
          <w:tcPr>
            <w:tcW w:w="960" w:type="dxa"/>
            <w:vAlign w:val="bottom"/>
            <w:tcBorders>
              <w:top w:val="single" w:sz="8" w:color="auto"/>
            </w:tcBorders>
          </w:tcPr>
          <w:p>
            <w:pPr>
              <w:jc w:val="right"/>
              <w:ind w:right="273"/>
              <w:spacing w:after="0" w:line="119" w:lineRule="exact"/>
              <w:rPr>
                <w:sz w:val="20"/>
                <w:szCs w:val="20"/>
                <w:color w:val="auto"/>
              </w:rPr>
            </w:pPr>
            <w:r>
              <w:rPr>
                <w:rFonts w:ascii="Times New Roman" w:cs="Times New Roman" w:eastAsia="Times New Roman" w:hAnsi="Times New Roman"/>
                <w:sz w:val="13"/>
                <w:szCs w:val="13"/>
                <w:i w:val="1"/>
                <w:iCs w:val="1"/>
                <w:color w:val="auto"/>
              </w:rPr>
              <w:t>2020</w:t>
            </w:r>
          </w:p>
        </w:tc>
        <w:tc>
          <w:tcPr>
            <w:tcW w:w="1200" w:type="dxa"/>
            <w:vAlign w:val="bottom"/>
            <w:tcBorders>
              <w:top w:val="single" w:sz="8" w:color="auto"/>
            </w:tcBorders>
            <w:gridSpan w:val="2"/>
          </w:tcPr>
          <w:p>
            <w:pPr>
              <w:jc w:val="right"/>
              <w:ind w:right="276"/>
              <w:spacing w:after="0" w:line="119" w:lineRule="exact"/>
              <w:rPr>
                <w:sz w:val="20"/>
                <w:szCs w:val="20"/>
                <w:color w:val="auto"/>
              </w:rPr>
            </w:pPr>
            <w:r>
              <w:rPr>
                <w:rFonts w:ascii="Times New Roman" w:cs="Times New Roman" w:eastAsia="Times New Roman" w:hAnsi="Times New Roman"/>
                <w:sz w:val="13"/>
                <w:szCs w:val="13"/>
                <w:i w:val="1"/>
                <w:iCs w:val="1"/>
                <w:color w:val="auto"/>
              </w:rPr>
              <w:t>2021</w:t>
            </w:r>
          </w:p>
        </w:tc>
        <w:tc>
          <w:tcPr>
            <w:tcW w:w="80" w:type="dxa"/>
            <w:vAlign w:val="bottom"/>
          </w:tcPr>
          <w:p>
            <w:pPr>
              <w:spacing w:after="0"/>
              <w:rPr>
                <w:sz w:val="10"/>
                <w:szCs w:val="10"/>
                <w:color w:val="auto"/>
              </w:rPr>
            </w:pPr>
          </w:p>
        </w:tc>
      </w:tr>
      <w:tr>
        <w:trPr>
          <w:trHeight w:val="171"/>
        </w:trPr>
        <w:tc>
          <w:tcPr>
            <w:tcW w:w="70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RMB’000</w:t>
            </w:r>
          </w:p>
        </w:tc>
        <w:tc>
          <w:tcPr>
            <w:tcW w:w="220" w:type="dxa"/>
            <w:vAlign w:val="bottom"/>
          </w:tcPr>
          <w:p>
            <w:pPr>
              <w:spacing w:after="0"/>
              <w:rPr>
                <w:sz w:val="14"/>
                <w:szCs w:val="14"/>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RMB’000</w:t>
            </w: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 non-current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6,328</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13,855</w:t>
            </w:r>
          </w:p>
        </w:tc>
        <w:tc>
          <w:tcPr>
            <w:tcW w:w="8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Put option liabilities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66,116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39,184</w:t>
            </w:r>
          </w:p>
        </w:tc>
        <w:tc>
          <w:tcPr>
            <w:tcW w:w="8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9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7,479</w:t>
            </w:r>
          </w:p>
        </w:tc>
        <w:tc>
          <w:tcPr>
            <w:tcW w:w="80" w:type="dxa"/>
            <w:vAlign w:val="bottom"/>
            <w:shd w:val="clear" w:color="auto" w:fill="CCEEFF"/>
          </w:tcPr>
          <w:p>
            <w:pPr>
              <w:spacing w:after="0"/>
              <w:rPr>
                <w:sz w:val="18"/>
                <w:szCs w:val="18"/>
                <w:color w:val="auto"/>
              </w:rPr>
            </w:pPr>
          </w:p>
        </w:tc>
      </w:tr>
      <w:tr>
        <w:trPr>
          <w:trHeight w:val="223"/>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49,000</w:t>
            </w:r>
          </w:p>
        </w:tc>
        <w:tc>
          <w:tcPr>
            <w:tcW w:w="2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49,177</w:t>
            </w:r>
          </w:p>
        </w:tc>
        <w:tc>
          <w:tcPr>
            <w:tcW w:w="80" w:type="dxa"/>
            <w:vAlign w:val="bottom"/>
          </w:tcPr>
          <w:p>
            <w:pPr>
              <w:spacing w:after="0"/>
              <w:rPr>
                <w:sz w:val="19"/>
                <w:szCs w:val="19"/>
                <w:color w:val="auto"/>
              </w:rPr>
            </w:pPr>
          </w:p>
        </w:tc>
      </w:tr>
      <w:tr>
        <w:trPr>
          <w:trHeight w:val="216"/>
        </w:trPr>
        <w:tc>
          <w:tcPr>
            <w:tcW w:w="70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121,444</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109,695</w:t>
            </w:r>
          </w:p>
        </w:tc>
        <w:tc>
          <w:tcPr>
            <w:tcW w:w="80" w:type="dxa"/>
            <w:vAlign w:val="bottom"/>
            <w:shd w:val="clear" w:color="auto" w:fill="CCEEFF"/>
          </w:tcPr>
          <w:p>
            <w:pPr>
              <w:spacing w:after="0"/>
              <w:rPr>
                <w:sz w:val="18"/>
                <w:szCs w:val="18"/>
                <w:color w:val="auto"/>
              </w:rPr>
            </w:pPr>
          </w:p>
        </w:tc>
      </w:tr>
      <w:tr>
        <w:trPr>
          <w:trHeight w:val="223"/>
        </w:trPr>
        <w:tc>
          <w:tcPr>
            <w:tcW w:w="7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9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8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Other payables, deposits received and accrued expenses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21,284</w:t>
            </w:r>
          </w:p>
        </w:tc>
        <w:tc>
          <w:tcPr>
            <w:tcW w:w="8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8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 – current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10,341</w:t>
            </w:r>
          </w:p>
        </w:tc>
        <w:tc>
          <w:tcPr>
            <w:tcW w:w="8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the Company and its subsidiaries*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1,100,356</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1,451,315</w:t>
            </w:r>
          </w:p>
        </w:tc>
        <w:tc>
          <w:tcPr>
            <w:tcW w:w="80" w:type="dxa"/>
            <w:vAlign w:val="bottom"/>
            <w:shd w:val="clear" w:color="auto" w:fill="CCEEFF"/>
          </w:tcPr>
          <w:p>
            <w:pPr>
              <w:spacing w:after="0"/>
              <w:rPr>
                <w:sz w:val="18"/>
                <w:szCs w:val="18"/>
                <w:color w:val="auto"/>
              </w:rPr>
            </w:pPr>
          </w:p>
        </w:tc>
      </w:tr>
      <w:tr>
        <w:trPr>
          <w:trHeight w:val="223"/>
        </w:trPr>
        <w:tc>
          <w:tcPr>
            <w:tcW w:w="70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1,116,024</w:t>
            </w:r>
          </w:p>
        </w:tc>
        <w:tc>
          <w:tcPr>
            <w:tcW w:w="22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1,485,615</w:t>
            </w:r>
          </w:p>
        </w:tc>
        <w:tc>
          <w:tcPr>
            <w:tcW w:w="80" w:type="dxa"/>
            <w:vAlign w:val="bottom"/>
          </w:tcPr>
          <w:p>
            <w:pPr>
              <w:spacing w:after="0"/>
              <w:rPr>
                <w:sz w:val="19"/>
                <w:szCs w:val="19"/>
                <w:color w:val="auto"/>
              </w:rPr>
            </w:pPr>
          </w:p>
        </w:tc>
      </w:tr>
      <w:tr>
        <w:trPr>
          <w:trHeight w:val="20"/>
        </w:trPr>
        <w:tc>
          <w:tcPr>
            <w:tcW w:w="70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1,237,468</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1,595,310</w:t>
            </w:r>
          </w:p>
        </w:tc>
        <w:tc>
          <w:tcPr>
            <w:tcW w:w="80" w:type="dxa"/>
            <w:vAlign w:val="bottom"/>
            <w:shd w:val="clear" w:color="auto" w:fill="CCEEFF"/>
          </w:tcPr>
          <w:p>
            <w:pPr>
              <w:spacing w:after="0"/>
              <w:rPr>
                <w:sz w:val="18"/>
                <w:szCs w:val="18"/>
                <w:color w:val="auto"/>
              </w:rPr>
            </w:pPr>
          </w:p>
        </w:tc>
      </w:tr>
      <w:tr>
        <w:trPr>
          <w:trHeight w:val="20"/>
        </w:trPr>
        <w:tc>
          <w:tcPr>
            <w:tcW w:w="70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right="100" w:hanging="224"/>
        <w:spacing w:after="0" w:line="282" w:lineRule="auto"/>
        <w:tabs>
          <w:tab w:leader="none" w:pos="3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due from / to the Company and its subsidiaries represent the amounts due from / to WeRide Inc. and its wholly-owned subsidiaries, which are eliminated upon consolidation.</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720" w:type="dxa"/>
            <w:vAlign w:val="bottom"/>
          </w:tcPr>
          <w:p>
            <w:pPr>
              <w:spacing w:after="0"/>
              <w:rPr>
                <w:sz w:val="15"/>
                <w:szCs w:val="15"/>
                <w:color w:val="auto"/>
              </w:rPr>
            </w:pPr>
          </w:p>
        </w:tc>
        <w:tc>
          <w:tcPr>
            <w:tcW w:w="252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i w:val="1"/>
                <w:iCs w:val="1"/>
                <w:color w:val="auto"/>
              </w:rPr>
              <w:t>For the year ended December 31,</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720" w:type="dxa"/>
            <w:vAlign w:val="bottom"/>
          </w:tcPr>
          <w:p>
            <w:pPr>
              <w:spacing w:after="0"/>
              <w:rPr>
                <w:sz w:val="10"/>
                <w:szCs w:val="10"/>
                <w:color w:val="auto"/>
              </w:rPr>
            </w:pPr>
          </w:p>
        </w:tc>
        <w:tc>
          <w:tcPr>
            <w:tcW w:w="1300" w:type="dxa"/>
            <w:vAlign w:val="bottom"/>
            <w:tcBorders>
              <w:top w:val="single" w:sz="8" w:color="auto"/>
            </w:tcBorders>
          </w:tcPr>
          <w:p>
            <w:pPr>
              <w:jc w:val="right"/>
              <w:ind w:right="635"/>
              <w:spacing w:after="0" w:line="119" w:lineRule="exact"/>
              <w:rPr>
                <w:sz w:val="20"/>
                <w:szCs w:val="20"/>
                <w:color w:val="auto"/>
              </w:rPr>
            </w:pPr>
            <w:r>
              <w:rPr>
                <w:rFonts w:ascii="Times New Roman" w:cs="Times New Roman" w:eastAsia="Times New Roman" w:hAnsi="Times New Roman"/>
                <w:sz w:val="13"/>
                <w:szCs w:val="13"/>
                <w:i w:val="1"/>
                <w:iCs w:val="1"/>
                <w:color w:val="auto"/>
              </w:rPr>
              <w:t>2020</w:t>
            </w:r>
          </w:p>
        </w:tc>
        <w:tc>
          <w:tcPr>
            <w:tcW w:w="1100" w:type="dxa"/>
            <w:vAlign w:val="bottom"/>
            <w:tcBorders>
              <w:top w:val="single" w:sz="8" w:color="auto"/>
            </w:tcBorders>
          </w:tcPr>
          <w:p>
            <w:pPr>
              <w:jc w:val="right"/>
              <w:ind w:right="214"/>
              <w:spacing w:after="0" w:line="119" w:lineRule="exact"/>
              <w:rPr>
                <w:sz w:val="20"/>
                <w:szCs w:val="20"/>
                <w:color w:val="auto"/>
              </w:rPr>
            </w:pPr>
            <w:r>
              <w:rPr>
                <w:rFonts w:ascii="Times New Roman" w:cs="Times New Roman" w:eastAsia="Times New Roman" w:hAnsi="Times New Roman"/>
                <w:sz w:val="13"/>
                <w:szCs w:val="13"/>
                <w:i w:val="1"/>
                <w:iCs w:val="1"/>
                <w:color w:val="auto"/>
              </w:rPr>
              <w:t>2021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300" w:type="dxa"/>
            <w:vAlign w:val="bottom"/>
          </w:tcPr>
          <w:p>
            <w:pPr>
              <w:jc w:val="center"/>
              <w:ind w:right="355"/>
              <w:spacing w:after="0"/>
              <w:rPr>
                <w:sz w:val="20"/>
                <w:szCs w:val="20"/>
                <w:color w:val="auto"/>
              </w:rPr>
            </w:pPr>
            <w:r>
              <w:rPr>
                <w:rFonts w:ascii="Times New Roman" w:cs="Times New Roman" w:eastAsia="Times New Roman" w:hAnsi="Times New Roman"/>
                <w:sz w:val="14"/>
                <w:szCs w:val="14"/>
                <w:color w:val="auto"/>
              </w:rPr>
              <w:t>RMB’000</w:t>
            </w:r>
          </w:p>
        </w:tc>
        <w:tc>
          <w:tcPr>
            <w:tcW w:w="1220" w:type="dxa"/>
            <w:vAlign w:val="bottom"/>
            <w:gridSpan w:val="2"/>
          </w:tcPr>
          <w:p>
            <w:pPr>
              <w:jc w:val="center"/>
              <w:ind w:left="14"/>
              <w:spacing w:after="0"/>
              <w:rPr>
                <w:sz w:val="20"/>
                <w:szCs w:val="20"/>
                <w:color w:val="auto"/>
              </w:rPr>
            </w:pPr>
            <w:r>
              <w:rPr>
                <w:rFonts w:ascii="Times New Roman" w:cs="Times New Roman" w:eastAsia="Times New Roman" w:hAnsi="Times New Roman"/>
                <w:sz w:val="14"/>
                <w:szCs w:val="14"/>
                <w:color w:val="auto"/>
              </w:rPr>
              <w:t>RMB’000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30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color w:val="auto"/>
              </w:rPr>
              <w:t>46,940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year</w:t>
            </w:r>
          </w:p>
        </w:tc>
        <w:tc>
          <w:tcPr>
            <w:tcW w:w="130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(44,740)</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(57,414)</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67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in)/generated from operating activities</w:t>
            </w:r>
          </w:p>
        </w:tc>
        <w:tc>
          <w:tcPr>
            <w:tcW w:w="130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(62,010)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in)/generated from investing activities</w:t>
            </w:r>
          </w:p>
        </w:tc>
        <w:tc>
          <w:tcPr>
            <w:tcW w:w="130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(551,097)</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246,762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generated from financing activities</w:t>
            </w:r>
          </w:p>
        </w:tc>
        <w:tc>
          <w:tcPr>
            <w:tcW w:w="130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color w:val="auto"/>
              </w:rPr>
              <w:t>615,795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300" w:type="dxa"/>
            <w:vAlign w:val="bottom"/>
          </w:tcPr>
          <w:p>
            <w:pPr>
              <w:jc w:val="right"/>
              <w:ind w:right="335"/>
              <w:spacing w:after="0"/>
              <w:rPr>
                <w:sz w:val="20"/>
                <w:szCs w:val="20"/>
                <w:color w:val="auto"/>
              </w:rPr>
            </w:pPr>
            <w:r>
              <w:rPr>
                <w:rFonts w:ascii="Times New Roman" w:cs="Times New Roman" w:eastAsia="Times New Roman" w:hAnsi="Times New Roman"/>
                <w:sz w:val="18"/>
                <w:szCs w:val="18"/>
                <w:color w:val="auto"/>
              </w:rPr>
              <w:t>2,688</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591,604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year</w:t>
            </w:r>
          </w:p>
        </w:tc>
        <w:tc>
          <w:tcPr>
            <w:tcW w:w="130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color w:val="auto"/>
              </w:rPr>
              <w:t>169,915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the end of the year</w:t>
            </w:r>
          </w:p>
        </w:tc>
        <w:tc>
          <w:tcPr>
            <w:tcW w:w="1300" w:type="dxa"/>
            <w:vAlign w:val="bottom"/>
          </w:tcPr>
          <w:p>
            <w:pPr>
              <w:jc w:val="right"/>
              <w:ind w:right="335"/>
              <w:spacing w:after="0"/>
              <w:rPr>
                <w:sz w:val="20"/>
                <w:szCs w:val="20"/>
                <w:color w:val="auto"/>
              </w:rPr>
            </w:pPr>
            <w:r>
              <w:rPr>
                <w:rFonts w:ascii="Times New Roman" w:cs="Times New Roman" w:eastAsia="Times New Roman" w:hAnsi="Times New Roman"/>
                <w:sz w:val="18"/>
                <w:szCs w:val="18"/>
                <w:color w:val="auto"/>
              </w:rPr>
              <w:t>172,603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764,207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During the years presented, the Company and its wholly-owned subsidiaries provided financial support to the VIE that they were not previously contractually required to provide in the form of advances. To the extent VIE requires financial support, the Company may, at its option and to the extent permitted under the PRC law, provide such support to the VIE through loans to the VIE’s Nominee Shareholders, entrustment loans to the VIE or cash pooling arrangements to fund the VIE.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 Basis of preparation</w:t>
      </w:r>
    </w:p>
    <w:p>
      <w:pPr>
        <w:spacing w:after="0" w:line="121" w:lineRule="exact"/>
        <w:rPr>
          <w:sz w:val="20"/>
          <w:szCs w:val="20"/>
          <w:color w:val="auto"/>
        </w:rPr>
      </w:pPr>
    </w:p>
    <w:p>
      <w:pPr>
        <w:ind w:left="120" w:right="780"/>
        <w:spacing w:after="0" w:line="282" w:lineRule="auto"/>
        <w:rPr>
          <w:sz w:val="20"/>
          <w:szCs w:val="20"/>
          <w:color w:val="auto"/>
        </w:rPr>
      </w:pPr>
      <w:r>
        <w:rPr>
          <w:rFonts w:ascii="Times New Roman" w:cs="Times New Roman" w:eastAsia="Times New Roman" w:hAnsi="Times New Roman"/>
          <w:sz w:val="18"/>
          <w:szCs w:val="18"/>
          <w:color w:val="auto"/>
        </w:rPr>
        <w:t>The Group has adopted December 31 as its financial year end date. The Group has adopted December 31 as its financial year end date. These consolidated financial statements were authorized for issue by the Company’s Board of Directors on February 23, 2023.</w:t>
      </w:r>
    </w:p>
    <w:p>
      <w:pPr>
        <w:spacing w:after="0" w:line="162"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These consolidated financial statements have been prepared in accordance with all applicable International Financial Reporting Standards (“IFRSs”), which collective term includes all applicable individual International Financial Reporting Standards, International Accounting Standards (“IASs”) and Interpretations issued by the International Accounting Standard Board (“IASB”). These consolidated financial statements are the Group’s first</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060"/>
          </w:cols>
          <w:pgMar w:left="320" w:top="455" w:right="51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700"/>
        <w:spacing w:after="0" w:line="266" w:lineRule="auto"/>
        <w:rPr>
          <w:sz w:val="20"/>
          <w:szCs w:val="20"/>
          <w:color w:val="auto"/>
        </w:rPr>
      </w:pPr>
      <w:r>
        <w:rPr>
          <w:rFonts w:ascii="Times New Roman" w:cs="Times New Roman" w:eastAsia="Times New Roman" w:hAnsi="Times New Roman"/>
          <w:sz w:val="18"/>
          <w:szCs w:val="18"/>
          <w:color w:val="auto"/>
        </w:rPr>
        <w:t>IFRS financial statements with a date of transition to IFRSs opening statement of financial position was prepared as of January 1, 2020. No reconciliation of the Group’s equity and profits or loss upon transition to IFRSs has been presented as the Group has not previously issued any consolidated financial statements. Significant accounting policies adopted by the Group are disclosed below.</w:t>
      </w:r>
    </w:p>
    <w:p>
      <w:pPr>
        <w:spacing w:after="0" w:line="176"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 xml:space="preserve">The IASB has issued a number of new and revised IFRSs. For the purpose of preparing these consolidated financial statements, the Group has adopted all applicable new and revised IFRSs that are effective for the annual accounting periods beginning on or after January 1, 2020, including Amendments to IFRS 3,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Definition of a Business</w:t>
      </w:r>
      <w:r>
        <w:rPr>
          <w:rFonts w:ascii="Times New Roman" w:cs="Times New Roman" w:eastAsia="Times New Roman" w:hAnsi="Times New Roman"/>
          <w:sz w:val="18"/>
          <w:szCs w:val="18"/>
          <w:color w:val="auto"/>
        </w:rPr>
        <w:t xml:space="preserve"> and Amendment to IFRS 16,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Covid-19-Related Rent Concessions</w:t>
      </w:r>
      <w:r>
        <w:rPr>
          <w:rFonts w:ascii="Times New Roman" w:cs="Times New Roman" w:eastAsia="Times New Roman" w:hAnsi="Times New Roman"/>
          <w:sz w:val="18"/>
          <w:szCs w:val="18"/>
          <w:color w:val="auto"/>
        </w:rPr>
        <w:t xml:space="preserve"> consistently throughout the periods presented.</w:t>
      </w:r>
    </w:p>
    <w:p>
      <w:pPr>
        <w:spacing w:after="0" w:line="178" w:lineRule="exact"/>
        <w:rPr>
          <w:sz w:val="20"/>
          <w:szCs w:val="20"/>
          <w:color w:val="auto"/>
        </w:rPr>
      </w:pPr>
    </w:p>
    <w:p>
      <w:pPr>
        <w:jc w:val="both"/>
        <w:ind w:left="120" w:right="520"/>
        <w:spacing w:after="0" w:line="267" w:lineRule="auto"/>
        <w:rPr>
          <w:sz w:val="20"/>
          <w:szCs w:val="20"/>
          <w:color w:val="auto"/>
        </w:rPr>
      </w:pPr>
      <w:r>
        <w:rPr>
          <w:rFonts w:ascii="Times New Roman" w:cs="Times New Roman" w:eastAsia="Times New Roman" w:hAnsi="Times New Roman"/>
          <w:sz w:val="18"/>
          <w:szCs w:val="18"/>
          <w:color w:val="auto"/>
        </w:rPr>
        <w:t xml:space="preserve">Amendments to IFRS 3,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Definition of a Business</w:t>
      </w:r>
      <w:r>
        <w:rPr>
          <w:rFonts w:ascii="Times New Roman" w:cs="Times New Roman" w:eastAsia="Times New Roman" w:hAnsi="Times New Roman"/>
          <w:sz w:val="18"/>
          <w:szCs w:val="18"/>
          <w:color w:val="auto"/>
        </w:rPr>
        <w:t>, were effective for the annual accounting periods beginning on or after January 1, 2020 and earlier application is permitted. The amendments clarify the definition of a business and provide further guidance on how to determine whether a transaction represents a business combination.</w:t>
      </w:r>
    </w:p>
    <w:p>
      <w:pPr>
        <w:spacing w:after="0" w:line="173"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 xml:space="preserve">Amendment to IFRS 16,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Covid-19-Related Rent Concessions</w:t>
      </w:r>
      <w:r>
        <w:rPr>
          <w:rFonts w:ascii="Times New Roman" w:cs="Times New Roman" w:eastAsia="Times New Roman" w:hAnsi="Times New Roman"/>
          <w:sz w:val="18"/>
          <w:szCs w:val="18"/>
          <w:color w:val="auto"/>
        </w:rPr>
        <w:t>, was effective for the accounting periods beginning on or after June 1, 2020 and earlier application is permitted. The amendment provides a practical expedient that allows a lessee to by-pass the need to evaluate whether certain qualifying rent concessions occurring as a direct consequence of the COVID-19 pandemic (“COVID-19-related rent concessions”) are lease modifications and, instead, account for those rent concessions as if they were not lease modifications. The Group has applied the practical expedient to all qualifying COVID-19-related rent concessions granted to the Group throughout the periods presented. Consequently, rent concessions received have been accounted for as negative variable lease payments recognized in profit or loss in the period in which the event or condition that triggers those payments occurred (see Note 12).</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consolidated financial statements for the years ended December 31, 2020 and 2021 comprise the Company, its subsidiaries and VIE.</w:t>
      </w:r>
    </w:p>
    <w:p>
      <w:pPr>
        <w:spacing w:after="0" w:line="225"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measurement basis used in the preparation of these financial statements is the historical cost basis except that the following assets and liabilities are stated at their fair value as explained in the accounting policies set out below:</w:t>
      </w:r>
    </w:p>
    <w:p>
      <w:pPr>
        <w:spacing w:after="0" w:line="67" w:lineRule="exact"/>
        <w:rPr>
          <w:sz w:val="20"/>
          <w:szCs w:val="20"/>
          <w:color w:val="auto"/>
        </w:rPr>
      </w:pPr>
    </w:p>
    <w:p>
      <w:pPr>
        <w:ind w:left="540" w:hanging="424"/>
        <w:spacing w:after="0"/>
        <w:tabs>
          <w:tab w:leader="none" w:pos="5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investments in debt and equity securities (see Note 2(g)); and</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liabilities measured at FVTPL (see Note (2(s)).</w:t>
      </w:r>
    </w:p>
    <w:p>
      <w:pPr>
        <w:spacing w:after="0" w:line="225"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preparation of these consolidated financial statements in conformity with IFRSs requires management to make judgements, estimates and assumptions that affect the application of policies and reported amounts of assets, liabilities, income and expenses. The estimates and associated assumptions are based on historical experience and various other factors that are believed to be reasonable under the circumstances, the results of which form the basis of making the judgements about carrying values of assets and liabilities that are not readily apparent from other sources. Actual results may differ from these estimates.</w:t>
      </w:r>
    </w:p>
    <w:p>
      <w:pPr>
        <w:spacing w:after="0" w:line="183"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The estimates and underlying assumptions are reviewed on an ongoing basis. Revisions to accounting estimates are recognized in the period in which the estimate is revised if the revision affects only that period, or in the period of the revision and future periods if the revision affects both current and future periods.</w:t>
      </w:r>
    </w:p>
    <w:p>
      <w:pPr>
        <w:spacing w:after="0" w:line="176"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Judgements made by management in the application of IFRSs that have significant effect on the financial statements and major sources of estimation uncertainty are discussed in Note 3.</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060"/>
          </w:cols>
          <w:pgMar w:left="320" w:top="455" w:right="51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 Subsidiaries and non-controlling interests</w:t>
      </w:r>
    </w:p>
    <w:p>
      <w:pPr>
        <w:spacing w:after="0" w:line="12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Subsidiaries are entities controlled by the Group. The Group controls an entity when it is exposed, or has rights, to variable returns from its involvement with the entity and has the ability to affect those returns through its power over the entity. When assessing whether the Group has power, only substantive rights (held by the Group and other parties) are considered.</w:t>
      </w:r>
    </w:p>
    <w:p>
      <w:pPr>
        <w:spacing w:after="0" w:line="176"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An investment in a subsidiary is consolidated into the consolidated financial statements from the date that control commences until the date that control ceases. Intra-group balances, transactions and cash flows and any unrealized profits arising from intra-group transactions are eliminated in full in preparing the consolidated financial statements. Unrealized losses resulting from intra-group transactions are eliminated in the same way as unrealized gains but only to the extent that there is no evidence of impairment.</w:t>
      </w:r>
    </w:p>
    <w:p>
      <w:pPr>
        <w:spacing w:after="0" w:line="180" w:lineRule="exact"/>
        <w:rPr>
          <w:sz w:val="20"/>
          <w:szCs w:val="20"/>
          <w:color w:val="auto"/>
        </w:rPr>
      </w:pPr>
    </w:p>
    <w:p>
      <w:pPr>
        <w:ind w:left="120" w:right="260"/>
        <w:spacing w:after="0" w:line="281" w:lineRule="auto"/>
        <w:rPr>
          <w:sz w:val="20"/>
          <w:szCs w:val="20"/>
          <w:color w:val="auto"/>
        </w:rPr>
      </w:pPr>
      <w:r>
        <w:rPr>
          <w:rFonts w:ascii="Times New Roman" w:cs="Times New Roman" w:eastAsia="Times New Roman" w:hAnsi="Times New Roman"/>
          <w:sz w:val="17"/>
          <w:szCs w:val="17"/>
          <w:color w:val="auto"/>
        </w:rPr>
        <w:t>Non-controlling interests represent the equity in a subsidiary not attributable directly or indirectly to the Company, and in respect of which the Group has not agreed any additional terms with the holders of those interests which would result in the Group as a whole having a contractual obligation in respect of those interests that meets the definition of a financial liability. For each business combination, the Group can elect to measure any non-controlling interests either at fair value or at the non-controlling interests’ proportionate share of subsidiary’s net identifiable assets.</w:t>
      </w:r>
    </w:p>
    <w:p>
      <w:pPr>
        <w:spacing w:after="0" w:line="164"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Non-controlling interests are presented in the consolidated statement of financial position within equity, separately from equity attributable to the equity shareholders of the Company. Non-controlling interests in the results of the Group are presented on the face of the consolidated statement of profit or loss and the consolidated statement of profit or loss and other comprehensive income as an allocation of the total profit or loss and total comprehensive income for the year between non-controlling interests and the equity shareholders of the Company.</w:t>
      </w:r>
    </w:p>
    <w:p>
      <w:pPr>
        <w:spacing w:after="0" w:line="180"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Changes in the Group’s interests in a subsidiary that do not result in a loss of control are accounted for as equity transactions, whereby adjustments are made to the amounts of controlling and non-controlling interests within consolidated equity to reflect the change in relative interests, but no adjustments are made to goodwill and no gain or loss is recognized.</w:t>
      </w:r>
    </w:p>
    <w:p>
      <w:pPr>
        <w:spacing w:after="0" w:line="176" w:lineRule="exact"/>
        <w:rPr>
          <w:sz w:val="20"/>
          <w:szCs w:val="20"/>
          <w:color w:val="auto"/>
        </w:rPr>
      </w:pPr>
    </w:p>
    <w:p>
      <w:pPr>
        <w:jc w:val="both"/>
        <w:ind w:left="120" w:right="120"/>
        <w:spacing w:after="0" w:line="289" w:lineRule="auto"/>
        <w:rPr>
          <w:sz w:val="20"/>
          <w:szCs w:val="20"/>
          <w:color w:val="auto"/>
        </w:rPr>
      </w:pPr>
      <w:r>
        <w:rPr>
          <w:rFonts w:ascii="Times New Roman" w:cs="Times New Roman" w:eastAsia="Times New Roman" w:hAnsi="Times New Roman"/>
          <w:sz w:val="17"/>
          <w:szCs w:val="17"/>
          <w:color w:val="auto"/>
        </w:rPr>
        <w:t>When the Group loses control of a subsidiary, it is accounted for as a disposal of the entire interest in that subsidiary, with a resulting gain or loss being recognized in profit or loss. Any interest retained in that former subsidiary at the date when control is lost is recognized at fair value and this amount is regarded as the fair value on initial recognition of a financial asset or, when appropriate, the cost on initial recognition of an investment in an associate.</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the Company’s statement of financial position, an investment in a subsidiary is stated at cost less impairment losses (see Note 2(h)(ii)).</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 Business combination</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Group accounts for business combinations using the acquisition method when control is transferred to the Group (see Note 2(a)). The consideration transferred in the acquisition is generally measured at fair value, as are the identifiable net assets acquired. Any goodwill that arises is tested annually for impairment (see Note 2(c)). Any gain on a bargain purchase is recognized in profit or loss immediately. Transaction costs are expensed as incurred, except if related to the issue of debt or equity securities. The consideration transferred does not include amounts related to the settlement of pre-existing relationships. Such amounts are generally recognized in profit or loss.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120"/>
          </w:cols>
          <w:pgMar w:left="320" w:top="455" w:right="45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13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Goodwill represents the excess of:</w:t>
      </w:r>
    </w:p>
    <w:p>
      <w:pPr>
        <w:spacing w:after="0" w:line="131" w:lineRule="exact"/>
        <w:rPr>
          <w:sz w:val="20"/>
          <w:szCs w:val="20"/>
          <w:color w:val="auto"/>
        </w:rPr>
      </w:pPr>
    </w:p>
    <w:p>
      <w:pPr>
        <w:ind w:left="540" w:right="140" w:hanging="424"/>
        <w:spacing w:after="0" w:line="282" w:lineRule="auto"/>
        <w:tabs>
          <w:tab w:leader="none" w:pos="5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of the fair value of the consideration transferred, the amount of any non-controlling interest in the acquiree and the fair value of the Group’s previously held equity interest in the acquiree; over</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fair value of the acquiree’s identifiable assets and liabilities measured as at the acquisition date.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When (ii) is greater than (i), then this excess is recognized immediately in profit or loss as a gain on a bargain purchase.</w:t>
      </w:r>
    </w:p>
    <w:p>
      <w:pPr>
        <w:spacing w:after="0" w:line="225"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Goodwill is stated at cost less accumulated impairment losses. Goodwill arising on a business combination is allocated to each cash-generating unit, or groups of cash-generating units, that is expected to benefit from the synergies of the combination and is tested annually for impairment (see Note 2(h) (ii)).</w:t>
      </w:r>
    </w:p>
    <w:p>
      <w:pPr>
        <w:spacing w:after="0" w:line="176"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On disposal of a cash-generating unit during the year, any attributable amount of purchased goodwill is included in the calculation of the profit or loss on disposal.</w:t>
      </w:r>
    </w:p>
    <w:p>
      <w:pPr>
        <w:spacing w:after="0" w:line="306" w:lineRule="exact"/>
        <w:rPr>
          <w:sz w:val="20"/>
          <w:szCs w:val="20"/>
          <w:color w:val="auto"/>
        </w:rPr>
      </w:pPr>
    </w:p>
    <w:p>
      <w:pPr>
        <w:ind w:left="540" w:hanging="424"/>
        <w:spacing w:after="0"/>
        <w:tabs>
          <w:tab w:leader="none" w:pos="540" w:val="left"/>
        </w:tabs>
        <w:numPr>
          <w:ilvl w:val="0"/>
          <w:numId w:val="13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impairment losses (see Note 2(h)(ii)).</w:t>
      </w:r>
    </w:p>
    <w:p>
      <w:pPr>
        <w:spacing w:after="0" w:line="225"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Gains or losses arising from the retirement or disposal of an item of property and equipment are determined as the difference between the net disposal proceeds and the carrying amount of the item and are recognized in profit or loss on the date of retirement or disposal.</w:t>
      </w:r>
    </w:p>
    <w:p>
      <w:pPr>
        <w:spacing w:after="0" w:line="162"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Depreciation is calculated to write-off the cost or valuation of items of property and equipment, less their estimated residual value, if any, using the straight-line method over their estimated useful lives as follows: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   Leasehold improvement</w:t>
            </w:r>
          </w:p>
        </w:tc>
        <w:tc>
          <w:tcPr>
            <w:tcW w:w="5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Over the shorter of the useful lives of the assets</w:t>
            </w:r>
          </w:p>
        </w:tc>
      </w:tr>
      <w:tr>
        <w:trPr>
          <w:trHeight w:val="229"/>
        </w:trPr>
        <w:tc>
          <w:tcPr>
            <w:tcW w:w="5440" w:type="dxa"/>
            <w:vAlign w:val="bottom"/>
          </w:tcPr>
          <w:p>
            <w:pPr>
              <w:spacing w:after="0"/>
              <w:rPr>
                <w:sz w:val="19"/>
                <w:szCs w:val="19"/>
                <w:color w:val="auto"/>
              </w:rPr>
            </w:pPr>
          </w:p>
        </w:tc>
        <w:tc>
          <w:tcPr>
            <w:tcW w:w="5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or lease terms of the associated properties</w:t>
            </w: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   Machinery</w:t>
            </w:r>
          </w:p>
        </w:tc>
        <w:tc>
          <w:tcPr>
            <w:tcW w:w="5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years</w:t>
            </w: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   Motor vehicles</w:t>
            </w:r>
          </w:p>
        </w:tc>
        <w:tc>
          <w:tcPr>
            <w:tcW w:w="5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234"/>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   Office equipment and electronic equipment</w:t>
            </w:r>
          </w:p>
        </w:tc>
        <w:tc>
          <w:tcPr>
            <w:tcW w:w="5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years</w:t>
            </w:r>
          </w:p>
        </w:tc>
      </w:tr>
    </w:tbl>
    <w:p>
      <w:pPr>
        <w:spacing w:after="0" w:line="198"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Where parts of an item of property and equipment have different useful lives, the cost or valuation of the item is allocated on a reasonable basis between the parts and each part is depreciated separately. Both the useful life of an asset and its residual value, if any, are reviewed annually.</w:t>
      </w:r>
    </w:p>
    <w:p>
      <w:pPr>
        <w:spacing w:after="0" w:line="306" w:lineRule="exact"/>
        <w:rPr>
          <w:sz w:val="20"/>
          <w:szCs w:val="20"/>
          <w:color w:val="auto"/>
        </w:rPr>
      </w:pPr>
    </w:p>
    <w:p>
      <w:pPr>
        <w:ind w:left="540" w:hanging="424"/>
        <w:spacing w:after="0"/>
        <w:tabs>
          <w:tab w:leader="none" w:pos="540" w:val="left"/>
        </w:tabs>
        <w:numPr>
          <w:ilvl w:val="0"/>
          <w:numId w:val="13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Leased assets</w:t>
      </w:r>
    </w:p>
    <w:p>
      <w:pPr>
        <w:spacing w:after="0" w:line="121"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At inception of a contract, the Group assesses whether the contract is, or contains, a lease. A contract is, or contains, a lease if the contract conveys the right to control the use of an identified asset for a period of time in exchange for consideration. Control is conveyed where the customer has both the right to direct the use of the identified asset and to obtain substantially all of the economic benefits from that use.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As a lessee</w:t>
      </w:r>
    </w:p>
    <w:p>
      <w:pPr>
        <w:spacing w:after="0" w:line="121"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Where the contract contains lease component(s) and non-lease component(s), the Group has elected not to separate non-lease components and accounts for each lease component and any associated non-lease components as a single lease component for all leases.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140"/>
          </w:cols>
          <w:pgMar w:left="320" w:top="455" w:right="43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At the lease commencement date, the Group recognizes a right-of-use asset and a lease liability, except for short-term leases that have a lease term of 12 months or less and leases of low-value assets. When the Group enters into a lease in respect of a low-value asset, the Group decides whether to capitalize the lease on a lease-by-lease basis. The lease payments associated with those leases which are not capitalized are recognized as an expense on a systematic basis over the lease term.</w:t>
      </w:r>
    </w:p>
    <w:p>
      <w:pPr>
        <w:spacing w:after="0" w:line="18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Where the lease is capitalized, the lease liability is initially recognized at the present value of the lease payments payable over the lease term, discounted using the interest rate implicit in the lease or, if that rate cannot be readily determined, using a relevant incremental borrowing rate. After initial recognition, the lease liability is measured at amortized cost and interest expense is calculated using the effective interest method. Variable lease payments that do not depend on an index or rate are not included in the measurement of the lease liability and hence are charged to profit or loss in the accounting period in which they are incurred.</w:t>
      </w:r>
    </w:p>
    <w:p>
      <w:pPr>
        <w:spacing w:after="0" w:line="183"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The right-of-use asset recognized when a lease is capitalized is initially measured at cost, which comprises the initial amount of the lease liability plus any lease payments made at or before the commencement date, and any initial direct costs incurred. Where applicable, the cost of the right-of-use assets also includes an estimate of costs to dismantle and remove the underlying asset or to restore the underlying asset or the site on which it is located, discounted to their present value, less any lease incentives received. The right-of-use asset is subsequently stated at cost less accumulated depreciation and impairment losses (see Note 2(h)(ii)). Depreciation is calculated to write-off the cost using the straight-line method over their estimated useful lives using shorter of the useful lives of the underlying assets or lease terms.</w:t>
      </w:r>
    </w:p>
    <w:p>
      <w:pPr>
        <w:spacing w:after="0" w:line="187"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The initial fair value of refundable rental deposits is accounted for separately from the right-of-use assets in accordance with the accounting policy applicable to investments in debt securities carried at amortized cost. Any difference between the initial fair value and the nominal value of the deposits is accounted for as additional lease payments made and is included in the cost of right-of-use assets.</w:t>
      </w:r>
    </w:p>
    <w:p>
      <w:pPr>
        <w:spacing w:after="0" w:line="176"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The lease liability is remeasured when there is a change in future lease payments arising from a change in an index or rate, or there is a change in the Group’s estimate of the amount expected to be payable under a residual value guarantee, or there is a change arising from the reassessment of whether the Group will be reasonably certain to exercise a purchase, extension or termination option. When the lease liability is remeasured in this way, a corresponding adjustment is made to the carrying amount of the right-of-use asset or is recorded in profit or loss if the carrying amount of the right-of-use asset has been reduced to zero.</w:t>
      </w:r>
    </w:p>
    <w:p>
      <w:pPr>
        <w:spacing w:after="0" w:line="183"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 xml:space="preserve">The lease liability is also remeasured when there is a change in the scope of a lease or the consideration for a lease that is not originally provided for in the lease contract that is not accounted for as a separate lease. In this case the lease liability is remeasured based on the revised lease payments and lease term using a revised discount rate at the effective date of the modification. The only exceptions are rent concessions that occurred as a direct consequence of the COVID-19 pandemic and met the conditions set out in paragraph 46B of IFRS 16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In such cases, the Group has taken advantage of the practical expedient not to assess whether the rent concessions are lease modifications and recognize the change in consideration as negative variable lease payments in profit or loss in the period in which the event or condition that triggers the rent concessions occurred.</w:t>
      </w:r>
    </w:p>
    <w:p>
      <w:pPr>
        <w:spacing w:after="0" w:line="187"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In the consolidated statements of financial position, the current portion of long-term lease liabilities is determined as the present value of contractual payments that are due to be settled within twelve months after the periods presented. The Group presents right-of-use assets and lease liabilities separately in the consolidated statements of financial position.</w:t>
      </w:r>
    </w:p>
    <w:p>
      <w:pPr>
        <w:spacing w:after="0" w:line="320" w:lineRule="exact"/>
        <w:rPr>
          <w:sz w:val="20"/>
          <w:szCs w:val="20"/>
          <w:color w:val="auto"/>
        </w:rPr>
      </w:pPr>
    </w:p>
    <w:p>
      <w:pPr>
        <w:ind w:left="540" w:hanging="424"/>
        <w:spacing w:after="0"/>
        <w:tabs>
          <w:tab w:leader="none" w:pos="540" w:val="left"/>
        </w:tabs>
        <w:numPr>
          <w:ilvl w:val="0"/>
          <w:numId w:val="13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Intangible assets (other than goodwill)</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Expenditure on research activities is recognized as an expense in the period in which it is incurred. Expenditure on development activities is capitalized if the product or process is technically and commercially feasible and the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100"/>
          </w:cols>
          <w:pgMar w:left="320" w:top="455" w:right="47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Group has sufficient resources and the intention to complete development. The expenditure capitalized includes the costs of materials, direct labor, and an appropriate proportion of overheads and borrowing costs, where applicable. Capitalized development costs are stated at cost less accumulated amortization and impairment losses (see Note 2(h)(ii)).</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 development expenditure is recognized as an expense in the period in which it is incurred (see Note 2(z)).</w:t>
      </w:r>
    </w:p>
    <w:p>
      <w:pPr>
        <w:spacing w:after="0" w:line="225"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Intangible assets that are acquired by the Group are stated at cost less accumulated amortization (where the estimated useful life is finite) and impairment losses (see Note 2(h)(ii)). Expenditure on internally generated goodwill and brands is recognized as an expense in the period in which it is incurred.</w:t>
      </w:r>
    </w:p>
    <w:p>
      <w:pPr>
        <w:spacing w:after="0" w:line="176" w:lineRule="exact"/>
        <w:rPr>
          <w:sz w:val="20"/>
          <w:szCs w:val="20"/>
          <w:color w:val="auto"/>
        </w:rPr>
      </w:pPr>
    </w:p>
    <w:p>
      <w:pPr>
        <w:ind w:left="120" w:right="180"/>
        <w:spacing w:after="0" w:line="312" w:lineRule="auto"/>
        <w:rPr>
          <w:sz w:val="20"/>
          <w:szCs w:val="20"/>
          <w:color w:val="auto"/>
        </w:rPr>
      </w:pPr>
      <w:r>
        <w:rPr>
          <w:rFonts w:ascii="Times New Roman" w:cs="Times New Roman" w:eastAsia="Times New Roman" w:hAnsi="Times New Roman"/>
          <w:sz w:val="17"/>
          <w:szCs w:val="17"/>
          <w:color w:val="auto"/>
        </w:rPr>
        <w:t>Amortization of intangible assets with finite useful lives is charged to profit or loss on a straight-line basis over the assets’ estimated useful lives. The following intangible assets with finite useful lives are amortized from the date they are available for use and their estimated useful lives are as follows:</w:t>
      </w:r>
    </w:p>
    <w:p>
      <w:pPr>
        <w:sectPr>
          <w:pgSz w:w="11900" w:h="16838" w:orient="portrait"/>
          <w:cols w:equalWidth="0" w:num="1">
            <w:col w:w="11140"/>
          </w:cols>
          <w:pgMar w:left="320" w:top="455" w:right="439" w:bottom="1440" w:gutter="0" w:footer="0" w:header="0"/>
        </w:sectPr>
      </w:pPr>
    </w:p>
    <w:p>
      <w:pPr>
        <w:spacing w:after="0" w:line="1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   Software</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 Patent</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 years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 years</w:t>
      </w:r>
    </w:p>
    <w:p>
      <w:pPr>
        <w:spacing w:after="0" w:line="200" w:lineRule="exact"/>
        <w:rPr>
          <w:sz w:val="20"/>
          <w:szCs w:val="20"/>
          <w:color w:val="auto"/>
        </w:rPr>
      </w:pPr>
    </w:p>
    <w:p>
      <w:pPr>
        <w:sectPr>
          <w:pgSz w:w="11900" w:h="16838" w:orient="portrait"/>
          <w:cols w:equalWidth="0" w:num="2">
            <w:col w:w="9800" w:space="720"/>
            <w:col w:w="620"/>
          </w:cols>
          <w:pgMar w:left="320" w:top="455" w:right="439" w:bottom="1440" w:gutter="0" w:footer="0" w:header="0"/>
          <w:type w:val="continuous"/>
        </w:sectPr>
      </w:pP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Both the period and method of amortization are reviewed annually.</w:t>
      </w:r>
    </w:p>
    <w:p>
      <w:pPr>
        <w:sectPr>
          <w:pgSz w:w="11900" w:h="16838" w:orient="portrait"/>
          <w:cols w:equalWidth="0" w:num="1">
            <w:col w:w="11140"/>
          </w:cols>
          <w:pgMar w:left="320" w:top="455" w:right="439" w:bottom="1440" w:gutter="0" w:footer="0" w:header="0"/>
          <w:type w:val="continuous"/>
        </w:sectPr>
      </w:pPr>
    </w:p>
    <w:p>
      <w:pPr>
        <w:spacing w:after="0" w:line="237"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Intangible assets are not amortized while their useful lives are assessed to be indefinite. Any conclusion that the useful life of an intangible asset is indefinite is reviewed annually to determine whether events and circumstances continue to support the indefinite useful life assessment for that asset. If they do not, the change in the useful life assessment from indefinite to finite is accounted for prospectively from the date of change and in accordance with the policy for amortization of intangible assets with finite lives as set out above.</w:t>
      </w:r>
    </w:p>
    <w:p>
      <w:pPr>
        <w:spacing w:after="0" w:line="180"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useful lives of software are determined to be the shorter of the period of contractual rights or estimated period during which such software can bring economic benefits to the Group considering the different purposes, usage of the software and technological obsolescence.</w:t>
      </w:r>
    </w:p>
    <w:p>
      <w:pPr>
        <w:spacing w:after="0" w:line="162"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The useful life of patent is determined based on the period of validity of patent protected by the relevant laws after considering the period of the economic benefits to the Group, technical obsolescence and estimates of useful lives of similar assets.</w:t>
      </w:r>
    </w:p>
    <w:p>
      <w:pPr>
        <w:spacing w:after="0" w:line="306" w:lineRule="exact"/>
        <w:rPr>
          <w:sz w:val="20"/>
          <w:szCs w:val="20"/>
          <w:color w:val="auto"/>
        </w:rPr>
      </w:pPr>
    </w:p>
    <w:p>
      <w:pPr>
        <w:ind w:left="540" w:hanging="424"/>
        <w:spacing w:after="0"/>
        <w:tabs>
          <w:tab w:leader="none" w:pos="540" w:val="left"/>
        </w:tabs>
        <w:numPr>
          <w:ilvl w:val="0"/>
          <w:numId w:val="13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Other investments in debt and equity securities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Group’s policies for investments in debt and equity securities, other than investments in subsidiaries and associates, are as follows:</w:t>
      </w:r>
    </w:p>
    <w:p>
      <w:pPr>
        <w:spacing w:after="0" w:line="131" w:lineRule="exact"/>
        <w:rPr>
          <w:sz w:val="20"/>
          <w:szCs w:val="20"/>
          <w:color w:val="auto"/>
        </w:rPr>
      </w:pPr>
    </w:p>
    <w:p>
      <w:pPr>
        <w:ind w:left="540" w:hanging="424"/>
        <w:spacing w:after="0"/>
        <w:tabs>
          <w:tab w:leader="none" w:pos="5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other than equity investments</w:t>
      </w:r>
    </w:p>
    <w:p>
      <w:pPr>
        <w:spacing w:after="0" w:line="117" w:lineRule="exact"/>
        <w:rPr>
          <w:sz w:val="20"/>
          <w:szCs w:val="20"/>
          <w:color w:val="auto"/>
        </w:rPr>
      </w:pPr>
    </w:p>
    <w:p>
      <w:pPr>
        <w:jc w:val="both"/>
        <w:ind w:left="120" w:right="200"/>
        <w:spacing w:after="0" w:line="266" w:lineRule="auto"/>
        <w:rPr>
          <w:sz w:val="20"/>
          <w:szCs w:val="20"/>
          <w:color w:val="auto"/>
        </w:rPr>
      </w:pPr>
      <w:r>
        <w:rPr>
          <w:rFonts w:ascii="Times New Roman" w:cs="Times New Roman" w:eastAsia="Times New Roman" w:hAnsi="Times New Roman"/>
          <w:sz w:val="18"/>
          <w:szCs w:val="18"/>
          <w:color w:val="auto"/>
        </w:rPr>
        <w:t>Non-equity investments held by the Group are investments in certain wealth management products managed by the banks in the PRC that do not meet the criteria for being measured at amortized cost or FVOCI (recycling) and are classified into FVTPL. Changes in the fair value of the investments are recognized in profit or loss as “other income”.</w:t>
      </w:r>
    </w:p>
    <w:p>
      <w:pPr>
        <w:spacing w:after="0" w:line="324" w:lineRule="exact"/>
        <w:rPr>
          <w:sz w:val="20"/>
          <w:szCs w:val="20"/>
          <w:color w:val="auto"/>
        </w:rPr>
      </w:pPr>
    </w:p>
    <w:p>
      <w:pPr>
        <w:ind w:left="540" w:hanging="424"/>
        <w:spacing w:after="0"/>
        <w:tabs>
          <w:tab w:leader="none" w:pos="5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investments</w:t>
      </w:r>
    </w:p>
    <w:p>
      <w:pPr>
        <w:spacing w:after="0" w:line="117"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Investments in equity securities are recognized initially at fair value plus directly attributable transaction costs, except for those investments measured at FVTPL for which transaction costs are recognized directly in profit or loss. On initial recognition of the investment, the Group makes an irrevocable election to designate the investment at FVOCI (non-recycling) such that subsequent changes in fair value are recognized in other comprehensive income. Such elections are made on an instrument-by-instrument basis, but may only be made if</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140"/>
          </w:cols>
          <w:pgMar w:left="320" w:top="455" w:right="439" w:bottom="1440" w:gutter="0" w:footer="0" w:header="0"/>
          <w:type w:val="continuous"/>
        </w:sectPr>
      </w:pPr>
    </w:p>
    <w:bookmarkStart w:id="272" w:name="page273"/>
    <w:bookmarkEnd w:id="2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the investment meets the definition of equity from the issuer’s perspective. Where such an election is made, the amount accumulated in other comprehensive income remains in the fair value reserve until the investment is disposed of. At the time of disposal, the amount accumulated in the fair value reserve is transferred to retained earnings. It is not recycled through profit or loss. For an explanation of how the Group determines the fair value of financial instruments, see Note 30(e).</w:t>
      </w:r>
    </w:p>
    <w:p>
      <w:pPr>
        <w:spacing w:after="0" w:line="180"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Dividends from an investment in equity securities, irrespective of whether classified as at FVTPL or FVOCI, are recognized in profit or loss as other income.</w:t>
      </w:r>
    </w:p>
    <w:p>
      <w:pPr>
        <w:spacing w:after="0" w:line="306" w:lineRule="exact"/>
        <w:rPr>
          <w:sz w:val="20"/>
          <w:szCs w:val="20"/>
          <w:color w:val="auto"/>
        </w:rPr>
      </w:pPr>
    </w:p>
    <w:p>
      <w:pPr>
        <w:ind w:left="540" w:hanging="424"/>
        <w:spacing w:after="0"/>
        <w:tabs>
          <w:tab w:leader="none" w:pos="540" w:val="left"/>
        </w:tabs>
        <w:numPr>
          <w:ilvl w:val="0"/>
          <w:numId w:val="14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Credit losses and impairment of assets</w:t>
      </w:r>
    </w:p>
    <w:p>
      <w:pPr>
        <w:spacing w:after="0" w:line="134" w:lineRule="exact"/>
        <w:rPr>
          <w:rFonts w:ascii="Times New Roman" w:cs="Times New Roman" w:eastAsia="Times New Roman" w:hAnsi="Times New Roman"/>
          <w:sz w:val="18"/>
          <w:szCs w:val="18"/>
          <w:b w:val="1"/>
          <w:bCs w:val="1"/>
          <w:i w:val="1"/>
          <w:iCs w:val="1"/>
          <w:color w:val="auto"/>
        </w:rPr>
      </w:pPr>
    </w:p>
    <w:p>
      <w:pPr>
        <w:ind w:left="540" w:hanging="424"/>
        <w:spacing w:after="0"/>
        <w:tabs>
          <w:tab w:leader="none" w:pos="5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losses from financial instruments</w:t>
      </w:r>
    </w:p>
    <w:p>
      <w:pPr>
        <w:spacing w:after="0" w:line="117"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The Group recognizes a loss allowance for expected credit losses (“ECLs”) on the financial assets measured at amortized cost (including cash and cash equivalents and trade and other receivables). Investments in debt instruments measured at FVTPL and equity securities measured at FVTPL or FVOCI, are not subject to the ECL assessment.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Measurement of ECLs</w:t>
      </w:r>
    </w:p>
    <w:p>
      <w:pPr>
        <w:spacing w:after="0" w:line="119"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ECLs are a probability-weighted estimate of credit losses. Credit losses are measured as the present value of all expected cash shortfalls (i.e. the difference between the cash flows due to the Group in accordance with the contract and the cash flows that the Group expects to receive).</w:t>
      </w:r>
    </w:p>
    <w:p>
      <w:pPr>
        <w:spacing w:after="0" w:line="162"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expected cash shortfalls for fixed-rate financial assets and trade and other receivables are discounted using the effective interest rate determined at initial recognition or an approximation thereof where the effect of discounting is material.</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maximum period considered when estimating ECLs is the maximum contractual period over which the Group is exposed to credit risk.</w:t>
      </w:r>
    </w:p>
    <w:p>
      <w:pPr>
        <w:spacing w:after="0" w:line="225"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In measuring ECLs, the Group takes into account reasonable and supportable information that is available without undue cost or effort. This includes information about past events, current conditions and forecasts of future economic conditions.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ECLs are measured on either of the following bases:</w:t>
      </w:r>
    </w:p>
    <w:p>
      <w:pPr>
        <w:sectPr>
          <w:pgSz w:w="11900" w:h="16838" w:orient="portrait"/>
          <w:cols w:equalWidth="0" w:num="1">
            <w:col w:w="11080"/>
          </w:cols>
          <w:pgMar w:left="320" w:top="455" w:right="499" w:bottom="1440" w:gutter="0" w:footer="0" w:header="0"/>
        </w:sectPr>
      </w:pP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   12-month ECLs: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these are losses that are expected to result from possible default events within the 12 months after the end of each period presented; and</w:t>
      </w:r>
    </w:p>
    <w:p>
      <w:pPr>
        <w:spacing w:after="0" w:line="54" w:lineRule="exact"/>
        <w:rPr>
          <w:sz w:val="20"/>
          <w:szCs w:val="20"/>
          <w:color w:val="auto"/>
        </w:rPr>
      </w:pPr>
    </w:p>
    <w:p>
      <w:pPr>
        <w:sectPr>
          <w:pgSz w:w="11900" w:h="16838" w:orient="portrait"/>
          <w:cols w:equalWidth="0" w:num="2">
            <w:col w:w="1500" w:space="720"/>
            <w:col w:w="8860"/>
          </w:cols>
          <w:pgMar w:left="320" w:top="455" w:right="49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auto"/>
        </w:rPr>
        <w:t>-   lifetime ECLs:</w:t>
      </w:r>
    </w:p>
    <w:p>
      <w:pPr>
        <w:spacing w:after="0" w:line="20" w:lineRule="exact"/>
        <w:rPr>
          <w:sz w:val="20"/>
          <w:szCs w:val="20"/>
          <w:color w:val="auto"/>
        </w:rPr>
      </w:pPr>
      <w:r>
        <w:rPr>
          <w:sz w:val="20"/>
          <w:szCs w:val="20"/>
          <w:color w:val="auto"/>
        </w:rPr>
        <w:br w:type="column"/>
      </w:r>
    </w:p>
    <w:p>
      <w:pPr>
        <w:ind w:right="20"/>
        <w:spacing w:after="0" w:line="282" w:lineRule="auto"/>
        <w:rPr>
          <w:sz w:val="20"/>
          <w:szCs w:val="20"/>
          <w:color w:val="auto"/>
        </w:rPr>
      </w:pPr>
      <w:r>
        <w:rPr>
          <w:rFonts w:ascii="Times New Roman" w:cs="Times New Roman" w:eastAsia="Times New Roman" w:hAnsi="Times New Roman"/>
          <w:sz w:val="18"/>
          <w:szCs w:val="18"/>
          <w:color w:val="auto"/>
        </w:rPr>
        <w:t>these are losses that are expected to result from all possible default events over the expected lives of the items to which the ECL model applies.</w:t>
      </w:r>
    </w:p>
    <w:p>
      <w:pPr>
        <w:spacing w:after="0" w:line="162" w:lineRule="exact"/>
        <w:rPr>
          <w:sz w:val="20"/>
          <w:szCs w:val="20"/>
          <w:color w:val="auto"/>
        </w:rPr>
      </w:pPr>
    </w:p>
    <w:p>
      <w:pPr>
        <w:sectPr>
          <w:pgSz w:w="11900" w:h="16838" w:orient="portrait"/>
          <w:cols w:equalWidth="0" w:num="2">
            <w:col w:w="1500" w:space="720"/>
            <w:col w:w="8860"/>
          </w:cols>
          <w:pgMar w:left="320" w:top="455" w:right="499" w:bottom="1440" w:gutter="0" w:footer="0" w:header="0"/>
          <w:type w:val="continuous"/>
        </w:sectPr>
      </w:pPr>
    </w:p>
    <w:p>
      <w:pPr>
        <w:ind w:left="120"/>
        <w:spacing w:after="0" w:line="266" w:lineRule="auto"/>
        <w:rPr>
          <w:sz w:val="20"/>
          <w:szCs w:val="20"/>
          <w:color w:val="auto"/>
        </w:rPr>
      </w:pPr>
      <w:r>
        <w:rPr>
          <w:rFonts w:ascii="Times New Roman" w:cs="Times New Roman" w:eastAsia="Times New Roman" w:hAnsi="Times New Roman"/>
          <w:sz w:val="18"/>
          <w:szCs w:val="18"/>
          <w:color w:val="auto"/>
        </w:rPr>
        <w:t>Loss allowances for trade receivables are always measured at an amount equal to lifetime ECLs. ECLs on these financial assets are estimated using a provision matrix based on the Group’s historical credit loss experience, adjusted for factors that are specific to the debtors and an assessment of both the current and forecast general economic conditions at the end of each period presented.</w:t>
      </w:r>
    </w:p>
    <w:p>
      <w:pPr>
        <w:spacing w:after="0" w:line="176"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For all other financial instruments, the Group recognizes a loss allowance equal to 12-month ECLs unless there has been a significant increase in credit risk of the financial instrument since initial recognition, in which case the loss allowance is measured at an amount equal to lifetime ECLs.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080"/>
          </w:cols>
          <w:pgMar w:left="320" w:top="455" w:right="499" w:bottom="1440" w:gutter="0" w:footer="0" w:header="0"/>
          <w:type w:val="continuous"/>
        </w:sectPr>
      </w:pPr>
    </w:p>
    <w:bookmarkStart w:id="273" w:name="page274"/>
    <w:bookmarkEnd w:id="2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Significant increases in credit risk</w:t>
      </w:r>
    </w:p>
    <w:p>
      <w:pPr>
        <w:spacing w:after="0" w:line="119"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In assessing whether the credit risk of a financial instrument has increased significantly since initial recognition, the Group compares the risk of default occurring on the financial instrument assessed at the end of each period presented with that assessed at the date of initial recognition. In making this reassessment, the Group considers that a default event occurs when (i) the borrower is unlikely to pay its credit obligations to the Group in full, without recourse by the Group to actions such as realizing security (if any is held); or (ii) the financial assets is 90 days past due. The Group considers both quantitative and qualitative information that is reasonable and supportable, including historical experience and forward-looking information that is available without undue cost or effort.</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particular, the following information is taken into account when assessing whether credit risk has increased significantly since initial recognition:</w:t>
      </w:r>
    </w:p>
    <w:p>
      <w:pPr>
        <w:spacing w:after="0" w:line="131" w:lineRule="exact"/>
        <w:rPr>
          <w:sz w:val="20"/>
          <w:szCs w:val="20"/>
          <w:color w:val="auto"/>
        </w:rPr>
      </w:pPr>
    </w:p>
    <w:p>
      <w:pPr>
        <w:ind w:left="540" w:hanging="424"/>
        <w:spacing w:after="0"/>
        <w:tabs>
          <w:tab w:leader="none" w:pos="5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make payments of principal or interest on their contractually due dates;</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actual or expected significant deterioration in a financial instrument’s external or internal credit rating (if available);</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actual or expected significant deterioration in the operating results of the debtor; and</w:t>
      </w:r>
    </w:p>
    <w:p>
      <w:pPr>
        <w:spacing w:after="0" w:line="130" w:lineRule="exact"/>
        <w:rPr>
          <w:rFonts w:ascii="Times New Roman" w:cs="Times New Roman" w:eastAsia="Times New Roman" w:hAnsi="Times New Roman"/>
          <w:sz w:val="18"/>
          <w:szCs w:val="18"/>
          <w:color w:val="auto"/>
        </w:rPr>
      </w:pPr>
    </w:p>
    <w:p>
      <w:pPr>
        <w:ind w:left="540" w:right="380" w:hanging="424"/>
        <w:spacing w:after="0" w:line="282" w:lineRule="auto"/>
        <w:tabs>
          <w:tab w:leader="none" w:pos="5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or forecast changes in the technological, market, economic or legal environment that have a significant adverse effect on the debtor’s ability to meet its obligation to the Group.</w:t>
      </w:r>
    </w:p>
    <w:p>
      <w:pPr>
        <w:spacing w:after="0" w:line="162"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Depending on the nature of the financial instruments, the assessment of a significant increase in credit risk is performed on either an individual basis or a collective basis. When the assessment is performed on a collective basis, the financial instruments are grouped based on shared credit risk characteristics, such as past due status and credit risk ratings.</w:t>
      </w:r>
    </w:p>
    <w:p>
      <w:pPr>
        <w:spacing w:after="0" w:line="176"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ECLs are remeasured at the end of each period presented to reflect changes in the financial instrument’s credit risk since initial recognition. Any change in the ECL amount is recognized as an impairment gain or loss in profit or loss. The Group recognizes an impairment gain or loss for all financial instruments with a corresponding adjustment to their carrying amount through a loss allowance account.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Basis of calculation of interest income</w:t>
      </w:r>
    </w:p>
    <w:p>
      <w:pPr>
        <w:spacing w:after="0" w:line="119"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Interest income recognized in accordance with Note 2(x)(iii) is calculated based on the gross carrying amount of the financial asset unless the financial asset is credit-impaired, in which case interest income is calculated based on the amortized cost (i.e. the gross carrying amount less loss allowance) of the financial asset.</w:t>
      </w:r>
    </w:p>
    <w:p>
      <w:pPr>
        <w:spacing w:after="0" w:line="176"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At the end of each period presented, the Group assesses whether a financial asset is credit-impaired. A financial asset is credit-impaired when one or more events that have a detrimental impact on the estimated future cash flows of the financial asset have occurred.</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Evidence that a financial asset is credit-impaired includes the following observable events:</w:t>
      </w:r>
    </w:p>
    <w:p>
      <w:pPr>
        <w:spacing w:after="0" w:line="131" w:lineRule="exact"/>
        <w:rPr>
          <w:sz w:val="20"/>
          <w:szCs w:val="20"/>
          <w:color w:val="auto"/>
        </w:rPr>
      </w:pPr>
    </w:p>
    <w:p>
      <w:pPr>
        <w:ind w:left="540" w:hanging="424"/>
        <w:spacing w:after="0"/>
        <w:tabs>
          <w:tab w:leader="none" w:pos="5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financial difficulties of the debtor;</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contract, such as a default or past due event;</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becomes probable that the borrower will enter into bankruptcy or other financial reorganization;</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the technological, market, economic or legal environment that have an adverse effect on the debtor; or</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disappearance of an active market for a security because of financial difficulties of the issuer.</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120"/>
          </w:cols>
          <w:pgMar w:left="320" w:top="455" w:right="45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Write-off policy</w:t>
      </w:r>
    </w:p>
    <w:p>
      <w:pPr>
        <w:spacing w:after="0" w:line="11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 gross carrying amount of a financial asset is written off (either partially or in full) to the extent that there is no realistic prospect of recovery. This is generally the case when the Group determines that the debtor does not have assets or sources of income that could generate sufficient cash flows to repay the amounts subject to the write-off.</w:t>
      </w:r>
    </w:p>
    <w:p>
      <w:pPr>
        <w:spacing w:after="0" w:line="176"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Subsequent recoveries of an asset that was previously written off are recognized as a reversal of impairment in profit or loss in the period in which the recovery occurs.</w:t>
      </w:r>
    </w:p>
    <w:p>
      <w:pPr>
        <w:spacing w:after="0" w:line="310" w:lineRule="exact"/>
        <w:rPr>
          <w:sz w:val="20"/>
          <w:szCs w:val="20"/>
          <w:color w:val="auto"/>
        </w:rPr>
      </w:pPr>
    </w:p>
    <w:p>
      <w:pPr>
        <w:ind w:left="540" w:hanging="424"/>
        <w:spacing w:after="0"/>
        <w:tabs>
          <w:tab w:leader="none" w:pos="5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other non-current assets</w:t>
      </w:r>
    </w:p>
    <w:p>
      <w:pPr>
        <w:spacing w:after="0" w:line="117"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Internal and external sources of information are reviewed at the end of each period presented to identify indications that the following assets may be impaired or, except in the case of goodwill, an impairment loss previously recognized no longer exists or may have decreased:</w:t>
      </w:r>
    </w:p>
    <w:p>
      <w:pPr>
        <w:spacing w:after="0" w:line="67" w:lineRule="exact"/>
        <w:rPr>
          <w:sz w:val="20"/>
          <w:szCs w:val="20"/>
          <w:color w:val="auto"/>
        </w:rPr>
      </w:pPr>
    </w:p>
    <w:p>
      <w:pPr>
        <w:ind w:left="540" w:hanging="424"/>
        <w:spacing w:after="0"/>
        <w:tabs>
          <w:tab w:leader="none" w:pos="5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intangible assets;</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and equipment;</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right-of-use assets;</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non-current assets; and</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subsidiaries in the Company’s statement of financial position.</w:t>
      </w:r>
    </w:p>
    <w:p>
      <w:pPr>
        <w:spacing w:after="0" w:line="225"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If any such indication exists, the asset’s recoverable amount is estimated. In addition, for goodwill and intangible assets that are not yet available for use, the recoverable amount is estimated annually whether or not there is any indication of impairment.</w:t>
      </w:r>
    </w:p>
    <w:p>
      <w:pPr>
        <w:spacing w:after="0" w:line="67" w:lineRule="exact"/>
        <w:rPr>
          <w:sz w:val="20"/>
          <w:szCs w:val="20"/>
          <w:color w:val="auto"/>
        </w:rPr>
      </w:pPr>
    </w:p>
    <w:p>
      <w:pPr>
        <w:ind w:left="540" w:hanging="424"/>
        <w:spacing w:after="0"/>
        <w:tabs>
          <w:tab w:leader="none" w:pos="5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Calculation of recoverable amount</w:t>
      </w:r>
    </w:p>
    <w:p>
      <w:pPr>
        <w:spacing w:after="0" w:line="117" w:lineRule="exact"/>
        <w:rPr>
          <w:rFonts w:ascii="Times New Roman" w:cs="Times New Roman" w:eastAsia="Times New Roman" w:hAnsi="Times New Roman"/>
          <w:sz w:val="18"/>
          <w:szCs w:val="18"/>
          <w:color w:val="auto"/>
        </w:rPr>
      </w:pPr>
    </w:p>
    <w:p>
      <w:pPr>
        <w:ind w:left="560" w:right="2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recoverable amount of an asset is the greater of its fair value less costs of disposal and value in use. In assessing value in use, the estimated future cash flows are discounted to their present value using a pre-tax discount rate that reflects current market assessments of the time value of money and the risks specific to the asset. Where an asset does not generate cash inflows largely independent of those from other assets, the recoverable amount is determined for the smallest group of assets that generates cash inflows independently (i.e. a cash-generating unit (“CGU”)). A portion of the carrying amount of a corporate asset (for example, head office building) is allocated to an individual CGU if the allocation can be done on a reasonable and consistent basis, or to the smallest group of CGU if otherwise.</w:t>
      </w:r>
    </w:p>
    <w:p>
      <w:pPr>
        <w:spacing w:after="0" w:line="92"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impairment losses</w:t>
      </w:r>
    </w:p>
    <w:p>
      <w:pPr>
        <w:spacing w:after="0" w:line="117" w:lineRule="exact"/>
        <w:rPr>
          <w:rFonts w:ascii="Times New Roman" w:cs="Times New Roman" w:eastAsia="Times New Roman" w:hAnsi="Times New Roman"/>
          <w:sz w:val="18"/>
          <w:szCs w:val="18"/>
          <w:color w:val="auto"/>
        </w:rPr>
      </w:pPr>
    </w:p>
    <w:p>
      <w:pPr>
        <w:ind w:left="560"/>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An impairment loss is recognized in profit or loss if the carrying amount of an asset, or the CGU to which it belongs, exceeds its recoverable amount. Impairment losses recognized in respect of CGUs are allocated first to reduce the carrying amount of any goodwill allocated to the CGU (or group of CGU) and then, to reduce the carrying amount of the other assets in the unit (or group of CGU) on a pro rata basis, except that the carrying value of an asset will not be reduced below its individual fair value less costs of disposal (if measurable) or value in use (if determinable).</w:t>
      </w:r>
    </w:p>
    <w:p>
      <w:pPr>
        <w:spacing w:after="0" w:line="6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Reversals of impairment losses</w:t>
      </w:r>
    </w:p>
    <w:p>
      <w:pPr>
        <w:spacing w:after="0" w:line="117" w:lineRule="exact"/>
        <w:rPr>
          <w:rFonts w:ascii="Times New Roman" w:cs="Times New Roman" w:eastAsia="Times New Roman" w:hAnsi="Times New Roman"/>
          <w:sz w:val="18"/>
          <w:szCs w:val="18"/>
          <w:color w:val="auto"/>
        </w:rPr>
      </w:pPr>
    </w:p>
    <w:p>
      <w:pPr>
        <w:ind w:left="560" w:right="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assets other than goodwill, an impairment loss is reversed if there has been a favorable change in the estimates used to determine the recoverable amount. An impairment loss in respect of goodwill is not reversed.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120"/>
          </w:cols>
          <w:pgMar w:left="320" w:top="455" w:right="45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right="740"/>
        <w:spacing w:after="0" w:line="312" w:lineRule="auto"/>
        <w:rPr>
          <w:sz w:val="20"/>
          <w:szCs w:val="20"/>
          <w:color w:val="auto"/>
        </w:rPr>
      </w:pPr>
      <w:r>
        <w:rPr>
          <w:rFonts w:ascii="Times New Roman" w:cs="Times New Roman" w:eastAsia="Times New Roman" w:hAnsi="Times New Roman"/>
          <w:sz w:val="17"/>
          <w:szCs w:val="17"/>
          <w:color w:val="auto"/>
        </w:rPr>
        <w:t>A reversal of an impairment loss is limited to the asset’s carrying amount that would have been determined had no impairment loss been recognized in prior years. Reversals of impairment losses are credited to profit or loss in the year in which the reversals are recognized.</w:t>
      </w:r>
    </w:p>
    <w:p>
      <w:pPr>
        <w:spacing w:after="0" w:line="284" w:lineRule="exact"/>
        <w:rPr>
          <w:sz w:val="20"/>
          <w:szCs w:val="20"/>
          <w:color w:val="auto"/>
        </w:rPr>
      </w:pPr>
    </w:p>
    <w:p>
      <w:pPr>
        <w:ind w:left="540" w:hanging="424"/>
        <w:spacing w:after="0"/>
        <w:tabs>
          <w:tab w:leader="none" w:pos="540" w:val="left"/>
        </w:tabs>
        <w:numPr>
          <w:ilvl w:val="0"/>
          <w:numId w:val="14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Inventories are assets which are held for sale in the ordinary course of business, in the process of production for such sale or in the form of materials or supplies to be consumed in the production process or in the rendering of services.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Inventories are carried at the lower of cost and net realisable value.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Cost is calculated using the weighted average cost method and comprises the purchase cost of goods after deducting discounts from suppliers.</w:t>
      </w:r>
    </w:p>
    <w:p>
      <w:pPr>
        <w:spacing w:after="0" w:line="225"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Net realisable value is the estimated selling price in the ordinary course of business less the estimated costs of completion and the estimated cost necessary to make the sale.</w:t>
      </w:r>
    </w:p>
    <w:p>
      <w:pPr>
        <w:spacing w:after="0" w:line="16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When inventories are sold, the carrying amount of those inventories is recognized as an expense in the period in which the related revenue is recognized. The amount of any write-down of inventories to net realisable value and all losses of inventories are recognized as an expense in the period the write-down or loss occurs. The amount of any reversal of any write-down of inventories is recognized as a reduction in the amount of inventories recognized as an expense in the period in which the reversal occurs.</w:t>
      </w:r>
    </w:p>
    <w:p>
      <w:pPr>
        <w:spacing w:after="0" w:line="324" w:lineRule="exact"/>
        <w:rPr>
          <w:sz w:val="20"/>
          <w:szCs w:val="20"/>
          <w:color w:val="auto"/>
        </w:rPr>
      </w:pPr>
    </w:p>
    <w:p>
      <w:pPr>
        <w:ind w:left="540" w:hanging="424"/>
        <w:spacing w:after="0"/>
        <w:tabs>
          <w:tab w:leader="none" w:pos="540" w:val="left"/>
        </w:tabs>
        <w:numPr>
          <w:ilvl w:val="0"/>
          <w:numId w:val="14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Bank balances that are restricted as to withdrawal or for use or pledged as security is reported separately on the face of the consolidated statements of financial position.</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Group’s restricted cash includes secured deposit held in designated bank accounts for the payment of the rentals and repayment of bank loan.</w:t>
      </w:r>
    </w:p>
    <w:p>
      <w:pPr>
        <w:spacing w:after="0" w:line="370" w:lineRule="exact"/>
        <w:rPr>
          <w:sz w:val="20"/>
          <w:szCs w:val="20"/>
          <w:color w:val="auto"/>
        </w:rPr>
      </w:pPr>
    </w:p>
    <w:p>
      <w:pPr>
        <w:ind w:left="540" w:hanging="424"/>
        <w:spacing w:after="0"/>
        <w:tabs>
          <w:tab w:leader="none" w:pos="540" w:val="left"/>
        </w:tabs>
        <w:numPr>
          <w:ilvl w:val="0"/>
          <w:numId w:val="15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120" w:right="20"/>
        <w:spacing w:after="0" w:line="289" w:lineRule="auto"/>
        <w:rPr>
          <w:sz w:val="20"/>
          <w:szCs w:val="20"/>
          <w:color w:val="auto"/>
        </w:rPr>
      </w:pPr>
      <w:r>
        <w:rPr>
          <w:rFonts w:ascii="Times New Roman" w:cs="Times New Roman" w:eastAsia="Times New Roman" w:hAnsi="Times New Roman"/>
          <w:sz w:val="17"/>
          <w:szCs w:val="17"/>
          <w:color w:val="auto"/>
        </w:rPr>
        <w:t>Cash and cash equivalents comprise cash at bank and on hand, demand deposits with banks and other financial institutions, and short-term, highly liquid investments that are readily convertible into known amounts of cash and which are subject to an insignificant risk of changes in value, having been within three months of maturity at acquisition. Cash and cash equivalents are assessed for ECL in accordance with the policy set out in Note 2(h)(i).</w:t>
      </w:r>
    </w:p>
    <w:p>
      <w:pPr>
        <w:spacing w:after="0" w:line="302" w:lineRule="exact"/>
        <w:rPr>
          <w:sz w:val="20"/>
          <w:szCs w:val="20"/>
          <w:color w:val="auto"/>
        </w:rPr>
      </w:pPr>
    </w:p>
    <w:p>
      <w:pPr>
        <w:ind w:left="540" w:hanging="424"/>
        <w:spacing w:after="0"/>
        <w:tabs>
          <w:tab w:leader="none" w:pos="540" w:val="left"/>
        </w:tabs>
        <w:numPr>
          <w:ilvl w:val="0"/>
          <w:numId w:val="15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Trade and other receivables</w:t>
      </w:r>
    </w:p>
    <w:p>
      <w:pPr>
        <w:spacing w:after="0" w:line="121"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A receivable is recognized when the Group has an unconditional right to receive consideration. A right to receive consideration is unconditional if only the passage of time is required before payment of that consideration is due.</w:t>
      </w:r>
    </w:p>
    <w:p>
      <w:pPr>
        <w:spacing w:after="0" w:line="162" w:lineRule="exact"/>
        <w:rPr>
          <w:sz w:val="20"/>
          <w:szCs w:val="20"/>
          <w:color w:val="auto"/>
        </w:rPr>
      </w:pPr>
    </w:p>
    <w:p>
      <w:pPr>
        <w:jc w:val="both"/>
        <w:ind w:left="120" w:right="340"/>
        <w:spacing w:after="0" w:line="312" w:lineRule="auto"/>
        <w:rPr>
          <w:sz w:val="20"/>
          <w:szCs w:val="20"/>
          <w:color w:val="auto"/>
        </w:rPr>
      </w:pPr>
      <w:r>
        <w:rPr>
          <w:rFonts w:ascii="Times New Roman" w:cs="Times New Roman" w:eastAsia="Times New Roman" w:hAnsi="Times New Roman"/>
          <w:sz w:val="17"/>
          <w:szCs w:val="17"/>
          <w:color w:val="auto"/>
        </w:rPr>
        <w:t>Trade receivables are initially measured at their transaction price and other receivables are initially measured at fair value plus transaction costs. All receivables are subsequently stated at amortized cost using the effective interest method and including allowance for credit losses (see Note 2(h)(i)).</w:t>
      </w:r>
    </w:p>
    <w:p>
      <w:pPr>
        <w:spacing w:after="0" w:line="284"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(m)</w:t>
      </w:r>
      <w:r>
        <w:rPr>
          <w:sz w:val="20"/>
          <w:szCs w:val="20"/>
          <w:color w:val="auto"/>
        </w:rPr>
        <w:tab/>
      </w:r>
      <w:r>
        <w:rPr>
          <w:rFonts w:ascii="Times New Roman" w:cs="Times New Roman" w:eastAsia="Times New Roman" w:hAnsi="Times New Roman"/>
          <w:sz w:val="17"/>
          <w:szCs w:val="17"/>
          <w:b w:val="1"/>
          <w:bCs w:val="1"/>
          <w:i w:val="1"/>
          <w:iCs w:val="1"/>
          <w:color w:val="auto"/>
        </w:rPr>
        <w:t>Trade and other payables</w:t>
      </w:r>
    </w:p>
    <w:p>
      <w:pPr>
        <w:spacing w:after="0" w:line="121"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Trade and other payables are initially recognized at fair value. Subsequently to initial recognition, trade and other payables are stated at amortized cost unless the effect of discounting would be immaterial, in which case they are stated at invoice amounts.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120"/>
          </w:cols>
          <w:pgMar w:left="320" w:top="455" w:right="45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15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Interest-bearing loans and borrowings</w:t>
      </w:r>
    </w:p>
    <w:p>
      <w:pPr>
        <w:spacing w:after="0" w:line="12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Interest-bearing loans and borrowings are recognized initially at fair value less attributable transaction costs. Subsequent to initial recognition, interest-bearing loans and borrowings are stated at amortized cost using the effective interest method. Interest expense is recognized in accordance with the Group’s accounting policy for borrowing costs (see Note 2(aa)).</w:t>
      </w:r>
    </w:p>
    <w:p>
      <w:pPr>
        <w:spacing w:after="0" w:line="320" w:lineRule="exact"/>
        <w:rPr>
          <w:sz w:val="20"/>
          <w:szCs w:val="20"/>
          <w:color w:val="auto"/>
        </w:rPr>
      </w:pPr>
    </w:p>
    <w:p>
      <w:pPr>
        <w:ind w:left="540" w:hanging="424"/>
        <w:spacing w:after="0"/>
        <w:tabs>
          <w:tab w:leader="none" w:pos="540" w:val="left"/>
        </w:tabs>
        <w:numPr>
          <w:ilvl w:val="0"/>
          <w:numId w:val="15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Contract assets and contract liabilities</w:t>
      </w:r>
    </w:p>
    <w:p>
      <w:pPr>
        <w:spacing w:after="0" w:line="12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A contract asset is recognized when the Group recognizes revenue (see Note 2(x)) before being unconditionally entitled to the consideration under the payment terms set out in the contract. Contract assets are assessed for expected credit losses (ECL) in accordance with the policy set out in Note 2(h)(i) and are reclassified to receivables when the right to the consideration has become unconditional (see Note 2(l)).</w:t>
      </w:r>
    </w:p>
    <w:p>
      <w:pPr>
        <w:spacing w:after="0" w:line="176" w:lineRule="exact"/>
        <w:rPr>
          <w:sz w:val="20"/>
          <w:szCs w:val="20"/>
          <w:color w:val="auto"/>
        </w:rPr>
      </w:pPr>
    </w:p>
    <w:p>
      <w:pPr>
        <w:jc w:val="both"/>
        <w:ind w:left="120" w:right="340"/>
        <w:spacing w:after="0" w:line="266" w:lineRule="auto"/>
        <w:rPr>
          <w:sz w:val="20"/>
          <w:szCs w:val="20"/>
          <w:color w:val="auto"/>
        </w:rPr>
      </w:pPr>
      <w:r>
        <w:rPr>
          <w:rFonts w:ascii="Times New Roman" w:cs="Times New Roman" w:eastAsia="Times New Roman" w:hAnsi="Times New Roman"/>
          <w:sz w:val="18"/>
          <w:szCs w:val="18"/>
          <w:color w:val="auto"/>
        </w:rPr>
        <w:t>A contract liability is recognized when the customer pays consideration before the Group recognizes the related revenue (see Note 2(x)). A contract liability is also recognized if the Group has an unconditional right to receive consideration before the Group recognizes the related revenue. In such cases, a corresponding receivable is recognized (see Note 2(l)).</w:t>
      </w:r>
    </w:p>
    <w:p>
      <w:pPr>
        <w:spacing w:after="0" w:line="176"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For a single contract with the customer, either a net contract asset or a net contract liability is presented. For multiple contracts, contract assets and contract liabilities of unrelated contracts are not presented on a net basis.</w:t>
      </w:r>
    </w:p>
    <w:p>
      <w:pPr>
        <w:spacing w:after="0" w:line="162"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When the contract includes a significant financing component, the contract balance includes interest accrued under the effective interest method (see Note 2(x)(iii)).</w:t>
      </w:r>
    </w:p>
    <w:p>
      <w:pPr>
        <w:spacing w:after="0" w:line="306" w:lineRule="exact"/>
        <w:rPr>
          <w:sz w:val="20"/>
          <w:szCs w:val="20"/>
          <w:color w:val="auto"/>
        </w:rPr>
      </w:pPr>
    </w:p>
    <w:p>
      <w:pPr>
        <w:ind w:left="540" w:hanging="424"/>
        <w:spacing w:after="0"/>
        <w:tabs>
          <w:tab w:leader="none" w:pos="540" w:val="left"/>
        </w:tabs>
        <w:numPr>
          <w:ilvl w:val="0"/>
          <w:numId w:val="15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Ordinary shares</w:t>
      </w:r>
    </w:p>
    <w:p>
      <w:pPr>
        <w:spacing w:after="0" w:line="121"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Ordinary shares and non-redeemable preferred shares are classified as equity, because they bear discretionary dividends, do not contain any obligations to deliver cash or other financial assets and do not require settlement in a variable number of the Group’s equity instruments. Preferred shares and other financial instruments subject to redemption and other preferential rights are classified as liabilities (see Note 2(q)).</w:t>
      </w:r>
    </w:p>
    <w:p>
      <w:pPr>
        <w:spacing w:after="0" w:line="320" w:lineRule="exact"/>
        <w:rPr>
          <w:sz w:val="20"/>
          <w:szCs w:val="20"/>
          <w:color w:val="auto"/>
        </w:rPr>
      </w:pPr>
    </w:p>
    <w:p>
      <w:pPr>
        <w:ind w:left="540" w:hanging="424"/>
        <w:spacing w:after="0"/>
        <w:tabs>
          <w:tab w:leader="none" w:pos="540" w:val="left"/>
        </w:tabs>
        <w:numPr>
          <w:ilvl w:val="0"/>
          <w:numId w:val="15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Preferred shares and other financial instruments subject to redemption and other preferential rights</w:t>
      </w:r>
    </w:p>
    <w:p>
      <w:pPr>
        <w:spacing w:after="0" w:line="135" w:lineRule="exact"/>
        <w:rPr>
          <w:sz w:val="20"/>
          <w:szCs w:val="20"/>
          <w:color w:val="auto"/>
        </w:rPr>
      </w:pPr>
    </w:p>
    <w:p>
      <w:pPr>
        <w:ind w:left="540" w:hanging="424"/>
        <w:spacing w:after="0"/>
        <w:tabs>
          <w:tab w:leader="none" w:pos="5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Convertible redeemable preferred shares</w:t>
      </w:r>
    </w:p>
    <w:p>
      <w:pPr>
        <w:spacing w:after="0" w:line="117"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redemption features in the preferred shares give rise to financial liabilities as under these features, the preferred shares are redeemable in cash at the option of the shareholders in case of the occurrence of triggering events that are beyond the control of the Company and the holders of the preferred shares.</w:t>
      </w:r>
    </w:p>
    <w:p>
      <w:pPr>
        <w:spacing w:after="0" w:line="176"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The liabilities resulting from these contingent redemption obligations are measured at the present value of the redemption amount. When there are different possible redemption scenarios with different present values of the redemption amounts, the carrying amount of the liabilities are measured at the highest present value of redemption amount that could be triggered by the contingent redemption events. Under the “worst case” approach, the changes in the carrying amount of the liabilities are recognized in profit or loss.</w:t>
      </w:r>
    </w:p>
    <w:p>
      <w:pPr>
        <w:spacing w:after="0" w:line="180"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If the preferred shares are converted into ordinary shares, the carrying amount of the financial liabilities is transferred to share capital and share premium.</w:t>
      </w:r>
    </w:p>
    <w:p>
      <w:pPr>
        <w:spacing w:after="0" w:line="189" w:lineRule="exact"/>
        <w:rPr>
          <w:sz w:val="20"/>
          <w:szCs w:val="20"/>
          <w:color w:val="auto"/>
        </w:rPr>
      </w:pPr>
    </w:p>
    <w:p>
      <w:pPr>
        <w:ind w:left="540" w:hanging="424"/>
        <w:spacing w:after="0"/>
        <w:tabs>
          <w:tab w:leader="none" w:pos="5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financial instruments subject to redemption and other preferential rights</w:t>
      </w:r>
    </w:p>
    <w:p>
      <w:pPr>
        <w:spacing w:after="0" w:line="225" w:lineRule="exact"/>
        <w:rPr>
          <w:sz w:val="20"/>
          <w:szCs w:val="20"/>
          <w:color w:val="auto"/>
        </w:rPr>
      </w:pPr>
    </w:p>
    <w:p>
      <w:pPr>
        <w:ind w:left="120" w:right="700"/>
        <w:spacing w:after="0" w:line="282" w:lineRule="auto"/>
        <w:rPr>
          <w:sz w:val="20"/>
          <w:szCs w:val="20"/>
          <w:color w:val="auto"/>
        </w:rPr>
      </w:pPr>
      <w:r>
        <w:rPr>
          <w:rFonts w:ascii="Times New Roman" w:cs="Times New Roman" w:eastAsia="Times New Roman" w:hAnsi="Times New Roman"/>
          <w:sz w:val="18"/>
          <w:szCs w:val="18"/>
          <w:color w:val="auto"/>
        </w:rPr>
        <w:t>The Group enters into a series of agreements with certain investors, under which the Group and the investors commit to issue/subscribe for the convertible redeemable preferred shares upon the occurrence of specified</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080"/>
          </w:cols>
          <w:pgMar w:left="320" w:top="455" w:right="49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continent events (i.e. obtaining regulator’s approval and completion of the foreign exchange registration procedures for the overseas direct investments (“ODI”)). The investors have paid the subscription price upfront upon signing the agreements. Such commitments to issue/subscribe for the convertible redeemable preferred shares are referred as the other financial instruments subject to redemption and other preferential rights (the “other financial instruments”). The convertible redeemable preferred shares would give rise to financial liabilities as mentioned in 2(q)(i) above, when they are issued. As the issuance of the convertible redeemable preferred shares is conditional on the occurrence of the specified contingent events that are beyond the control of both the Group and counterparties, the Group recognizes such financial instruments as financial liabilities.</w:t>
      </w:r>
    </w:p>
    <w:p>
      <w:pPr>
        <w:spacing w:after="0" w:line="187"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These liabilities are measured at the present value of the redemption amount in accordance with 2(q)(i). Any changes in the carrying amount of these financial instruments issued to investors are recorded in profit or loss as “changes in the carrying amounts of preferred shares and other financial instruments subject to redemption and other preferential rights”.</w:t>
      </w:r>
    </w:p>
    <w:p>
      <w:pPr>
        <w:spacing w:after="0" w:line="320" w:lineRule="exact"/>
        <w:rPr>
          <w:sz w:val="20"/>
          <w:szCs w:val="20"/>
          <w:color w:val="auto"/>
        </w:rPr>
      </w:pPr>
    </w:p>
    <w:p>
      <w:pPr>
        <w:ind w:left="540" w:hanging="424"/>
        <w:spacing w:after="0"/>
        <w:tabs>
          <w:tab w:leader="none" w:pos="540" w:val="left"/>
        </w:tabs>
        <w:numPr>
          <w:ilvl w:val="0"/>
          <w:numId w:val="15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Treasury shares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When ordinary shares and non-redeemable preferred shares recognized as equity are repurchased, the amount of the consideration paid, which includes directly attributable costs, is recognized as a deduction from equity. Repurchased shares are classified as treasury shares and are presented in the treasury shares. When treasury shares are sold or reissued subsequently, the amount received is recognized as an increase in equity and the resulting surplus or deficit on the transaction is presented within share premium.</w:t>
      </w:r>
    </w:p>
    <w:p>
      <w:pPr>
        <w:spacing w:after="0" w:line="324" w:lineRule="exact"/>
        <w:rPr>
          <w:sz w:val="20"/>
          <w:szCs w:val="20"/>
          <w:color w:val="auto"/>
        </w:rPr>
      </w:pPr>
    </w:p>
    <w:p>
      <w:pPr>
        <w:ind w:left="540" w:hanging="424"/>
        <w:spacing w:after="0"/>
        <w:tabs>
          <w:tab w:leader="none" w:pos="540" w:val="left"/>
        </w:tabs>
        <w:numPr>
          <w:ilvl w:val="0"/>
          <w:numId w:val="15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Financial liabilities measured at FVTPL</w:t>
      </w:r>
    </w:p>
    <w:p>
      <w:pPr>
        <w:spacing w:after="0" w:line="135" w:lineRule="exact"/>
        <w:rPr>
          <w:sz w:val="20"/>
          <w:szCs w:val="20"/>
          <w:color w:val="auto"/>
        </w:rPr>
      </w:pPr>
    </w:p>
    <w:p>
      <w:pPr>
        <w:ind w:left="540" w:hanging="424"/>
        <w:spacing w:after="0"/>
        <w:tabs>
          <w:tab w:leader="none" w:pos="5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Convertible notes</w:t>
      </w:r>
    </w:p>
    <w:p>
      <w:pPr>
        <w:spacing w:after="0" w:line="117"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Convertible notes issued to investors can be converted into preferred shares at the option of the holders. The convertible notes contain both a debt component and an embedded derivative component to be convertible into liabilities-classified preferred shares, and are measured at fair value through profit or loss in their entirety.</w:t>
      </w:r>
    </w:p>
    <w:p>
      <w:pPr>
        <w:spacing w:after="0" w:line="324" w:lineRule="exact"/>
        <w:rPr>
          <w:sz w:val="20"/>
          <w:szCs w:val="20"/>
          <w:color w:val="auto"/>
        </w:rPr>
      </w:pPr>
    </w:p>
    <w:p>
      <w:pPr>
        <w:ind w:left="540" w:hanging="424"/>
        <w:spacing w:after="0"/>
        <w:tabs>
          <w:tab w:leader="none" w:pos="5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 liabilities</w:t>
      </w:r>
    </w:p>
    <w:p>
      <w:pPr>
        <w:spacing w:after="0" w:line="117" w:lineRule="exact"/>
        <w:rPr>
          <w:sz w:val="20"/>
          <w:szCs w:val="20"/>
          <w:color w:val="auto"/>
        </w:rPr>
      </w:pPr>
    </w:p>
    <w:p>
      <w:pPr>
        <w:ind w:left="120"/>
        <w:spacing w:after="0" w:line="312" w:lineRule="auto"/>
        <w:rPr>
          <w:sz w:val="20"/>
          <w:szCs w:val="20"/>
          <w:color w:val="auto"/>
        </w:rPr>
      </w:pPr>
      <w:r>
        <w:rPr>
          <w:rFonts w:ascii="Times New Roman" w:cs="Times New Roman" w:eastAsia="Times New Roman" w:hAnsi="Times New Roman"/>
          <w:sz w:val="17"/>
          <w:szCs w:val="17"/>
          <w:color w:val="auto"/>
        </w:rPr>
        <w:t>Warrant liabilities arise from the warrants granted by the Group under which the holders have the rights to subscribe for the Group’s preferred shares at a predetermined price during a specific period. Warrant liabilities are measured at fair value, with changes in fair value being recognized in profit or loss.</w:t>
      </w:r>
    </w:p>
    <w:p>
      <w:pPr>
        <w:spacing w:after="0" w:line="284" w:lineRule="exact"/>
        <w:rPr>
          <w:sz w:val="20"/>
          <w:szCs w:val="20"/>
          <w:color w:val="auto"/>
        </w:rPr>
      </w:pPr>
    </w:p>
    <w:p>
      <w:pPr>
        <w:ind w:left="540" w:hanging="424"/>
        <w:spacing w:after="0"/>
        <w:tabs>
          <w:tab w:leader="none" w:pos="540" w:val="left"/>
        </w:tabs>
        <w:numPr>
          <w:ilvl w:val="0"/>
          <w:numId w:val="16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Put option liabilities</w:t>
      </w:r>
    </w:p>
    <w:p>
      <w:pPr>
        <w:spacing w:after="0" w:line="12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Put option liabilities represent the present value of liabilities in relation to put options granted to non-controlling shareholders of the Group’s subsidiary. Under the put option clauses, the non-controlling shareholders have right to sell their equity interest to the subsidiary at a pre-agreed price on the occurrence of some certain events that are beyond the Group’s control.</w:t>
      </w:r>
    </w:p>
    <w:p>
      <w:pPr>
        <w:spacing w:after="0" w:line="320" w:lineRule="exact"/>
        <w:rPr>
          <w:sz w:val="20"/>
          <w:szCs w:val="20"/>
          <w:color w:val="auto"/>
        </w:rPr>
      </w:pPr>
    </w:p>
    <w:p>
      <w:pPr>
        <w:ind w:left="540" w:hanging="424"/>
        <w:spacing w:after="0"/>
        <w:tabs>
          <w:tab w:leader="none" w:pos="540" w:val="left"/>
        </w:tabs>
        <w:numPr>
          <w:ilvl w:val="0"/>
          <w:numId w:val="16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Employee benefits</w:t>
      </w:r>
    </w:p>
    <w:p>
      <w:pPr>
        <w:spacing w:after="0" w:line="135" w:lineRule="exact"/>
        <w:rPr>
          <w:sz w:val="20"/>
          <w:szCs w:val="20"/>
          <w:color w:val="auto"/>
        </w:rPr>
      </w:pPr>
    </w:p>
    <w:p>
      <w:pPr>
        <w:ind w:left="540" w:hanging="424"/>
        <w:spacing w:after="0"/>
        <w:tabs>
          <w:tab w:leader="none" w:pos="5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employee benefits</w:t>
      </w:r>
    </w:p>
    <w:p>
      <w:pPr>
        <w:spacing w:after="0" w:line="117"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Salaries, annual bonuses, paid annual leave and the cost of non-monetary benefits are accrued in the year in which the associated services are rendered by employees. Where payment or settlement is deferred and the effect would be material, these amounts are stated at their present values.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120"/>
          </w:cols>
          <w:pgMar w:left="320" w:top="455" w:right="45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tabs>
          <w:tab w:leader="none" w:pos="54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Contributions to defined contribution plans</w:t>
      </w:r>
    </w:p>
    <w:p>
      <w:pPr>
        <w:spacing w:after="0" w:line="117"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Pursuant to the relevant laws and regulations of the PRC, the Group’s subsidiaries in mainland China participate in a defined contribution basic pension insurance in the social insurance system established and managed by government organizations. The Group makes contributions to basic pension insurance plans based on the applicable benchmarks and rates stipulated by the government. Basic pension insurance contributions are recognized as part of the cost of assets or charged to profit or loss as the related services are rendered by the employees.</w:t>
      </w:r>
    </w:p>
    <w:p>
      <w:pPr>
        <w:spacing w:after="0" w:line="328"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color w:val="auto"/>
        </w:rPr>
        <w:t>(iii)</w:t>
        <w:tab/>
        <w:t>Share-based compensation</w:t>
      </w:r>
    </w:p>
    <w:p>
      <w:pPr>
        <w:spacing w:after="0" w:line="117"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The Company operates a share incentive plan for the purpose of providing incentives and rewards to eligible participants who contribute to the success of the Group’s operations. Employees (including directors) of the Group receive remuneration in the form of share-based awards, whereby employees render services as consideration for equity instruments (“share-based compensation”).</w:t>
      </w:r>
    </w:p>
    <w:p>
      <w:pPr>
        <w:spacing w:after="0" w:line="176"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For share-based compensation expenses, the fair value of share-based awards granted to employees is recognized as an employee cost with a corresponding increase in a share-based compensation reserve within equity. The fair value is measured at grant date using the binomial options pricing model, taking into account the terms and conditions upon which the share-based awards were granted. Where the employees have to meet vesting conditions before becoming unconditionally entitled to the share-based awards, the total estimated fair value of the share-based awards is spread over the vesting period, taking into account the probability that the share-based awards will vest.</w:t>
      </w:r>
    </w:p>
    <w:p>
      <w:pPr>
        <w:spacing w:after="0" w:line="183"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During the vesting period, the number of share-based awards that is expected to vest is reviewed. Any resulting adjustment to the cumulative fair value recognized in prior years is charged/credited to the profit or loss for the year of the review, unless the original employee expenses qualify for recognition as an asset, with a corresponding adjustment to the equity-settled share-based compensation reserve. On vesting date, the amount recognized as an expense is adjusted to reflect the actual number of share-based awards that vest (with a corresponding adjustment to the share-based compensation reserve). The amount is recognized in the share-based compensation reserve until the share-based award is exercised or expires. When the option is exercised, the equity amount in such reserve becomes part of the amount recognized in share capital for the shares issued. When the share-based award expires, the equity amount in such reserve is released directly to retained profits.</w:t>
      </w:r>
    </w:p>
    <w:p>
      <w:pPr>
        <w:spacing w:after="0" w:line="18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If the Company repurchases vested share-based awards, the payment made to the employee shall be accounted for as a deduction from equity, except to the extent that the payment exceeds the fair value of the share-based awards repurchased, measured at the repurchase date. Any such excess shall be recognised as an expense.</w:t>
      </w:r>
    </w:p>
    <w:p>
      <w:pPr>
        <w:spacing w:after="0" w:line="324"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color w:val="auto"/>
        </w:rPr>
        <w:t>(iv)</w:t>
      </w:r>
      <w:r>
        <w:rPr>
          <w:sz w:val="20"/>
          <w:szCs w:val="20"/>
          <w:color w:val="auto"/>
        </w:rPr>
        <w:tab/>
      </w:r>
      <w:r>
        <w:rPr>
          <w:rFonts w:ascii="Times New Roman" w:cs="Times New Roman" w:eastAsia="Times New Roman" w:hAnsi="Times New Roman"/>
          <w:sz w:val="17"/>
          <w:szCs w:val="17"/>
          <w:color w:val="auto"/>
        </w:rPr>
        <w:t>Termination benefits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Termination benefits are recognized when the Group can no longer withdraw the offer of those benefits.</w:t>
      </w:r>
    </w:p>
    <w:p>
      <w:pPr>
        <w:spacing w:after="0" w:line="370" w:lineRule="exact"/>
        <w:rPr>
          <w:sz w:val="20"/>
          <w:szCs w:val="20"/>
          <w:color w:val="auto"/>
        </w:rPr>
      </w:pPr>
    </w:p>
    <w:p>
      <w:pPr>
        <w:ind w:left="540" w:hanging="424"/>
        <w:spacing w:after="0"/>
        <w:tabs>
          <w:tab w:leader="none" w:pos="540" w:val="left"/>
        </w:tabs>
        <w:numPr>
          <w:ilvl w:val="0"/>
          <w:numId w:val="16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Income tax</w:t>
      </w:r>
    </w:p>
    <w:p>
      <w:pPr>
        <w:spacing w:after="0" w:line="121"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Income tax for the year comprises current tax and movements in deferred tax assets and liabilities. Current tax and movements in deferred tax assets and liabilities are recognized in profit or loss except to the extent that they relate to items recognized in other comprehensive income or directly in equity, in which case the relevant amounts of tax are recognized in other comprehensive income or directly in equity, respectively.</w:t>
      </w:r>
    </w:p>
    <w:p>
      <w:pPr>
        <w:spacing w:after="0" w:line="176"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Current tax is the expected tax payable on the taxable income for the year, using tax rates enacted or substantively enacted at the end of the periods presented, and any adjustment to tax payable in respect of previous years.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100"/>
          </w:cols>
          <w:pgMar w:left="320" w:top="455" w:right="47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Deferred tax assets and liabilities arise from deductible and taxable temporary differences respectively, being the differences between the carrying amounts of assets and liabilities for financial reporting purposes and their tax bases. Deferred tax assets also arise from unused tax losses and unused tax credits.</w:t>
      </w:r>
    </w:p>
    <w:p>
      <w:pPr>
        <w:spacing w:after="0" w:line="176"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Apart from certain limited exceptions, all deferred tax liabilities, and all deferred tax assets to the extent that it is probable that future taxable profits will be available against which the asset can be utilised, are recognized. Future taxable profits that may support the recognition of deferred tax assets arising from deductible temporary differences include those that will arise from the reversal of existing taxable temporary differences, provided those differences relate to the same taxation authority and the same taxable entity, and are expected to reverse either in the same period as the expected reversal of the deductible temporary difference or in periods into which a tax loss arising from the deferred tax asset can be carried back or forward. The same criteria are adopted when determining whether existing taxable temporary differences support the recognition of deferred tax assets arising from unused tax losses and credits, that is, those differences are taken into account if they relate to the same taxation authority and the same taxable entity, and are expected to reverse in a period, or periods, in which the tax loss or credit can be utilised.</w:t>
      </w:r>
    </w:p>
    <w:p>
      <w:pPr>
        <w:spacing w:after="0" w:line="192"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The limited exceptions to recognition of deferred tax assets and liabilities are those temporary differences arising from goodwill not deductible for tax purposes, the initial recognition of assets or liabilities that affect neither accounting nor taxable profit (provided they are not part of a business combination), and temporary differences relating to investments in subsidiaries to the extent that, in the case of taxable differences, the Group controls the timing of the reversal and it is probable that the differences will not reverse in the foreseeable future, or in the case of deductible differences, unless it is probable that they will reverse in the future.</w:t>
      </w:r>
    </w:p>
    <w:p>
      <w:pPr>
        <w:spacing w:after="0" w:line="183" w:lineRule="exact"/>
        <w:rPr>
          <w:sz w:val="20"/>
          <w:szCs w:val="20"/>
          <w:color w:val="auto"/>
        </w:rPr>
      </w:pPr>
    </w:p>
    <w:p>
      <w:pPr>
        <w:ind w:left="120" w:right="180"/>
        <w:spacing w:after="0" w:line="312" w:lineRule="auto"/>
        <w:rPr>
          <w:sz w:val="20"/>
          <w:szCs w:val="20"/>
          <w:color w:val="auto"/>
        </w:rPr>
      </w:pPr>
      <w:r>
        <w:rPr>
          <w:rFonts w:ascii="Times New Roman" w:cs="Times New Roman" w:eastAsia="Times New Roman" w:hAnsi="Times New Roman"/>
          <w:sz w:val="17"/>
          <w:szCs w:val="17"/>
          <w:color w:val="auto"/>
        </w:rPr>
        <w:t>The amount of deferred tax recognized is measured based on the expected manner of realisation or settlement of the carrying amount of the assets and liabilities, using tax rates enacted or substantively enacted at the end of the period presented. Deferred tax assets and liabilities are not discounted.</w:t>
      </w:r>
    </w:p>
    <w:p>
      <w:pPr>
        <w:spacing w:after="0" w:line="140"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The carrying amount of a deferred tax asset is reviewed at the end of each period presented and is reduced to the extent that it is no longer probable that sufficient taxable profits will be available to allow the related tax benefit to be utilised. Any such reduction is reversed to the extent that it becomes probable that sufficient taxable profits will be available.</w:t>
      </w:r>
    </w:p>
    <w:p>
      <w:pPr>
        <w:spacing w:after="0" w:line="176"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Current tax balances and deferred tax balances, and movements therein, are presented separately from each other and are not offset. Current tax assets are offset against current tax liabilities, and deferred tax assets against deferred tax liabilities, if the Company or the Group has the legally enforceable right to set off current tax assets against current tax liabilities and the following additional conditions are met:</w:t>
      </w:r>
    </w:p>
    <w:p>
      <w:pPr>
        <w:spacing w:after="0" w:line="81" w:lineRule="exact"/>
        <w:rPr>
          <w:sz w:val="20"/>
          <w:szCs w:val="20"/>
          <w:color w:val="auto"/>
        </w:rPr>
      </w:pPr>
    </w:p>
    <w:p>
      <w:pPr>
        <w:ind w:left="540" w:right="20" w:hanging="424"/>
        <w:spacing w:after="0" w:line="282" w:lineRule="auto"/>
        <w:tabs>
          <w:tab w:leader="none" w:pos="54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current tax assets and liabilities, the Company or the Group intends either to settle on a net basis, or to realize the asset and settle the liability simultaneously; or</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deferred tax assets and liabilities, if they relate to income taxes levied by the same taxation authority on either:</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same taxable entity; or</w:t>
      </w:r>
    </w:p>
    <w:p>
      <w:pPr>
        <w:spacing w:after="0" w:line="130" w:lineRule="exact"/>
        <w:rPr>
          <w:rFonts w:ascii="Times New Roman" w:cs="Times New Roman" w:eastAsia="Times New Roman" w:hAnsi="Times New Roman"/>
          <w:sz w:val="18"/>
          <w:szCs w:val="18"/>
          <w:color w:val="auto"/>
        </w:rPr>
      </w:pPr>
    </w:p>
    <w:p>
      <w:pPr>
        <w:ind w:left="540" w:right="20" w:hanging="424"/>
        <w:spacing w:after="0" w:line="282" w:lineRule="auto"/>
        <w:tabs>
          <w:tab w:leader="none" w:pos="54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taxable entities, which, in each future period in which significant amounts of deferred tax liabilities or assets are expected to be settled or recovered, intend to realize the current tax assets and settle the current tax liabilities on a net basis or realize and settle simultaneously.</w:t>
      </w:r>
    </w:p>
    <w:p>
      <w:pPr>
        <w:spacing w:after="0" w:line="306" w:lineRule="exact"/>
        <w:rPr>
          <w:sz w:val="20"/>
          <w:szCs w:val="20"/>
          <w:color w:val="auto"/>
        </w:rPr>
      </w:pPr>
    </w:p>
    <w:p>
      <w:pPr>
        <w:ind w:left="540" w:hanging="424"/>
        <w:spacing w:after="0"/>
        <w:tabs>
          <w:tab w:leader="none" w:pos="540" w:val="left"/>
        </w:tabs>
        <w:numPr>
          <w:ilvl w:val="0"/>
          <w:numId w:val="16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Provisions and contingent liabilities</w:t>
      </w:r>
    </w:p>
    <w:p>
      <w:pPr>
        <w:spacing w:after="0" w:line="121"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Provisions are recognized when the Group has a legal or constructive obligation as a result of past events; it is probable that an outflow of economic benefits will be required to settle the obligation; and the amount has been reliably estimated. Where the time value of money is material, provisions are stated at the present value of the expenditure expected to settle the obligation.</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100"/>
          </w:cols>
          <w:pgMar w:left="320" w:top="455" w:right="47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80"/>
        <w:spacing w:after="0" w:line="261" w:lineRule="auto"/>
        <w:rPr>
          <w:sz w:val="20"/>
          <w:szCs w:val="20"/>
          <w:color w:val="auto"/>
        </w:rPr>
      </w:pPr>
      <w:r>
        <w:rPr>
          <w:rFonts w:ascii="Times New Roman" w:cs="Times New Roman" w:eastAsia="Times New Roman" w:hAnsi="Times New Roman"/>
          <w:sz w:val="18"/>
          <w:szCs w:val="18"/>
          <w:color w:val="auto"/>
        </w:rPr>
        <w:t>Where it is not probable that an outflow of economic benefits will be required, or the amount cannot be estimated reliably, the obligation is disclosed as a contingent liability, unless the probability of outflow of economic benefits is remote. Possible obligations, whose existence will only be confirmed by the occurrence or non-occurrence of one or more future events are also disclosed as contingent liabilities unless the probability of outflow of economic benefits is remote.</w:t>
      </w:r>
    </w:p>
    <w:p>
      <w:pPr>
        <w:spacing w:after="0" w:line="180" w:lineRule="exact"/>
        <w:rPr>
          <w:sz w:val="20"/>
          <w:szCs w:val="20"/>
          <w:color w:val="auto"/>
        </w:rPr>
      </w:pPr>
    </w:p>
    <w:p>
      <w:pPr>
        <w:ind w:left="120" w:right="620"/>
        <w:spacing w:after="0" w:line="266" w:lineRule="auto"/>
        <w:rPr>
          <w:sz w:val="20"/>
          <w:szCs w:val="20"/>
          <w:color w:val="auto"/>
        </w:rPr>
      </w:pPr>
      <w:r>
        <w:rPr>
          <w:rFonts w:ascii="Times New Roman" w:cs="Times New Roman" w:eastAsia="Times New Roman" w:hAnsi="Times New Roman"/>
          <w:sz w:val="18"/>
          <w:szCs w:val="18"/>
          <w:color w:val="auto"/>
        </w:rPr>
        <w:t>Where some of the expenditure required to settle a provision is expected to be reimbursed by another party, a separate asset is recognized of any expected reimbursement that would be virtually certain. The amount recognized for the reimbursement is limited to the carrying amount of the provision.</w:t>
      </w:r>
    </w:p>
    <w:p>
      <w:pPr>
        <w:spacing w:after="0" w:line="320" w:lineRule="exact"/>
        <w:rPr>
          <w:sz w:val="20"/>
          <w:szCs w:val="20"/>
          <w:color w:val="auto"/>
        </w:rPr>
      </w:pPr>
    </w:p>
    <w:p>
      <w:pPr>
        <w:ind w:left="540" w:hanging="424"/>
        <w:spacing w:after="0"/>
        <w:tabs>
          <w:tab w:leader="none" w:pos="540" w:val="left"/>
        </w:tabs>
        <w:numPr>
          <w:ilvl w:val="0"/>
          <w:numId w:val="16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Revenue and other income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Income is classified by the Group as revenue when it arises from the sale of goods or the provision of services from contracts with customers.</w:t>
      </w:r>
    </w:p>
    <w:p>
      <w:pPr>
        <w:spacing w:after="0" w:line="225"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Revenue is recognized when control over a good or service is transferred to the customer, at the amount of promised consideration to which the Group is expected to be entitled, excluding those amounts collected on behalf of third parties. Revenue excludes value added tax or other sales taxes and is after deduction of any trade discounts.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Control of the goods and services may be transferred over time or at a point in time. Control of the goods and services is transferred over time if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Group’s performance:</w:t>
      </w:r>
    </w:p>
    <w:p>
      <w:pPr>
        <w:spacing w:after="0" w:line="112" w:lineRule="exact"/>
        <w:rPr>
          <w:sz w:val="20"/>
          <w:szCs w:val="20"/>
          <w:color w:val="auto"/>
        </w:rPr>
      </w:pPr>
    </w:p>
    <w:p>
      <w:pPr>
        <w:ind w:left="540" w:hanging="316"/>
        <w:spacing w:after="0"/>
        <w:tabs>
          <w:tab w:leader="none" w:pos="5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the benefits received and consumed simultaneously by the customer;</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creates or enhances an asset that the customer controls as the Group performs; or</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does not create an asset with an alternative use to the Group and the Group has an enforceable right to payment for performance completed to date.</w:t>
      </w:r>
    </w:p>
    <w:p>
      <w:pPr>
        <w:spacing w:after="0" w:line="237"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If control of the goods and services transfers over time, revenue is recognized over the period of the performance by reference to the progress towards complete satisfaction of that performance obligation. Otherwise, revenue is recognized at a point in time when the customer obtains control of the goods or services.</w:t>
      </w:r>
    </w:p>
    <w:p>
      <w:pPr>
        <w:spacing w:after="0" w:line="176" w:lineRule="exact"/>
        <w:rPr>
          <w:sz w:val="20"/>
          <w:szCs w:val="20"/>
          <w:color w:val="auto"/>
        </w:rPr>
      </w:pPr>
    </w:p>
    <w:p>
      <w:pPr>
        <w:ind w:left="120" w:right="40"/>
        <w:spacing w:after="0" w:line="277" w:lineRule="auto"/>
        <w:rPr>
          <w:sz w:val="20"/>
          <w:szCs w:val="20"/>
          <w:color w:val="auto"/>
        </w:rPr>
      </w:pPr>
      <w:r>
        <w:rPr>
          <w:rFonts w:ascii="Times New Roman" w:cs="Times New Roman" w:eastAsia="Times New Roman" w:hAnsi="Times New Roman"/>
          <w:sz w:val="17"/>
          <w:szCs w:val="17"/>
          <w:color w:val="auto"/>
        </w:rPr>
        <w:t>Contracts with customers may include multiple performance obligations. For such arrangements, the Group allocates the transaction price to each performance obligation based on its relative standalone selling price. The Group generally determines standalone selling prices based on the observable prices charged to customers when the Group sells that good or service separately. If the standalone selling price is not directly observable, it is estimated using expected cost plus a margin or adjusted market assessment approach, depending on the availability of information. Assumptions and estimations have been made in estimating the standalone selling price, and changes in those assumptions and estimates may impact the revenue recognition.</w:t>
      </w:r>
    </w:p>
    <w:p>
      <w:pPr>
        <w:spacing w:after="0" w:line="168"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A contract asset is the Group’s right to consideration in exchange for goods and services that the Group has transferred to a customer and that right is conditional on something other than the passage of time. A receivable is recorded when the Group has an unconditional right to consideration. A right to consideration is unconditional if only the passage of time is required before payment of that consideration is due.</w:t>
      </w:r>
    </w:p>
    <w:p>
      <w:pPr>
        <w:spacing w:after="0" w:line="176"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If a customer pays consideration or the Group has a right to an amount of consideration that is unconditional, before the Group transfers a good or service to the customer, the Group presents the contract liability when the payment is made or a receivable is recorded (whichever is earlier). A contract liability is the Group’s obligation to transfer goods or services to a customer for which the Group has received consideration (or an amount of consideration is due) from the customer.</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120"/>
          </w:cols>
          <w:pgMar w:left="320" w:top="455" w:right="45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Group allows customers return goods only when the goods are defective.</w:t>
      </w:r>
    </w:p>
    <w:p>
      <w:pPr>
        <w:spacing w:after="0" w:line="225"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The Group has taken advantage of the practical expedient and does not adjust the consideration for the effects of any significant financing component if the expected period of financing is 12 months or less. The contracts with customers generally do not include significant financing components or variable consideration.</w:t>
      </w:r>
    </w:p>
    <w:p>
      <w:pPr>
        <w:spacing w:after="0" w:line="176" w:lineRule="exact"/>
        <w:rPr>
          <w:sz w:val="20"/>
          <w:szCs w:val="20"/>
          <w:color w:val="auto"/>
        </w:rPr>
      </w:pPr>
    </w:p>
    <w:p>
      <w:pPr>
        <w:jc w:val="both"/>
        <w:ind w:left="120" w:right="260"/>
        <w:spacing w:after="0" w:line="266" w:lineRule="auto"/>
        <w:rPr>
          <w:sz w:val="20"/>
          <w:szCs w:val="20"/>
          <w:color w:val="auto"/>
        </w:rPr>
      </w:pPr>
      <w:r>
        <w:rPr>
          <w:rFonts w:ascii="Times New Roman" w:cs="Times New Roman" w:eastAsia="Times New Roman" w:hAnsi="Times New Roman"/>
          <w:sz w:val="18"/>
          <w:szCs w:val="18"/>
          <w:color w:val="auto"/>
        </w:rPr>
        <w:t>The Group generates revenues from (i) the sales of L4 autonomous driving vehicles, primarily including robobuses and robotaxis, and related sensor suites; and (ii) the provision of L4 autonomous driving services, including the provision of L4 autonomous driving operational and technical support services.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Details of the Group’s accounting policies for revenue and other income sources are as follows:</w:t>
      </w:r>
    </w:p>
    <w:p>
      <w:pPr>
        <w:spacing w:after="0" w:line="135" w:lineRule="exact"/>
        <w:rPr>
          <w:sz w:val="20"/>
          <w:szCs w:val="20"/>
          <w:color w:val="auto"/>
        </w:rPr>
      </w:pPr>
    </w:p>
    <w:p>
      <w:pPr>
        <w:ind w:left="540" w:hanging="424"/>
        <w:spacing w:after="0"/>
        <w:tabs>
          <w:tab w:leader="none" w:pos="54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L4 autonomous driving vehicles</w:t>
      </w:r>
    </w:p>
    <w:p>
      <w:pPr>
        <w:spacing w:after="0" w:line="117"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The Group sells robobuses/robotaxis to customers with provision of landing deployment services to make the robobuses/robotaxis operational on the roads specified by the customers. As the robobuses/robotaxis require the associated landing deployment services that are integral to achieving the customers’ specifications, these inputs are highly interdependent and interrelated with each other. Accordingly, the sale of robobuses/robotaxis and the provision of the landing deployment services are accounted for as a single performance obligation. Revenue is recognized at a point in time when the robobuses/robotaxis have been accepted by the customers upon the completion of the landing deployment services by the Group.</w:t>
      </w:r>
    </w:p>
    <w:p>
      <w:pPr>
        <w:spacing w:after="0" w:line="183"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Group sells sensor suites that combine software and hardware and can be directly applied in a wide range of vehicles. Revenue from the sales of sensor suites is recognized generally at a point in time when the products are delivered to and are accepted by customers. When the Group has a right to repurchase the sensor suites from the customer, the Group does not recognize revenue until the repurchase right no longer exists, which is generally the point in time when the customer consumes or resells the products to another party.</w:t>
      </w:r>
    </w:p>
    <w:p>
      <w:pPr>
        <w:spacing w:after="0" w:line="328" w:lineRule="exact"/>
        <w:rPr>
          <w:sz w:val="20"/>
          <w:szCs w:val="20"/>
          <w:color w:val="auto"/>
        </w:rPr>
      </w:pPr>
    </w:p>
    <w:p>
      <w:pPr>
        <w:ind w:left="540" w:hanging="424"/>
        <w:spacing w:after="0"/>
        <w:tabs>
          <w:tab w:leader="none" w:pos="54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 of L4 autonomous driving services</w:t>
      </w:r>
    </w:p>
    <w:p>
      <w:pPr>
        <w:spacing w:after="0" w:line="117"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The Group provides optional operational assistance services to assist the customers in operating the robobuses/robotaxis for a specified period after acceptance, extended maintenance services and technical support services to enhance the autonomous driving functions based on the customer’s specifications. These optional services are accounted for as separate performance obligations. Revenue from the provision of these optional services is recognized over the service period, which vary from several months to one year, using an input method.</w:t>
      </w:r>
    </w:p>
    <w:p>
      <w:pPr>
        <w:spacing w:after="0" w:line="18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 some circumstances, the Group also provides technical support services for the sensor suites based on customer’s request. The sale of sensor suites and provision of technical support services are accounted for as separate performance obligations as they are capable of being distinct and are separately identifiable. Revenue from the provision of technical support services is recognized over the service period, which is generally three years, using an input method.</w:t>
      </w:r>
    </w:p>
    <w:p>
      <w:pPr>
        <w:spacing w:after="0" w:line="180"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All the contracts with customers are at a fixed price at inception and do not include any variable consideration or financing components by normal course of business practice.</w:t>
      </w:r>
    </w:p>
    <w:p>
      <w:pPr>
        <w:spacing w:after="0" w:line="310"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color w:val="auto"/>
        </w:rPr>
        <w:t>(iii)</w:t>
        <w:tab/>
        <w:t>Interest income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Interest income is recognized using the effective interest method.</w:t>
      </w:r>
    </w:p>
    <w:p>
      <w:pPr>
        <w:spacing w:after="0" w:line="374"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color w:val="auto"/>
        </w:rPr>
        <w:t>(iv)</w:t>
        <w:tab/>
        <w:t>Government grants</w:t>
      </w:r>
    </w:p>
    <w:p>
      <w:pPr>
        <w:spacing w:after="0" w:line="117"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Government grants are recognized in the consolidated statements of financial position initially when there is reasonable assurance that they will be received and that the Group will comply with the conditions attaching to</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080"/>
          </w:cols>
          <w:pgMar w:left="320" w:top="455" w:right="49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them. Grants that compensate the Group for expenses incurred are recognized as income in profit or loss on a systematic basis in the same periods in which the expenses are incurred. Grants that compensate the Group for the cost of an asset are deducted from the carrying amount of the asset and consequently are effectively recognized in profit or loss over the useful life of the asset by way of reduced depreciation expense.</w:t>
      </w:r>
    </w:p>
    <w:p>
      <w:pPr>
        <w:spacing w:after="0" w:line="320" w:lineRule="exact"/>
        <w:rPr>
          <w:sz w:val="20"/>
          <w:szCs w:val="20"/>
          <w:color w:val="auto"/>
        </w:rPr>
      </w:pPr>
    </w:p>
    <w:p>
      <w:pPr>
        <w:ind w:left="540" w:hanging="424"/>
        <w:spacing w:after="0"/>
        <w:tabs>
          <w:tab w:leader="none" w:pos="540" w:val="left"/>
        </w:tabs>
        <w:numPr>
          <w:ilvl w:val="0"/>
          <w:numId w:val="17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121"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Foreign currency transactions during the year are translated at the foreign exchange rates ruling at the transaction dates. Monetary assets and liabilities denominated in foreign currencies are translated at the foreign exchange rates ruling at the end of the period presented. Exchange gains and losses are recognized in profit or loss.</w:t>
      </w:r>
    </w:p>
    <w:p>
      <w:pPr>
        <w:spacing w:after="0" w:line="176"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Non-monetary assets and liabilities that are measured in terms of historical cost in a foreign currency are translated using the foreign exchange rates ruling at the transaction dates. The transaction date is the date on which the Group initially recognizes such non-monetary assets or liabilities. Non-monetary assets and liabilities denominated in foreign currencies that are stated at fair value are translated using the foreign exchange rates ruling at the dates the fair value was measured.</w:t>
      </w:r>
    </w:p>
    <w:p>
      <w:pPr>
        <w:spacing w:after="0" w:line="180" w:lineRule="exact"/>
        <w:rPr>
          <w:sz w:val="20"/>
          <w:szCs w:val="20"/>
          <w:color w:val="auto"/>
        </w:rPr>
      </w:pPr>
    </w:p>
    <w:p>
      <w:pPr>
        <w:ind w:left="120" w:right="520"/>
        <w:spacing w:after="0" w:line="266" w:lineRule="auto"/>
        <w:rPr>
          <w:sz w:val="20"/>
          <w:szCs w:val="20"/>
          <w:color w:val="auto"/>
        </w:rPr>
      </w:pPr>
      <w:r>
        <w:rPr>
          <w:rFonts w:ascii="Times New Roman" w:cs="Times New Roman" w:eastAsia="Times New Roman" w:hAnsi="Times New Roman"/>
          <w:sz w:val="18"/>
          <w:szCs w:val="18"/>
          <w:color w:val="auto"/>
        </w:rPr>
        <w:t>The results of foreign operations are translated into RMB at the average exchange rates for the period. Statement of financial position items are translated into RMB at the foreign exchange rates at the end of the periods presented. The resulting exchange differences are recognized in other comprehensive income and accumulated separately in equity in the translation reserve.</w:t>
      </w:r>
    </w:p>
    <w:p>
      <w:pPr>
        <w:spacing w:after="0" w:line="176"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On disposal of a foreign operation, the cumulative amount of the exchange differences relating to that foreign operation is reclassified from equity to profit or loss when the profit or loss on disposal is recognized.</w:t>
      </w:r>
    </w:p>
    <w:p>
      <w:pPr>
        <w:spacing w:after="0" w:line="306" w:lineRule="exact"/>
        <w:rPr>
          <w:sz w:val="20"/>
          <w:szCs w:val="20"/>
          <w:color w:val="auto"/>
        </w:rPr>
      </w:pPr>
    </w:p>
    <w:p>
      <w:pPr>
        <w:ind w:left="540" w:hanging="424"/>
        <w:spacing w:after="0"/>
        <w:tabs>
          <w:tab w:leader="none" w:pos="540" w:val="left"/>
        </w:tabs>
        <w:numPr>
          <w:ilvl w:val="0"/>
          <w:numId w:val="17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are expensed as incurred during the periods presented. Research and development costs consist primarily of personnel-related expenses associated with engineering personnel and consultants responsible for the design, development and testing of the Group’s autonomous driving technology platform and autonomous driving vehicles, depreciation of equipment used in research and development and allocated overhead costs.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(aa)  Borrowing costs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Borrowing costs are expensed in which they are incurred.</w:t>
      </w:r>
    </w:p>
    <w:p>
      <w:pPr>
        <w:spacing w:after="0" w:line="3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(bb)  Segment reporting</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Operating segments are reported in a manner consistent with the internal reporting provided to the chief operating decision makers, who are responsible for allocating resources and assessing performance of the operating segments and making strategic decisions. The Group’s chief operating decision makers have been identified as the executive directors of the Company, who review the consolidated results of operations when making decisions about allocating resources and assessing performance of the Group as a whole.</w:t>
      </w:r>
    </w:p>
    <w:p>
      <w:pPr>
        <w:spacing w:after="0" w:line="180"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For the purpose of internal reporting and management’s operation review, the chief operating decision-makers and management personnel do not segregate the Group’s business by product or service lines. Hence, the Group has only one operating segment. In addition, the Group does not distinguish between markets or segments for the purpose of internal reporting. As the Group’s assets and liabilities are substantially located in the PRC, substantially all revenues are earned and substantially all expenses incurred in the PRC, no geographical segments are presented.</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040"/>
          </w:cols>
          <w:pgMar w:left="320" w:top="455" w:right="53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(cc)</w:t>
        <w:tab/>
        <w:t>Related parties</w:t>
      </w:r>
    </w:p>
    <w:p>
      <w:pPr>
        <w:spacing w:after="0" w:line="135" w:lineRule="exact"/>
        <w:rPr>
          <w:sz w:val="20"/>
          <w:szCs w:val="20"/>
          <w:color w:val="auto"/>
        </w:rPr>
      </w:pPr>
    </w:p>
    <w:p>
      <w:pPr>
        <w:ind w:left="540" w:hanging="424"/>
        <w:spacing w:after="0"/>
        <w:tabs>
          <w:tab w:leader="none" w:pos="54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or a close member of that person’s family, is related to the Group if that person: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control or joint control over the Group;</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significant influence over the Group;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member of the key management personnel of the Group or the Group’s parent.</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entity is related to the Group if any of the following conditions applies:</w:t>
      </w:r>
    </w:p>
    <w:p>
      <w:pPr>
        <w:spacing w:after="0" w:line="130" w:lineRule="exact"/>
        <w:rPr>
          <w:rFonts w:ascii="Times New Roman" w:cs="Times New Roman" w:eastAsia="Times New Roman" w:hAnsi="Times New Roman"/>
          <w:sz w:val="18"/>
          <w:szCs w:val="18"/>
          <w:color w:val="auto"/>
        </w:rPr>
      </w:pPr>
    </w:p>
    <w:p>
      <w:pPr>
        <w:ind w:left="1080" w:right="80" w:hanging="532"/>
        <w:spacing w:after="0" w:line="282" w:lineRule="auto"/>
        <w:tabs>
          <w:tab w:leader="none" w:pos="108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and the Group are members of the same group (which means that each parent, subsidiary and fellow subsidiary is related to the others).</w:t>
      </w:r>
    </w:p>
    <w:p>
      <w:pPr>
        <w:spacing w:after="0" w:line="67" w:lineRule="exact"/>
        <w:rPr>
          <w:rFonts w:ascii="Times New Roman" w:cs="Times New Roman" w:eastAsia="Times New Roman" w:hAnsi="Times New Roman"/>
          <w:sz w:val="18"/>
          <w:szCs w:val="18"/>
          <w:color w:val="auto"/>
        </w:rPr>
      </w:pPr>
    </w:p>
    <w:p>
      <w:pPr>
        <w:ind w:left="1080" w:right="280" w:hanging="532"/>
        <w:spacing w:after="0" w:line="282" w:lineRule="auto"/>
        <w:tabs>
          <w:tab w:leader="none" w:pos="108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entity is an associate or joint venture of the other entity (or an associate or joint venture of a member of a group of which the other entity is a member).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entities are joint ventures of the same third party.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entity is a joint venture of a third entity and the other entity is an associate of the third entity.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is a post-employment benefit plan for the benefit of employees of either the Group or an entity related to the Group.</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is controlled or jointly controlled by a person identified in (a).</w:t>
      </w:r>
    </w:p>
    <w:p>
      <w:pPr>
        <w:spacing w:after="0" w:line="130" w:lineRule="exact"/>
        <w:rPr>
          <w:rFonts w:ascii="Times New Roman" w:cs="Times New Roman" w:eastAsia="Times New Roman" w:hAnsi="Times New Roman"/>
          <w:sz w:val="18"/>
          <w:szCs w:val="18"/>
          <w:color w:val="auto"/>
        </w:rPr>
      </w:pPr>
    </w:p>
    <w:p>
      <w:pPr>
        <w:ind w:left="1080" w:right="60" w:hanging="532"/>
        <w:spacing w:after="0" w:line="282" w:lineRule="auto"/>
        <w:tabs>
          <w:tab w:leader="none" w:pos="108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identified in (a)(i) has significant influence over the entity or is a member of the key management personnel of the entity (or of a parent of the entity).</w:t>
      </w:r>
    </w:p>
    <w:p>
      <w:pPr>
        <w:spacing w:after="0" w:line="67" w:lineRule="exact"/>
        <w:rPr>
          <w:rFonts w:ascii="Times New Roman" w:cs="Times New Roman" w:eastAsia="Times New Roman" w:hAnsi="Times New Roman"/>
          <w:sz w:val="18"/>
          <w:szCs w:val="18"/>
          <w:color w:val="auto"/>
        </w:rPr>
      </w:pPr>
    </w:p>
    <w:p>
      <w:pPr>
        <w:ind w:left="1080" w:right="320" w:hanging="532"/>
        <w:spacing w:after="0" w:line="282" w:lineRule="auto"/>
        <w:tabs>
          <w:tab w:leader="none" w:pos="108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or any member of a group of which it is a part, provides key management personnel services to the Group or to the Group’s parent.</w:t>
      </w:r>
    </w:p>
    <w:p>
      <w:pPr>
        <w:spacing w:after="0" w:line="162"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Close members of the family of a person are those family members who may be expected to influence, or be influenced by, that person in their dealings with the entity.</w:t>
      </w:r>
    </w:p>
    <w:p>
      <w:pPr>
        <w:spacing w:after="0" w:line="306" w:lineRule="exact"/>
        <w:rPr>
          <w:sz w:val="20"/>
          <w:szCs w:val="20"/>
          <w:color w:val="auto"/>
        </w:rPr>
      </w:pPr>
    </w:p>
    <w:p>
      <w:pPr>
        <w:ind w:left="540" w:hanging="424"/>
        <w:spacing w:after="0"/>
        <w:tabs>
          <w:tab w:leader="none" w:pos="540" w:val="left"/>
        </w:tabs>
        <w:numPr>
          <w:ilvl w:val="0"/>
          <w:numId w:val="1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Accounting estimates and judgments</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Estimates and judgements are continually evaluated and are based on historical experience and other factors, including expectations of future events that are believed to be reasonable under the circumstances.</w:t>
      </w:r>
    </w:p>
    <w:p>
      <w:pPr>
        <w:spacing w:after="0" w:line="162" w:lineRule="exact"/>
        <w:rPr>
          <w:sz w:val="20"/>
          <w:szCs w:val="20"/>
          <w:color w:val="auto"/>
        </w:rPr>
      </w:pPr>
    </w:p>
    <w:p>
      <w:pPr>
        <w:ind w:left="120" w:right="380"/>
        <w:spacing w:after="0" w:line="266" w:lineRule="auto"/>
        <w:rPr>
          <w:sz w:val="20"/>
          <w:szCs w:val="20"/>
          <w:color w:val="auto"/>
        </w:rPr>
      </w:pPr>
      <w:r>
        <w:rPr>
          <w:rFonts w:ascii="Times New Roman" w:cs="Times New Roman" w:eastAsia="Times New Roman" w:hAnsi="Times New Roman"/>
          <w:sz w:val="18"/>
          <w:szCs w:val="18"/>
          <w:color w:val="auto"/>
        </w:rPr>
        <w:t>The Group makes estimates and assumptions concerning the future. The resulting accounting estimates will, by definition, seldom equal the related actual results. The estimates and assumptions that have a significant risk of causing a material adjustment to the carrying amounts of assets and liabilities within the next financial year are addressed below.</w:t>
      </w:r>
    </w:p>
    <w:p>
      <w:pPr>
        <w:spacing w:after="0" w:line="320" w:lineRule="exact"/>
        <w:rPr>
          <w:sz w:val="20"/>
          <w:szCs w:val="20"/>
          <w:color w:val="auto"/>
        </w:rPr>
      </w:pPr>
    </w:p>
    <w:p>
      <w:pPr>
        <w:ind w:left="540" w:hanging="424"/>
        <w:spacing w:after="0"/>
        <w:tabs>
          <w:tab w:leader="none" w:pos="540" w:val="left"/>
        </w:tabs>
        <w:numPr>
          <w:ilvl w:val="0"/>
          <w:numId w:val="17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Impairments of non-current assets</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In considering the impairment losses that may be required for certain goodwill, intangible assets, property, equipment and right-of-use assets, recoverable amount of these assets needs to be determined. The recoverable amount is the greater of the fair value less costs of disposal and the value in use. It involves significant estimation uncertainty to determine the fair value when quoted market prices for these assets are not readily available. In determining the value in use, expected cash flows generated by the asset are discounted to their present value, which requires significant judgment relating to projections of items such as revenue and operating costs. The Group uses all readily available information in determining an amount that is reasonable approximation of recoverable amount, including estimates based on reasonable and supportable assumptions and projections of items.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100"/>
          </w:cols>
          <w:pgMar w:left="320" w:top="455" w:right="47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17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Fair value of convertible notes and warrants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Group measures the convertible notes (Note 2(s)(i)) and the warrant liabilities (Note 2(s)(ii)) at fair value. There are no quoted prices in an active market, the fair value of convertible notes and warrant liabilities are established with the assistance of an independent valuer using generally accepted valuation techniques. The assumptions adopted by the independent valuer in the valuation models make maximum use of market inputs. However, it should be noted that some inputs, such as the estimated probability of the occurrence of triggering events, require management estimates. Management’s estimates and assumptions are reviewed periodically and are adjusted if necessary. Should any of the estimates and assumptions change, it may lead to a change in the fair value of the financial liabilities.</w:t>
      </w:r>
    </w:p>
    <w:p>
      <w:pPr>
        <w:spacing w:after="0" w:line="332" w:lineRule="exact"/>
        <w:rPr>
          <w:sz w:val="20"/>
          <w:szCs w:val="20"/>
          <w:color w:val="auto"/>
        </w:rPr>
      </w:pPr>
    </w:p>
    <w:p>
      <w:pPr>
        <w:ind w:left="540" w:hanging="424"/>
        <w:spacing w:after="0"/>
        <w:tabs>
          <w:tab w:leader="none" w:pos="540" w:val="left"/>
        </w:tabs>
        <w:numPr>
          <w:ilvl w:val="0"/>
          <w:numId w:val="17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Recognition of deferred tax assets</w:t>
      </w:r>
    </w:p>
    <w:p>
      <w:pPr>
        <w:spacing w:after="0" w:line="121"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Deferred tax assets in respect of tax losses and other deductible temporary differences carried forward are recognized and measured based on the expected manner of realization or settlement of the carrying amount of the assets, using tax rates enacted or substantively enacted at the end of the periods presented. In determining the carrying amounts of deferred tax assets, expected taxable profits are estimated which involves a number of assumptions relating to the operating environment of the Group and requires significant level of judgement exercised by management. Any change in such assumptions and judgement would affect the carrying amounts of deferred tax assets to be recognized and hence profit or loss in future years.</w:t>
      </w:r>
    </w:p>
    <w:p>
      <w:pPr>
        <w:spacing w:after="0" w:line="328" w:lineRule="exact"/>
        <w:rPr>
          <w:sz w:val="20"/>
          <w:szCs w:val="20"/>
          <w:color w:val="auto"/>
        </w:rPr>
      </w:pPr>
    </w:p>
    <w:p>
      <w:pPr>
        <w:ind w:left="540" w:hanging="424"/>
        <w:spacing w:after="0"/>
        <w:tabs>
          <w:tab w:leader="none" w:pos="540" w:val="left"/>
        </w:tabs>
        <w:numPr>
          <w:ilvl w:val="0"/>
          <w:numId w:val="18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The Group measures the cost of equity-settled transactions with employees by reference to the fair value of the equity instruments at the date at which they are granted and at the end of each period presented, respectively. The fair value is estimated using a model which requires the determination of the appropriate inputs. The Group has to estimate the forfeiture rate in order to determine the amount of share-based compensation expenses charged to the consolidated statements of profit or loss. The Group also has to estimate the vesting periods of the share awards which is variable and subject to an estimate of when a qualified initial public offering of the Group will occur. The assumptions and models used for estimating the fair value of share-based compensation are disclosed in Note 28.</w:t>
      </w:r>
    </w:p>
    <w:p>
      <w:pPr>
        <w:spacing w:after="0" w:line="332" w:lineRule="exact"/>
        <w:rPr>
          <w:sz w:val="20"/>
          <w:szCs w:val="20"/>
          <w:color w:val="auto"/>
        </w:rPr>
      </w:pPr>
    </w:p>
    <w:p>
      <w:pPr>
        <w:ind w:left="540" w:hanging="424"/>
        <w:spacing w:after="0"/>
        <w:tabs>
          <w:tab w:leader="none" w:pos="540" w:val="left"/>
        </w:tabs>
        <w:numPr>
          <w:ilvl w:val="0"/>
          <w:numId w:val="1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121" w:lineRule="exact"/>
        <w:rPr>
          <w:sz w:val="20"/>
          <w:szCs w:val="20"/>
          <w:color w:val="auto"/>
        </w:rPr>
      </w:pPr>
    </w:p>
    <w:p>
      <w:pPr>
        <w:jc w:val="both"/>
        <w:ind w:left="120" w:right="320"/>
        <w:spacing w:after="0" w:line="266" w:lineRule="auto"/>
        <w:rPr>
          <w:sz w:val="20"/>
          <w:szCs w:val="20"/>
          <w:color w:val="auto"/>
        </w:rPr>
      </w:pPr>
      <w:r>
        <w:rPr>
          <w:rFonts w:ascii="Times New Roman" w:cs="Times New Roman" w:eastAsia="Times New Roman" w:hAnsi="Times New Roman"/>
          <w:sz w:val="18"/>
          <w:szCs w:val="18"/>
          <w:color w:val="auto"/>
        </w:rPr>
        <w:t>For the purpose of resources allocation and performance assessment, the chief operating decision maker (“CODM”) reviews the overall results and financial position of the Group as a whole. Accordingly, the Group has only one operating segment and no further discrete financial information nor analysis of this single segment is presented.</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Geographic information</w:t>
      </w:r>
    </w:p>
    <w:p>
      <w:pPr>
        <w:spacing w:after="0" w:line="119"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The Company is an investment holding company and the principal place of the Group’s business operation is in the PRC. For the purpose of segment information disclosures under IFRS 8, the Group regards the PRC as its place of domicile. No geographical information is presented as the Group’s revenue and non-current assets are predominately generated/located in the PRC.</w:t>
      </w:r>
    </w:p>
    <w:p>
      <w:pPr>
        <w:spacing w:after="0" w:line="320" w:lineRule="exact"/>
        <w:rPr>
          <w:sz w:val="20"/>
          <w:szCs w:val="20"/>
          <w:color w:val="auto"/>
        </w:rPr>
      </w:pPr>
    </w:p>
    <w:p>
      <w:pPr>
        <w:ind w:left="540" w:hanging="424"/>
        <w:spacing w:after="0"/>
        <w:tabs>
          <w:tab w:leader="none" w:pos="540" w:val="left"/>
        </w:tabs>
        <w:numPr>
          <w:ilvl w:val="0"/>
          <w:numId w:val="1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121" w:lineRule="exact"/>
        <w:rPr>
          <w:sz w:val="20"/>
          <w:szCs w:val="20"/>
          <w:color w:val="auto"/>
        </w:rPr>
      </w:pPr>
    </w:p>
    <w:p>
      <w:pPr>
        <w:jc w:val="both"/>
        <w:ind w:left="120" w:right="280"/>
        <w:spacing w:after="0" w:line="266" w:lineRule="auto"/>
        <w:rPr>
          <w:sz w:val="20"/>
          <w:szCs w:val="20"/>
          <w:color w:val="auto"/>
        </w:rPr>
      </w:pPr>
      <w:r>
        <w:rPr>
          <w:rFonts w:ascii="Times New Roman" w:cs="Times New Roman" w:eastAsia="Times New Roman" w:hAnsi="Times New Roman"/>
          <w:sz w:val="18"/>
          <w:szCs w:val="18"/>
          <w:color w:val="auto"/>
        </w:rPr>
        <w:t>The principal activities of the Group are (i) the sales of L4 autonomous driving vehicles, primarily including robobuses/robotaxis and related sensor suites, and (ii) the provision of L4 autonomous driving services, including the provision of L4 autonomous driving operational and technical support services.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100"/>
          </w:cols>
          <w:pgMar w:left="320" w:top="455" w:right="47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Disaggregation of revenue from contracts with customers by major products or service lines and timing of revenue recognition are as follows: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860" w:type="dxa"/>
            <w:vAlign w:val="bottom"/>
          </w:tcPr>
          <w:p>
            <w:pPr>
              <w:spacing w:after="0"/>
              <w:rPr>
                <w:sz w:val="15"/>
                <w:szCs w:val="15"/>
                <w:color w:val="auto"/>
              </w:rPr>
            </w:pPr>
          </w:p>
        </w:tc>
        <w:tc>
          <w:tcPr>
            <w:tcW w:w="2500" w:type="dxa"/>
            <w:vAlign w:val="bottom"/>
            <w:gridSpan w:val="5"/>
          </w:tcPr>
          <w:p>
            <w:pPr>
              <w:ind w:left="260"/>
              <w:spacing w:after="0"/>
              <w:rPr>
                <w:sz w:val="20"/>
                <w:szCs w:val="20"/>
                <w:color w:val="auto"/>
              </w:rPr>
            </w:pPr>
            <w:r>
              <w:rPr>
                <w:rFonts w:ascii="Times New Roman" w:cs="Times New Roman" w:eastAsia="Times New Roman" w:hAnsi="Times New Roman"/>
                <w:sz w:val="14"/>
                <w:szCs w:val="14"/>
                <w:i w:val="1"/>
                <w:iCs w:val="1"/>
                <w:color w:val="auto"/>
              </w:rPr>
              <w:t>For the year ended December 31,</w:t>
            </w:r>
          </w:p>
        </w:tc>
      </w:tr>
      <w:tr>
        <w:trPr>
          <w:trHeight w:val="119"/>
        </w:trPr>
        <w:tc>
          <w:tcPr>
            <w:tcW w:w="5860" w:type="dxa"/>
            <w:vAlign w:val="bottom"/>
          </w:tcPr>
          <w:p>
            <w:pPr>
              <w:spacing w:after="0"/>
              <w:rPr>
                <w:sz w:val="10"/>
                <w:szCs w:val="10"/>
                <w:color w:val="auto"/>
              </w:rPr>
            </w:pPr>
          </w:p>
        </w:tc>
        <w:tc>
          <w:tcPr>
            <w:tcW w:w="820" w:type="dxa"/>
            <w:vAlign w:val="bottom"/>
            <w:tcBorders>
              <w:top w:val="single" w:sz="8" w:color="auto"/>
            </w:tcBorders>
          </w:tcPr>
          <w:p>
            <w:pPr>
              <w:jc w:val="right"/>
              <w:ind w:right="177"/>
              <w:spacing w:after="0" w:line="119" w:lineRule="exact"/>
              <w:rPr>
                <w:sz w:val="20"/>
                <w:szCs w:val="20"/>
                <w:color w:val="auto"/>
              </w:rPr>
            </w:pPr>
            <w:r>
              <w:rPr>
                <w:rFonts w:ascii="Times New Roman" w:cs="Times New Roman" w:eastAsia="Times New Roman" w:hAnsi="Times New Roman"/>
                <w:sz w:val="13"/>
                <w:szCs w:val="13"/>
                <w:i w:val="1"/>
                <w:iCs w:val="1"/>
                <w:color w:val="auto"/>
              </w:rPr>
              <w:t>2020</w:t>
            </w:r>
          </w:p>
        </w:tc>
        <w:tc>
          <w:tcPr>
            <w:tcW w:w="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ind w:right="235"/>
              <w:spacing w:after="0" w:line="119" w:lineRule="exact"/>
              <w:rPr>
                <w:sz w:val="20"/>
                <w:szCs w:val="20"/>
                <w:color w:val="auto"/>
              </w:rPr>
            </w:pPr>
            <w:r>
              <w:rPr>
                <w:rFonts w:ascii="Times New Roman" w:cs="Times New Roman" w:eastAsia="Times New Roman" w:hAnsi="Times New Roman"/>
                <w:sz w:val="13"/>
                <w:szCs w:val="13"/>
                <w:i w:val="1"/>
                <w:iCs w:val="1"/>
                <w:color w:val="auto"/>
              </w:rPr>
              <w:t>2021</w:t>
            </w:r>
          </w:p>
        </w:tc>
        <w:tc>
          <w:tcPr>
            <w:tcW w:w="40" w:type="dxa"/>
            <w:vAlign w:val="bottom"/>
          </w:tcPr>
          <w:p>
            <w:pPr>
              <w:spacing w:after="0"/>
              <w:rPr>
                <w:sz w:val="10"/>
                <w:szCs w:val="10"/>
                <w:color w:val="auto"/>
              </w:rPr>
            </w:pPr>
          </w:p>
        </w:tc>
      </w:tr>
      <w:tr>
        <w:trPr>
          <w:trHeight w:val="171"/>
        </w:trPr>
        <w:tc>
          <w:tcPr>
            <w:tcW w:w="5860" w:type="dxa"/>
            <w:vAlign w:val="bottom"/>
          </w:tcPr>
          <w:p>
            <w:pPr>
              <w:spacing w:after="0"/>
              <w:rPr>
                <w:sz w:val="14"/>
                <w:szCs w:val="14"/>
                <w:color w:val="auto"/>
              </w:rPr>
            </w:pPr>
          </w:p>
        </w:tc>
        <w:tc>
          <w:tcPr>
            <w:tcW w:w="1520" w:type="dxa"/>
            <w:vAlign w:val="bottom"/>
            <w:gridSpan w:val="3"/>
          </w:tcPr>
          <w:p>
            <w:pPr>
              <w:jc w:val="center"/>
              <w:ind w:right="700"/>
              <w:spacing w:after="0"/>
              <w:rPr>
                <w:sz w:val="20"/>
                <w:szCs w:val="20"/>
                <w:color w:val="auto"/>
              </w:rPr>
            </w:pPr>
            <w:r>
              <w:rPr>
                <w:rFonts w:ascii="Times New Roman" w:cs="Times New Roman" w:eastAsia="Times New Roman" w:hAnsi="Times New Roman"/>
                <w:sz w:val="14"/>
                <w:szCs w:val="14"/>
                <w:color w:val="auto"/>
              </w:rPr>
              <w:t>RMB’000</w:t>
            </w:r>
          </w:p>
        </w:tc>
        <w:tc>
          <w:tcPr>
            <w:tcW w:w="9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RMB’000</w:t>
            </w: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Disaggregated by major products or service lines:</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Sales of L4 autonomous driving vehicles</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5,920</w:t>
            </w:r>
          </w:p>
        </w:tc>
        <w:tc>
          <w:tcPr>
            <w:tcW w:w="6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101,597</w:t>
            </w: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of L4 autonomous driving services</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12,270</w:t>
            </w:r>
          </w:p>
        </w:tc>
        <w:tc>
          <w:tcPr>
            <w:tcW w:w="6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36,575</w:t>
            </w:r>
          </w:p>
        </w:tc>
      </w:tr>
      <w:tr>
        <w:trPr>
          <w:trHeight w:val="223"/>
        </w:trPr>
        <w:tc>
          <w:tcPr>
            <w:tcW w:w="58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18,190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138,172</w:t>
            </w:r>
          </w:p>
        </w:tc>
        <w:tc>
          <w:tcPr>
            <w:tcW w:w="40" w:type="dxa"/>
            <w:vAlign w:val="bottom"/>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Point in time</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5,920</w:t>
            </w:r>
          </w:p>
        </w:tc>
        <w:tc>
          <w:tcPr>
            <w:tcW w:w="6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101,597</w:t>
            </w: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time</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12,270</w:t>
            </w:r>
          </w:p>
        </w:tc>
        <w:tc>
          <w:tcPr>
            <w:tcW w:w="6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36,575</w:t>
            </w:r>
          </w:p>
        </w:tc>
      </w:tr>
      <w:tr>
        <w:trPr>
          <w:trHeight w:val="223"/>
        </w:trPr>
        <w:tc>
          <w:tcPr>
            <w:tcW w:w="58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18,190</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138,172</w:t>
            </w:r>
          </w:p>
        </w:tc>
        <w:tc>
          <w:tcPr>
            <w:tcW w:w="40" w:type="dxa"/>
            <w:vAlign w:val="bottom"/>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The Group has applied the practical expedient of IFRS 15 and does not disclose information about remaining performance obligations that has an original expected duration of one year or less.</w:t>
      </w:r>
    </w:p>
    <w:p>
      <w:pPr>
        <w:spacing w:after="0" w:line="16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major customers which individually contributed more than 10% of total revenues of the Group for the years ended December 31, 2020 and 2021 are listed as below:</w:t>
      </w:r>
    </w:p>
    <w:p>
      <w:pPr>
        <w:spacing w:after="0" w:line="182"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4"/>
          <w:szCs w:val="14"/>
          <w:i w:val="1"/>
          <w:iCs w:val="1"/>
          <w:color w:val="auto"/>
        </w:rPr>
        <w:t>For the year ended December 31,</w:t>
      </w:r>
    </w:p>
    <w:p>
      <w:pPr>
        <w:spacing w:after="0" w:line="12" w:lineRule="exact"/>
        <w:rPr>
          <w:sz w:val="20"/>
          <w:szCs w:val="20"/>
          <w:color w:val="auto"/>
        </w:rPr>
      </w:pPr>
    </w:p>
    <w:tbl>
      <w:tblPr>
        <w:tblLayout w:type="fixed"/>
        <w:tblInd w:w="1440" w:type="dxa"/>
        <w:tblCellMar>
          <w:top w:w="0" w:type="dxa"/>
          <w:left w:w="0" w:type="dxa"/>
          <w:bottom w:w="0" w:type="dxa"/>
          <w:right w:w="0" w:type="dxa"/>
        </w:tblCellMar>
      </w:tblPr>
      <w:tr>
        <w:trPr>
          <w:trHeight w:val="142"/>
        </w:trPr>
        <w:tc>
          <w:tcPr>
            <w:tcW w:w="532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2020</w:t>
            </w:r>
          </w:p>
        </w:tc>
        <w:tc>
          <w:tcPr>
            <w:tcW w:w="11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i w:val="1"/>
                <w:iCs w:val="1"/>
                <w:color w:val="auto"/>
              </w:rPr>
              <w:t>2021</w:t>
            </w:r>
          </w:p>
        </w:tc>
        <w:tc>
          <w:tcPr>
            <w:tcW w:w="200" w:type="dxa"/>
            <w:vAlign w:val="bottom"/>
          </w:tcPr>
          <w:p>
            <w:pPr>
              <w:spacing w:after="0"/>
              <w:rPr>
                <w:sz w:val="12"/>
                <w:szCs w:val="12"/>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112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96"/>
              </w:rPr>
              <w:t>44%</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B</w:t>
            </w:r>
          </w:p>
        </w:tc>
        <w:tc>
          <w:tcPr>
            <w:tcW w:w="11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p>
        </w:tc>
        <w:tc>
          <w:tcPr>
            <w:tcW w:w="11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D</w:t>
            </w:r>
          </w:p>
        </w:tc>
        <w:tc>
          <w:tcPr>
            <w:tcW w:w="11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E</w:t>
            </w:r>
          </w:p>
        </w:tc>
        <w:tc>
          <w:tcPr>
            <w:tcW w:w="112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96"/>
              </w:rPr>
              <w:t>22%</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F</w:t>
            </w:r>
          </w:p>
        </w:tc>
        <w:tc>
          <w:tcPr>
            <w:tcW w:w="112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6"/>
              </w:rPr>
              <w:t>16%</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ind w:left="120" w:right="940" w:hanging="4"/>
        <w:spacing w:after="0" w:line="554" w:lineRule="auto"/>
        <w:tabs>
          <w:tab w:leader="none" w:pos="255" w:val="left"/>
        </w:tabs>
        <w:numPr>
          <w:ilvl w:val="0"/>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that the amount of aggregate revenue from such customer is individually less than 10% of the total revenue for respective year. As of December 31, 2020 and 2021, all of the contract liabilities of the Group are expected to be recognized as revenue within one year. The amount of RMB0.8 million included in contract liabilities as of December 31, 2020 was recognized as revenue in 2021 (2020: nil).</w:t>
      </w:r>
    </w:p>
    <w:p>
      <w:pPr>
        <w:spacing w:after="0" w:line="87"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6</w:t>
            </w:r>
          </w:p>
        </w:tc>
        <w:tc>
          <w:tcPr>
            <w:tcW w:w="45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Other net income</w:t>
            </w:r>
          </w:p>
        </w:tc>
        <w:tc>
          <w:tcPr>
            <w:tcW w:w="2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1"/>
        </w:trPr>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62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i w:val="1"/>
                <w:iCs w:val="1"/>
                <w:color w:val="auto"/>
              </w:rPr>
              <w:t>For the year ended December 31,</w:t>
            </w:r>
          </w:p>
        </w:tc>
      </w:tr>
      <w:tr>
        <w:trPr>
          <w:trHeight w:val="119"/>
        </w:trPr>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840" w:type="dxa"/>
            <w:vAlign w:val="bottom"/>
            <w:tcBorders>
              <w:top w:val="single" w:sz="8" w:color="auto"/>
            </w:tcBorders>
          </w:tcPr>
          <w:p>
            <w:pPr>
              <w:jc w:val="right"/>
              <w:ind w:right="205"/>
              <w:spacing w:after="0" w:line="119" w:lineRule="exact"/>
              <w:rPr>
                <w:sz w:val="20"/>
                <w:szCs w:val="20"/>
                <w:color w:val="auto"/>
              </w:rPr>
            </w:pPr>
            <w:r>
              <w:rPr>
                <w:rFonts w:ascii="Times New Roman" w:cs="Times New Roman" w:eastAsia="Times New Roman" w:hAnsi="Times New Roman"/>
                <w:sz w:val="13"/>
                <w:szCs w:val="13"/>
                <w:i w:val="1"/>
                <w:iCs w:val="1"/>
                <w:color w:val="auto"/>
              </w:rPr>
              <w:t>2020</w:t>
            </w:r>
          </w:p>
        </w:tc>
        <w:tc>
          <w:tcPr>
            <w:tcW w:w="8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195"/>
              <w:spacing w:after="0" w:line="119" w:lineRule="exact"/>
              <w:rPr>
                <w:sz w:val="20"/>
                <w:szCs w:val="20"/>
                <w:color w:val="auto"/>
              </w:rPr>
            </w:pPr>
            <w:r>
              <w:rPr>
                <w:rFonts w:ascii="Times New Roman" w:cs="Times New Roman" w:eastAsia="Times New Roman" w:hAnsi="Times New Roman"/>
                <w:sz w:val="13"/>
                <w:szCs w:val="13"/>
                <w:i w:val="1"/>
                <w:iCs w:val="1"/>
                <w:color w:val="auto"/>
              </w:rPr>
              <w:t>2021</w:t>
            </w:r>
          </w:p>
        </w:tc>
        <w:tc>
          <w:tcPr>
            <w:tcW w:w="100" w:type="dxa"/>
            <w:vAlign w:val="bottom"/>
          </w:tcPr>
          <w:p>
            <w:pPr>
              <w:spacing w:after="0"/>
              <w:rPr>
                <w:sz w:val="10"/>
                <w:szCs w:val="10"/>
                <w:color w:val="auto"/>
              </w:rPr>
            </w:pPr>
          </w:p>
        </w:tc>
      </w:tr>
      <w:tr>
        <w:trPr>
          <w:trHeight w:val="171"/>
        </w:trPr>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80" w:type="dxa"/>
            <w:vAlign w:val="bottom"/>
            <w:gridSpan w:val="2"/>
          </w:tcPr>
          <w:p>
            <w:pPr>
              <w:jc w:val="center"/>
              <w:ind w:right="820"/>
              <w:spacing w:after="0"/>
              <w:rPr>
                <w:sz w:val="20"/>
                <w:szCs w:val="20"/>
                <w:color w:val="auto"/>
              </w:rPr>
            </w:pPr>
            <w:r>
              <w:rPr>
                <w:rFonts w:ascii="Times New Roman" w:cs="Times New Roman" w:eastAsia="Times New Roman" w:hAnsi="Times New Roman"/>
                <w:sz w:val="14"/>
                <w:szCs w:val="14"/>
                <w:color w:val="auto"/>
              </w:rPr>
              <w:t>RMB’000</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RMB’000</w:t>
            </w: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grants</w:t>
            </w:r>
          </w:p>
        </w:tc>
        <w:tc>
          <w:tcPr>
            <w:tcW w:w="3920" w:type="dxa"/>
            <w:vAlign w:val="bottom"/>
            <w:gridSpan w:val="3"/>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4,417</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14,483</w:t>
            </w: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Net foreign exchange gain/(loss)</w:t>
            </w:r>
          </w:p>
        </w:tc>
        <w:tc>
          <w:tcPr>
            <w:tcW w:w="3920" w:type="dxa"/>
            <w:vAlign w:val="bottom"/>
            <w:gridSpan w:val="3"/>
          </w:tcPr>
          <w:p>
            <w:pPr>
              <w:jc w:val="right"/>
              <w:ind w:right="840"/>
              <w:spacing w:after="0"/>
              <w:rPr>
                <w:sz w:val="20"/>
                <w:szCs w:val="20"/>
                <w:color w:val="auto"/>
              </w:rPr>
            </w:pPr>
            <w:r>
              <w:rPr>
                <w:rFonts w:ascii="Times New Roman" w:cs="Times New Roman" w:eastAsia="Times New Roman" w:hAnsi="Times New Roman"/>
                <w:sz w:val="18"/>
                <w:szCs w:val="18"/>
                <w:color w:val="auto"/>
              </w:rPr>
              <w:t>10,753</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(5,073)</w:t>
            </w: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920" w:type="dxa"/>
            <w:vAlign w:val="bottom"/>
            <w:gridSpan w:val="3"/>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1,292</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29,770</w:t>
            </w: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Net loss on disposal of non-current assets</w:t>
            </w:r>
          </w:p>
        </w:tc>
        <w:tc>
          <w:tcPr>
            <w:tcW w:w="392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color w:val="auto"/>
              </w:rPr>
              <w:t>(3,245)</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(3,972)</w:t>
            </w: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3920" w:type="dxa"/>
            <w:vAlign w:val="bottom"/>
            <w:gridSpan w:val="3"/>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905</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w:t>
            </w:r>
          </w:p>
        </w:tc>
      </w:tr>
      <w:tr>
        <w:trPr>
          <w:trHeight w:val="223"/>
        </w:trPr>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14,122</w:t>
            </w:r>
          </w:p>
        </w:tc>
        <w:tc>
          <w:tcPr>
            <w:tcW w:w="8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35,472</w:t>
            </w:r>
          </w:p>
        </w:tc>
        <w:tc>
          <w:tcPr>
            <w:tcW w:w="100" w:type="dxa"/>
            <w:vAlign w:val="bottom"/>
          </w:tcPr>
          <w:p>
            <w:pPr>
              <w:spacing w:after="0"/>
              <w:rPr>
                <w:sz w:val="19"/>
                <w:szCs w:val="19"/>
                <w:color w:val="auto"/>
              </w:rPr>
            </w:pPr>
          </w:p>
        </w:tc>
      </w:tr>
      <w:tr>
        <w:trPr>
          <w:trHeight w:val="20"/>
        </w:trPr>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920" w:type="dxa"/>
            <w:vAlign w:val="bottom"/>
            <w:gridSpan w:val="3"/>
          </w:tcPr>
          <w:p>
            <w:pPr>
              <w:jc w:val="right"/>
              <w:ind w:right="3060"/>
              <w:spacing w:after="0"/>
              <w:rPr>
                <w:sz w:val="20"/>
                <w:szCs w:val="20"/>
                <w:color w:val="auto"/>
              </w:rPr>
            </w:pPr>
            <w:r>
              <w:rPr>
                <w:rFonts w:ascii="Times New Roman" w:cs="Times New Roman" w:eastAsia="Times New Roman" w:hAnsi="Times New Roman"/>
                <w:sz w:val="18"/>
                <w:szCs w:val="18"/>
                <w:color w:val="auto"/>
              </w:rPr>
              <w:t>F-33</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00"/>
          </w:cols>
          <w:pgMar w:left="320" w:top="455" w:right="47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7</w:t>
            </w:r>
          </w:p>
        </w:tc>
        <w:tc>
          <w:tcPr>
            <w:tcW w:w="69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Expenses by nature</w:t>
            </w:r>
          </w:p>
        </w:tc>
        <w:tc>
          <w:tcPr>
            <w:tcW w:w="8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2440" w:type="dxa"/>
            <w:vAlign w:val="bottom"/>
            <w:gridSpan w:val="4"/>
          </w:tcPr>
          <w:p>
            <w:pPr>
              <w:ind w:left="220"/>
              <w:spacing w:after="0"/>
              <w:rPr>
                <w:sz w:val="20"/>
                <w:szCs w:val="20"/>
                <w:color w:val="auto"/>
              </w:rPr>
            </w:pPr>
            <w:r>
              <w:rPr>
                <w:rFonts w:ascii="Times New Roman" w:cs="Times New Roman" w:eastAsia="Times New Roman" w:hAnsi="Times New Roman"/>
                <w:sz w:val="14"/>
                <w:szCs w:val="14"/>
                <w:i w:val="1"/>
                <w:iCs w:val="1"/>
                <w:color w:val="auto"/>
              </w:rPr>
              <w:t>For the year ended December 31,</w:t>
            </w:r>
          </w:p>
        </w:tc>
        <w:tc>
          <w:tcPr>
            <w:tcW w:w="0" w:type="dxa"/>
            <w:vAlign w:val="bottom"/>
          </w:tcPr>
          <w:p>
            <w:pPr>
              <w:spacing w:after="0"/>
              <w:rPr>
                <w:sz w:val="1"/>
                <w:szCs w:val="1"/>
                <w:color w:val="auto"/>
              </w:rPr>
            </w:pPr>
          </w:p>
        </w:tc>
      </w:tr>
      <w:tr>
        <w:trPr>
          <w:trHeight w:val="119"/>
        </w:trPr>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920" w:type="dxa"/>
            <w:vAlign w:val="bottom"/>
          </w:tcPr>
          <w:p>
            <w:pPr>
              <w:spacing w:after="0"/>
              <w:rPr>
                <w:sz w:val="10"/>
                <w:szCs w:val="10"/>
                <w:color w:val="auto"/>
              </w:rPr>
            </w:pPr>
          </w:p>
        </w:tc>
        <w:tc>
          <w:tcPr>
            <w:tcW w:w="86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i w:val="1"/>
                <w:iCs w:val="1"/>
                <w:color w:val="auto"/>
              </w:rPr>
              <w:t>2020</w:t>
            </w:r>
          </w:p>
        </w:tc>
        <w:tc>
          <w:tcPr>
            <w:tcW w:w="6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i w:val="1"/>
                <w:iCs w:val="1"/>
                <w:color w:val="auto"/>
              </w:rPr>
              <w:t>2021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50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color w:val="auto"/>
              </w:rPr>
              <w:t>RMB’000</w:t>
            </w: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RMB’000</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employee benefits (Note (i))</w:t>
            </w:r>
          </w:p>
        </w:tc>
        <w:tc>
          <w:tcPr>
            <w:tcW w:w="15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352,832</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369,663</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Cost of inventories (Note 16(b))</w:t>
            </w:r>
          </w:p>
        </w:tc>
        <w:tc>
          <w:tcPr>
            <w:tcW w:w="15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2,621</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77,383</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(Note (ii))</w:t>
            </w:r>
          </w:p>
        </w:tc>
        <w:tc>
          <w:tcPr>
            <w:tcW w:w="15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58,348</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65,823</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 fee</w:t>
            </w:r>
          </w:p>
        </w:tc>
        <w:tc>
          <w:tcPr>
            <w:tcW w:w="15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36,162</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52,107</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Utilities and property management fee</w:t>
            </w:r>
          </w:p>
        </w:tc>
        <w:tc>
          <w:tcPr>
            <w:tcW w:w="15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17,667</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27,920</w:t>
            </w: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15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28,599</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56,138</w:t>
            </w: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Total cost of revenue, research and development expenses, administrative</w:t>
            </w:r>
          </w:p>
        </w:tc>
        <w:tc>
          <w:tcPr>
            <w:tcW w:w="860" w:type="dxa"/>
            <w:vAlign w:val="bottom"/>
            <w:tcBorders>
              <w:top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expenses and selling expenses</w:t>
            </w:r>
          </w:p>
        </w:tc>
        <w:tc>
          <w:tcPr>
            <w:tcW w:w="15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496,229</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649,034</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Notes:</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92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 Payroll and employee benefits:</w:t>
            </w: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Salaries, allowances, bonus and benefits in kind</w:t>
            </w:r>
          </w:p>
        </w:tc>
        <w:tc>
          <w:tcPr>
            <w:tcW w:w="15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218,135</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298,801</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Contributions to defined contribution retirement plan</w:t>
            </w:r>
          </w:p>
        </w:tc>
        <w:tc>
          <w:tcPr>
            <w:tcW w:w="15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4,754</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14,903</w:t>
            </w: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92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Share-based compensation expenses</w:t>
            </w:r>
          </w:p>
        </w:tc>
        <w:tc>
          <w:tcPr>
            <w:tcW w:w="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9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(Note 28)</w:t>
            </w:r>
          </w:p>
        </w:tc>
        <w:tc>
          <w:tcPr>
            <w:tcW w:w="15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129,943</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55,959</w:t>
            </w: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9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352,832</w:t>
            </w:r>
          </w:p>
        </w:tc>
        <w:tc>
          <w:tcPr>
            <w:tcW w:w="64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369,663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(ii) Depreciation and amortization:</w:t>
            </w: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 (Note 11)</w:t>
            </w:r>
          </w:p>
        </w:tc>
        <w:tc>
          <w:tcPr>
            <w:tcW w:w="15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39,246</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41,331</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Right-of-use assets (Note 12)</w:t>
            </w:r>
          </w:p>
        </w:tc>
        <w:tc>
          <w:tcPr>
            <w:tcW w:w="15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18,923</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22,375</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assets (Note 13)</w:t>
            </w:r>
          </w:p>
        </w:tc>
        <w:tc>
          <w:tcPr>
            <w:tcW w:w="15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179</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2,117</w:t>
            </w: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9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58,348</w:t>
            </w:r>
          </w:p>
        </w:tc>
        <w:tc>
          <w:tcPr>
            <w:tcW w:w="64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65,823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8</w:t>
            </w:r>
          </w:p>
        </w:tc>
        <w:tc>
          <w:tcPr>
            <w:tcW w:w="68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Other finance costs</w:t>
            </w: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91"/>
        </w:trPr>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2620" w:type="dxa"/>
            <w:vAlign w:val="bottom"/>
            <w:gridSpan w:val="4"/>
          </w:tcPr>
          <w:p>
            <w:pPr>
              <w:ind w:left="320"/>
              <w:spacing w:after="0"/>
              <w:rPr>
                <w:sz w:val="20"/>
                <w:szCs w:val="20"/>
                <w:color w:val="auto"/>
              </w:rPr>
            </w:pPr>
            <w:r>
              <w:rPr>
                <w:rFonts w:ascii="Times New Roman" w:cs="Times New Roman" w:eastAsia="Times New Roman" w:hAnsi="Times New Roman"/>
                <w:sz w:val="14"/>
                <w:szCs w:val="14"/>
                <w:i w:val="1"/>
                <w:iCs w:val="1"/>
                <w:color w:val="auto"/>
              </w:rPr>
              <w:t>For the year ended December 31,</w:t>
            </w:r>
          </w:p>
        </w:tc>
      </w:tr>
      <w:tr>
        <w:trPr>
          <w:trHeight w:val="119"/>
        </w:trPr>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740" w:type="dxa"/>
            <w:vAlign w:val="bottom"/>
          </w:tcPr>
          <w:p>
            <w:pPr>
              <w:spacing w:after="0"/>
              <w:rPr>
                <w:sz w:val="10"/>
                <w:szCs w:val="10"/>
                <w:color w:val="auto"/>
              </w:rPr>
            </w:pPr>
          </w:p>
        </w:tc>
        <w:tc>
          <w:tcPr>
            <w:tcW w:w="86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i w:val="1"/>
                <w:iCs w:val="1"/>
                <w:color w:val="auto"/>
              </w:rPr>
              <w:t>2020</w:t>
            </w:r>
          </w:p>
        </w:tc>
        <w:tc>
          <w:tcPr>
            <w:tcW w:w="8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i w:val="1"/>
                <w:iCs w:val="1"/>
                <w:color w:val="auto"/>
              </w:rPr>
              <w:t>2021</w:t>
            </w:r>
          </w:p>
        </w:tc>
        <w:tc>
          <w:tcPr>
            <w:tcW w:w="40" w:type="dxa"/>
            <w:vAlign w:val="bottom"/>
          </w:tcPr>
          <w:p>
            <w:pPr>
              <w:spacing w:after="0"/>
              <w:rPr>
                <w:sz w:val="10"/>
                <w:szCs w:val="10"/>
                <w:color w:val="auto"/>
              </w:rPr>
            </w:pPr>
          </w:p>
        </w:tc>
      </w:tr>
      <w:tr>
        <w:trPr>
          <w:trHeight w:val="171"/>
        </w:trPr>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680" w:type="dxa"/>
            <w:vAlign w:val="bottom"/>
            <w:gridSpan w:val="2"/>
          </w:tcPr>
          <w:p>
            <w:pPr>
              <w:jc w:val="center"/>
              <w:ind w:right="820"/>
              <w:spacing w:after="0"/>
              <w:rPr>
                <w:sz w:val="20"/>
                <w:szCs w:val="20"/>
                <w:color w:val="auto"/>
              </w:rPr>
            </w:pPr>
            <w:r>
              <w:rPr>
                <w:rFonts w:ascii="Times New Roman" w:cs="Times New Roman" w:eastAsia="Times New Roman" w:hAnsi="Times New Roman"/>
                <w:sz w:val="14"/>
                <w:szCs w:val="14"/>
                <w:color w:val="auto"/>
              </w:rPr>
              <w:t>RMB’000</w:t>
            </w: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RMB’000</w:t>
            </w: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loans and borrowings (Note 19(c))</w:t>
            </w:r>
          </w:p>
        </w:tc>
        <w:tc>
          <w:tcPr>
            <w:tcW w:w="168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3,017</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2,422</w:t>
            </w: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Interest on lease liabilities (Note 19(c))</w:t>
            </w:r>
          </w:p>
        </w:tc>
        <w:tc>
          <w:tcPr>
            <w:tcW w:w="168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3,202</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3,147</w:t>
            </w: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the carrying amount of put option liabilities (Note 19(c))</w:t>
            </w:r>
          </w:p>
        </w:tc>
        <w:tc>
          <w:tcPr>
            <w:tcW w:w="168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1,045</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1,348</w:t>
            </w:r>
          </w:p>
        </w:tc>
      </w:tr>
      <w:tr>
        <w:trPr>
          <w:trHeight w:val="223"/>
        </w:trPr>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7,264</w:t>
            </w:r>
          </w:p>
        </w:tc>
        <w:tc>
          <w:tcPr>
            <w:tcW w:w="8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6,917</w:t>
            </w:r>
          </w:p>
        </w:tc>
        <w:tc>
          <w:tcPr>
            <w:tcW w:w="40" w:type="dxa"/>
            <w:vAlign w:val="bottom"/>
          </w:tcPr>
          <w:p>
            <w:pPr>
              <w:spacing w:after="0"/>
              <w:rPr>
                <w:sz w:val="19"/>
                <w:szCs w:val="19"/>
                <w:color w:val="auto"/>
              </w:rPr>
            </w:pPr>
          </w:p>
        </w:tc>
      </w:tr>
      <w:tr>
        <w:trPr>
          <w:trHeight w:val="20"/>
        </w:trPr>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56" w:lineRule="exact"/>
        <w:rPr>
          <w:sz w:val="20"/>
          <w:szCs w:val="20"/>
          <w:color w:val="auto"/>
        </w:rPr>
      </w:pPr>
    </w:p>
    <w:p>
      <w:pPr>
        <w:ind w:left="540" w:hanging="424"/>
        <w:spacing w:after="0"/>
        <w:tabs>
          <w:tab w:leader="none" w:pos="540" w:val="left"/>
        </w:tabs>
        <w:numPr>
          <w:ilvl w:val="0"/>
          <w:numId w:val="1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w:t>
      </w:r>
    </w:p>
    <w:p>
      <w:pPr>
        <w:spacing w:after="0" w:line="131" w:lineRule="exact"/>
        <w:rPr>
          <w:sz w:val="20"/>
          <w:szCs w:val="20"/>
          <w:color w:val="auto"/>
        </w:rPr>
      </w:pPr>
    </w:p>
    <w:p>
      <w:pPr>
        <w:ind w:left="540" w:hanging="424"/>
        <w:spacing w:after="0"/>
        <w:tabs>
          <w:tab w:leader="none" w:pos="540" w:val="left"/>
        </w:tabs>
        <w:numPr>
          <w:ilvl w:val="0"/>
          <w:numId w:val="18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Taxation in the consolidated statements of profit or loss represents:</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Group had no current income tax expense for the years ended December 31, 2020 and 2021, as the entities in the Group had no taxable income in the respective years.</w:t>
      </w:r>
    </w:p>
    <w:p>
      <w:pPr>
        <w:spacing w:after="0" w:line="9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0920"/>
          </w:cols>
          <w:pgMar w:left="320" w:top="455" w:right="65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Reconciliation between tax expense and accounting loss at applicable tax rates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840" w:type="dxa"/>
            <w:vAlign w:val="bottom"/>
          </w:tcPr>
          <w:p>
            <w:pPr>
              <w:spacing w:after="0"/>
              <w:rPr>
                <w:sz w:val="15"/>
                <w:szCs w:val="15"/>
                <w:color w:val="auto"/>
              </w:rPr>
            </w:pPr>
          </w:p>
        </w:tc>
        <w:tc>
          <w:tcPr>
            <w:tcW w:w="252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i w:val="1"/>
                <w:iCs w:val="1"/>
                <w:color w:val="auto"/>
              </w:rPr>
              <w:t>For the year ended December 31,</w:t>
            </w:r>
          </w:p>
        </w:tc>
        <w:tc>
          <w:tcPr>
            <w:tcW w:w="0" w:type="dxa"/>
            <w:vAlign w:val="bottom"/>
          </w:tcPr>
          <w:p>
            <w:pPr>
              <w:spacing w:after="0"/>
              <w:rPr>
                <w:sz w:val="1"/>
                <w:szCs w:val="1"/>
                <w:color w:val="auto"/>
              </w:rPr>
            </w:pPr>
          </w:p>
        </w:tc>
      </w:tr>
      <w:tr>
        <w:trPr>
          <w:trHeight w:val="119"/>
        </w:trPr>
        <w:tc>
          <w:tcPr>
            <w:tcW w:w="5840" w:type="dxa"/>
            <w:vAlign w:val="bottom"/>
          </w:tcPr>
          <w:p>
            <w:pPr>
              <w:spacing w:after="0"/>
              <w:rPr>
                <w:sz w:val="10"/>
                <w:szCs w:val="10"/>
                <w:color w:val="auto"/>
              </w:rPr>
            </w:pPr>
          </w:p>
        </w:tc>
        <w:tc>
          <w:tcPr>
            <w:tcW w:w="780" w:type="dxa"/>
            <w:vAlign w:val="bottom"/>
            <w:tcBorders>
              <w:top w:val="single" w:sz="8" w:color="auto"/>
            </w:tcBorders>
          </w:tcPr>
          <w:p>
            <w:pPr>
              <w:jc w:val="right"/>
              <w:ind w:right="157"/>
              <w:spacing w:after="0" w:line="119" w:lineRule="exact"/>
              <w:rPr>
                <w:sz w:val="20"/>
                <w:szCs w:val="20"/>
                <w:color w:val="auto"/>
              </w:rPr>
            </w:pPr>
            <w:r>
              <w:rPr>
                <w:rFonts w:ascii="Times New Roman" w:cs="Times New Roman" w:eastAsia="Times New Roman" w:hAnsi="Times New Roman"/>
                <w:sz w:val="13"/>
                <w:szCs w:val="13"/>
                <w:i w:val="1"/>
                <w:iCs w:val="1"/>
                <w:color w:val="auto"/>
              </w:rPr>
              <w:t>2020</w:t>
            </w:r>
          </w:p>
        </w:tc>
        <w:tc>
          <w:tcPr>
            <w:tcW w:w="6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255"/>
              <w:spacing w:after="0" w:line="119" w:lineRule="exact"/>
              <w:rPr>
                <w:sz w:val="20"/>
                <w:szCs w:val="20"/>
                <w:color w:val="auto"/>
              </w:rPr>
            </w:pPr>
            <w:r>
              <w:rPr>
                <w:rFonts w:ascii="Times New Roman" w:cs="Times New Roman" w:eastAsia="Times New Roman" w:hAnsi="Times New Roman"/>
                <w:sz w:val="13"/>
                <w:szCs w:val="13"/>
                <w:i w:val="1"/>
                <w:iCs w:val="1"/>
                <w:color w:val="auto"/>
              </w:rPr>
              <w:t>2021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40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color w:val="auto"/>
              </w:rPr>
              <w:t>RMB’000</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RMB’000</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taxation</w:t>
            </w:r>
          </w:p>
        </w:tc>
        <w:tc>
          <w:tcPr>
            <w:tcW w:w="14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(694,888)</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(1,007,251)</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Notional tax benefit on loss before taxation, calculated at the rates</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840" w:type="dxa"/>
            <w:vAlign w:val="bottom"/>
            <w:vMerge w:val="continue"/>
          </w:tcPr>
          <w:p>
            <w:pPr>
              <w:spacing w:after="0"/>
              <w:rPr>
                <w:sz w:val="16"/>
                <w:szCs w:val="16"/>
                <w:color w:val="auto"/>
              </w:rPr>
            </w:pPr>
          </w:p>
        </w:tc>
        <w:tc>
          <w:tcPr>
            <w:tcW w:w="7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applicable to losses in the jurisdictions concerned</w:t>
            </w:r>
          </w:p>
        </w:tc>
        <w:tc>
          <w:tcPr>
            <w:tcW w:w="14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(68,813)</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(85,813)</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of share-based compensation expenses</w:t>
            </w:r>
          </w:p>
        </w:tc>
        <w:tc>
          <w:tcPr>
            <w:tcW w:w="14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13,589</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10,276</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Tax effect of additional deduction on research and development expenses</w:t>
            </w:r>
          </w:p>
        </w:tc>
        <w:tc>
          <w:tcPr>
            <w:tcW w:w="14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(23,774)</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(43,056)</w:t>
            </w:r>
          </w:p>
        </w:tc>
        <w:tc>
          <w:tcPr>
            <w:tcW w:w="0" w:type="dxa"/>
            <w:vAlign w:val="bottom"/>
          </w:tcPr>
          <w:p>
            <w:pPr>
              <w:spacing w:after="0"/>
              <w:rPr>
                <w:sz w:val="1"/>
                <w:szCs w:val="1"/>
                <w:color w:val="auto"/>
              </w:rPr>
            </w:pPr>
          </w:p>
        </w:tc>
      </w:tr>
      <w:tr>
        <w:trPr>
          <w:trHeight w:val="198"/>
        </w:trPr>
        <w:tc>
          <w:tcPr>
            <w:tcW w:w="5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Tax effect of unused tax losses and deductible temporary differences not</w:t>
            </w:r>
          </w:p>
        </w:tc>
        <w:tc>
          <w:tcPr>
            <w:tcW w:w="7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recognized</w:t>
            </w:r>
          </w:p>
        </w:tc>
        <w:tc>
          <w:tcPr>
            <w:tcW w:w="14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78,998</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118,593</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Income tax</w:t>
            </w:r>
          </w:p>
        </w:tc>
        <w:tc>
          <w:tcPr>
            <w:tcW w:w="78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w:t>
      </w:r>
    </w:p>
    <w:p>
      <w:pPr>
        <w:spacing w:after="0" w:line="131" w:lineRule="exact"/>
        <w:rPr>
          <w:sz w:val="20"/>
          <w:szCs w:val="20"/>
          <w:color w:val="auto"/>
        </w:rPr>
      </w:pPr>
    </w:p>
    <w:p>
      <w:pPr>
        <w:ind w:left="540" w:hanging="424"/>
        <w:spacing w:after="0"/>
        <w:tabs>
          <w:tab w:leader="none" w:pos="54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Under the current laws of the Cayman Islands, the Company is not subject to tax on income or capital gain.</w:t>
      </w:r>
    </w:p>
    <w:p>
      <w:pPr>
        <w:spacing w:after="0" w:line="374" w:lineRule="exact"/>
        <w:rPr>
          <w:sz w:val="20"/>
          <w:szCs w:val="20"/>
          <w:color w:val="auto"/>
        </w:rPr>
      </w:pPr>
    </w:p>
    <w:p>
      <w:pPr>
        <w:ind w:left="540" w:hanging="424"/>
        <w:spacing w:after="0"/>
        <w:tabs>
          <w:tab w:leader="none" w:pos="54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w:t>
      </w:r>
    </w:p>
    <w:p>
      <w:pPr>
        <w:spacing w:after="0" w:line="117"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Under the current Hong Kong Inland Revenue Ordinance, the Group’s subsidiary in Hong Kong is subject to Hong Kong Profits Tax at the rate of 16.5% of the estimated assessable profit generated from the operations in Hong Kong. A two-tiered profits tax rates regime was introduced in 2018 where the first HKD2.0 million of assessable profits earned by a company will be taxed at half of the current tax rate (8.25%) whilst the remaining profits will continue to be taxed at 16.5%. No provision for Hong Kong Profits Tax has been made, as the subsidiary of the Group incorporated in Hong Kong did not have assessable profits which are subject to Hong Kong Profits Tax during the years ended December 31, 2020 and 2021.</w:t>
      </w:r>
    </w:p>
    <w:p>
      <w:pPr>
        <w:spacing w:after="0" w:line="332"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color w:val="auto"/>
        </w:rPr>
        <w:t>(iii)</w:t>
        <w:tab/>
        <w:t>the U.S.</w:t>
      </w:r>
    </w:p>
    <w:p>
      <w:pPr>
        <w:spacing w:after="0" w:line="117"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Under the United States Internal Revenue Code, the subsidiary of the Group established in the U.S. is subject to a unified Federal CIT rate of 21% and state income and franchise tax of 8.84%,</w:t>
      </w:r>
    </w:p>
    <w:p>
      <w:pPr>
        <w:spacing w:after="0" w:line="310"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color w:val="auto"/>
        </w:rPr>
        <w:t>(iv)</w:t>
        <w:tab/>
        <w:t>the PRC</w:t>
      </w:r>
    </w:p>
    <w:p>
      <w:pPr>
        <w:spacing w:after="0" w:line="117"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Under the PRC Corporate Income Tax (“CIT”) Law, the subsidiaries of the Group established in the PRC and the VIE are subject to a unified statutory CIT rate of 25%.</w:t>
      </w:r>
    </w:p>
    <w:p>
      <w:pPr>
        <w:spacing w:after="0" w:line="162"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No provision for tax has been made for the years ended December 31, 2020 and 2021 as the Company and its subsidiaries and VIE have either sustained losses for tax purpose or their unused tax losses were sufficient to cover their estimated assessable profits for the year.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140"/>
          </w:cols>
          <w:pgMar w:left="320" w:top="455" w:right="439"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18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Deferred tax assets and liabilities recognized</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Movements of each component of deferred tax assets and liabilities: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i w:val="1"/>
                <w:iCs w:val="1"/>
                <w:color w:val="auto"/>
              </w:rPr>
              <w:t>Assets</w:t>
            </w:r>
          </w:p>
        </w:tc>
        <w:tc>
          <w:tcPr>
            <w:tcW w:w="300" w:type="dxa"/>
            <w:vAlign w:val="bottom"/>
          </w:tcPr>
          <w:p>
            <w:pPr>
              <w:spacing w:after="0"/>
              <w:rPr>
                <w:sz w:val="15"/>
                <w:szCs w:val="15"/>
                <w:color w:val="auto"/>
              </w:rPr>
            </w:pP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i w:val="1"/>
                <w:iCs w:val="1"/>
                <w:color w:val="auto"/>
              </w:rPr>
              <w:t>Liabilities</w:t>
            </w: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i w:val="1"/>
                <w:iCs w:val="1"/>
                <w:color w:val="auto"/>
              </w:rPr>
              <w:t>Fair value</w:t>
            </w: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i w:val="1"/>
                <w:iCs w:val="1"/>
                <w:color w:val="auto"/>
              </w:rPr>
              <w:t>adjustments in</w:t>
            </w: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i w:val="1"/>
                <w:iCs w:val="1"/>
                <w:color w:val="auto"/>
              </w:rPr>
              <w:t>connection with the</w:t>
            </w: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320" w:type="dxa"/>
            <w:vAlign w:val="bottom"/>
            <w:gridSpan w:val="3"/>
            <w:vMerge w:val="restart"/>
          </w:tcPr>
          <w:p>
            <w:pPr>
              <w:jc w:val="right"/>
              <w:ind w:right="380"/>
              <w:spacing w:after="0"/>
              <w:rPr>
                <w:sz w:val="20"/>
                <w:szCs w:val="20"/>
                <w:color w:val="auto"/>
              </w:rPr>
            </w:pPr>
            <w:r>
              <w:rPr>
                <w:rFonts w:ascii="Times New Roman" w:cs="Times New Roman" w:eastAsia="Times New Roman" w:hAnsi="Times New Roman"/>
                <w:sz w:val="14"/>
                <w:szCs w:val="14"/>
                <w:i w:val="1"/>
                <w:iCs w:val="1"/>
                <w:color w:val="auto"/>
              </w:rPr>
              <w:t>Tax losses</w:t>
            </w:r>
          </w:p>
        </w:tc>
        <w:tc>
          <w:tcPr>
            <w:tcW w:w="300" w:type="dxa"/>
            <w:vAlign w:val="bottom"/>
          </w:tcPr>
          <w:p>
            <w:pPr>
              <w:spacing w:after="0"/>
              <w:rPr>
                <w:sz w:val="12"/>
                <w:szCs w:val="12"/>
                <w:color w:val="auto"/>
              </w:rPr>
            </w:pPr>
          </w:p>
        </w:tc>
        <w:tc>
          <w:tcPr>
            <w:tcW w:w="15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i w:val="1"/>
                <w:iCs w:val="1"/>
                <w:color w:val="auto"/>
              </w:rPr>
              <w:t>acquisition of</w:t>
            </w:r>
          </w:p>
        </w:tc>
        <w:tc>
          <w:tcPr>
            <w:tcW w:w="320" w:type="dxa"/>
            <w:vAlign w:val="bottom"/>
          </w:tcPr>
          <w:p>
            <w:pPr>
              <w:spacing w:after="0"/>
              <w:rPr>
                <w:sz w:val="12"/>
                <w:szCs w:val="12"/>
                <w:color w:val="auto"/>
              </w:rPr>
            </w:pPr>
          </w:p>
        </w:tc>
        <w:tc>
          <w:tcPr>
            <w:tcW w:w="7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i w:val="1"/>
                <w:iCs w:val="1"/>
                <w:color w:val="auto"/>
              </w:rPr>
              <w:t>Total</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132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1500" w:type="dxa"/>
            <w:vAlign w:val="bottom"/>
            <w:gridSpan w:val="2"/>
          </w:tcPr>
          <w:p>
            <w:pPr>
              <w:jc w:val="center"/>
              <w:ind w:right="360"/>
              <w:spacing w:after="0" w:line="151" w:lineRule="exact"/>
              <w:rPr>
                <w:sz w:val="20"/>
                <w:szCs w:val="20"/>
                <w:color w:val="auto"/>
              </w:rPr>
            </w:pPr>
            <w:r>
              <w:rPr>
                <w:rFonts w:ascii="Times New Roman" w:cs="Times New Roman" w:eastAsia="Times New Roman" w:hAnsi="Times New Roman"/>
                <w:sz w:val="14"/>
                <w:szCs w:val="14"/>
                <w:i w:val="1"/>
                <w:iCs w:val="1"/>
                <w:color w:val="auto"/>
              </w:rPr>
              <w:t>subsidiaries</w:t>
            </w:r>
          </w:p>
        </w:tc>
        <w:tc>
          <w:tcPr>
            <w:tcW w:w="32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32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color w:val="auto"/>
              </w:rPr>
              <w:t>RMB’000</w:t>
            </w:r>
          </w:p>
        </w:tc>
        <w:tc>
          <w:tcPr>
            <w:tcW w:w="300" w:type="dxa"/>
            <w:vAlign w:val="bottom"/>
          </w:tcPr>
          <w:p>
            <w:pPr>
              <w:spacing w:after="0"/>
              <w:rPr>
                <w:sz w:val="14"/>
                <w:szCs w:val="14"/>
                <w:color w:val="auto"/>
              </w:rPr>
            </w:pPr>
          </w:p>
        </w:tc>
        <w:tc>
          <w:tcPr>
            <w:tcW w:w="15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RMB’000</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RMB’000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arising from:</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As of January 1 and December 31, 2020</w:t>
            </w:r>
          </w:p>
        </w:tc>
        <w:tc>
          <w:tcPr>
            <w:tcW w:w="36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5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acquisition (Note 29)</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w:t>
            </w:r>
          </w:p>
        </w:tc>
        <w:tc>
          <w:tcPr>
            <w:tcW w:w="38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(7,978)</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(Charged) /credited to the consolidated statements of profit or loss</w:t>
            </w:r>
          </w:p>
        </w:tc>
        <w:tc>
          <w:tcPr>
            <w:tcW w:w="36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(499)</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December 31, 2021</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(7,479)</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ind w:left="540" w:hanging="424"/>
        <w:spacing w:after="0"/>
        <w:tabs>
          <w:tab w:leader="none" w:pos="540" w:val="left"/>
        </w:tabs>
        <w:numPr>
          <w:ilvl w:val="0"/>
          <w:numId w:val="18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Deferred tax assets not recognized</w:t>
      </w:r>
    </w:p>
    <w:p>
      <w:pPr>
        <w:spacing w:after="0" w:line="121"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The Group has not recognized deferred tax assets in respect of cumulative tax losses, including deductible temporary differences, whose expiry dates are:</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100" w:type="dxa"/>
            <w:vAlign w:val="bottom"/>
          </w:tcPr>
          <w:p>
            <w:pPr>
              <w:spacing w:after="0"/>
              <w:rPr>
                <w:sz w:val="15"/>
                <w:szCs w:val="15"/>
                <w:color w:val="auto"/>
              </w:rPr>
            </w:pPr>
          </w:p>
        </w:tc>
        <w:tc>
          <w:tcPr>
            <w:tcW w:w="226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i w:val="1"/>
                <w:iCs w:val="1"/>
                <w:color w:val="auto"/>
              </w:rPr>
              <w:t>As of December 31,</w:t>
            </w:r>
          </w:p>
        </w:tc>
      </w:tr>
      <w:tr>
        <w:trPr>
          <w:trHeight w:val="119"/>
        </w:trPr>
        <w:tc>
          <w:tcPr>
            <w:tcW w:w="6100" w:type="dxa"/>
            <w:vAlign w:val="bottom"/>
          </w:tcPr>
          <w:p>
            <w:pPr>
              <w:spacing w:after="0"/>
              <w:rPr>
                <w:sz w:val="10"/>
                <w:szCs w:val="10"/>
                <w:color w:val="auto"/>
              </w:rPr>
            </w:pPr>
          </w:p>
        </w:tc>
        <w:tc>
          <w:tcPr>
            <w:tcW w:w="940" w:type="dxa"/>
            <w:vAlign w:val="bottom"/>
            <w:tcBorders>
              <w:top w:val="single" w:sz="8" w:color="auto"/>
            </w:tcBorders>
          </w:tcPr>
          <w:p>
            <w:pPr>
              <w:jc w:val="right"/>
              <w:ind w:right="238"/>
              <w:spacing w:after="0" w:line="119" w:lineRule="exact"/>
              <w:rPr>
                <w:sz w:val="20"/>
                <w:szCs w:val="20"/>
                <w:color w:val="auto"/>
              </w:rPr>
            </w:pPr>
            <w:r>
              <w:rPr>
                <w:rFonts w:ascii="Times New Roman" w:cs="Times New Roman" w:eastAsia="Times New Roman" w:hAnsi="Times New Roman"/>
                <w:sz w:val="13"/>
                <w:szCs w:val="13"/>
                <w:i w:val="1"/>
                <w:iCs w:val="1"/>
                <w:color w:val="auto"/>
              </w:rPr>
              <w:t>2020</w:t>
            </w:r>
          </w:p>
        </w:tc>
        <w:tc>
          <w:tcPr>
            <w:tcW w:w="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237"/>
              <w:spacing w:after="0" w:line="119" w:lineRule="exact"/>
              <w:rPr>
                <w:sz w:val="20"/>
                <w:szCs w:val="20"/>
                <w:color w:val="auto"/>
              </w:rPr>
            </w:pPr>
            <w:r>
              <w:rPr>
                <w:rFonts w:ascii="Times New Roman" w:cs="Times New Roman" w:eastAsia="Times New Roman" w:hAnsi="Times New Roman"/>
                <w:sz w:val="13"/>
                <w:szCs w:val="13"/>
                <w:i w:val="1"/>
                <w:iCs w:val="1"/>
                <w:color w:val="auto"/>
              </w:rPr>
              <w:t>2021</w:t>
            </w:r>
          </w:p>
        </w:tc>
        <w:tc>
          <w:tcPr>
            <w:tcW w:w="80" w:type="dxa"/>
            <w:vAlign w:val="bottom"/>
          </w:tcPr>
          <w:p>
            <w:pPr>
              <w:spacing w:after="0"/>
              <w:rPr>
                <w:sz w:val="10"/>
                <w:szCs w:val="10"/>
                <w:color w:val="auto"/>
              </w:rPr>
            </w:pPr>
          </w:p>
        </w:tc>
      </w:tr>
      <w:tr>
        <w:trPr>
          <w:trHeight w:val="171"/>
        </w:trPr>
        <w:tc>
          <w:tcPr>
            <w:tcW w:w="6100" w:type="dxa"/>
            <w:vAlign w:val="bottom"/>
          </w:tcPr>
          <w:p>
            <w:pPr>
              <w:spacing w:after="0"/>
              <w:rPr>
                <w:sz w:val="14"/>
                <w:szCs w:val="14"/>
                <w:color w:val="auto"/>
              </w:rPr>
            </w:pPr>
          </w:p>
        </w:tc>
        <w:tc>
          <w:tcPr>
            <w:tcW w:w="122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color w:val="auto"/>
              </w:rPr>
              <w:t>RMB’000</w:t>
            </w:r>
          </w:p>
        </w:tc>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RMB’000</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1 year</w:t>
            </w:r>
          </w:p>
        </w:tc>
        <w:tc>
          <w:tcPr>
            <w:tcW w:w="122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27,591</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More than 1 year but within 5 years</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303,158</w:t>
            </w: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661,648</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More than 5 years</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844,893</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1,019,431</w:t>
            </w:r>
          </w:p>
        </w:tc>
      </w:tr>
      <w:tr>
        <w:trPr>
          <w:trHeight w:val="223"/>
        </w:trPr>
        <w:tc>
          <w:tcPr>
            <w:tcW w:w="61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1,148,051</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1,708,670</w:t>
            </w:r>
          </w:p>
        </w:tc>
        <w:tc>
          <w:tcPr>
            <w:tcW w:w="80" w:type="dxa"/>
            <w:vAlign w:val="bottom"/>
          </w:tcPr>
          <w:p>
            <w:pPr>
              <w:spacing w:after="0"/>
              <w:rPr>
                <w:sz w:val="19"/>
                <w:szCs w:val="19"/>
                <w:color w:val="auto"/>
              </w:rPr>
            </w:pPr>
          </w:p>
        </w:tc>
      </w:tr>
      <w:tr>
        <w:trPr>
          <w:trHeight w:val="20"/>
        </w:trPr>
        <w:tc>
          <w:tcPr>
            <w:tcW w:w="6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Management is of opinion that it is not probable that future taxable profits against which the losses above can be utilised will be available in the relevant tax jurisdiction and entity.</w:t>
      </w:r>
    </w:p>
    <w:p>
      <w:pPr>
        <w:spacing w:after="0" w:line="306" w:lineRule="exact"/>
        <w:rPr>
          <w:sz w:val="20"/>
          <w:szCs w:val="20"/>
          <w:color w:val="auto"/>
        </w:rPr>
      </w:pPr>
    </w:p>
    <w:p>
      <w:pPr>
        <w:ind w:left="540" w:hanging="424"/>
        <w:spacing w:after="0"/>
        <w:tabs>
          <w:tab w:leader="none" w:pos="540" w:val="left"/>
        </w:tabs>
        <w:numPr>
          <w:ilvl w:val="0"/>
          <w:numId w:val="19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Deferred tax liabilities not recognized</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2020 and 2021, there were no deferred tax liabilities not recognized.</w:t>
      </w:r>
    </w:p>
    <w:p>
      <w:pPr>
        <w:spacing w:after="0" w:line="370"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10</w:t>
        <w:tab/>
        <w:t>Loss per ordinary share</w:t>
      </w:r>
    </w:p>
    <w:p>
      <w:pPr>
        <w:spacing w:after="0" w:line="131" w:lineRule="exact"/>
        <w:rPr>
          <w:sz w:val="20"/>
          <w:szCs w:val="20"/>
          <w:color w:val="auto"/>
        </w:rPr>
      </w:pPr>
    </w:p>
    <w:p>
      <w:pPr>
        <w:ind w:left="540" w:hanging="424"/>
        <w:spacing w:after="0"/>
        <w:tabs>
          <w:tab w:leader="none" w:pos="540" w:val="left"/>
        </w:tabs>
        <w:numPr>
          <w:ilvl w:val="0"/>
          <w:numId w:val="19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Basic loss per share</w:t>
      </w:r>
    </w:p>
    <w:p>
      <w:pPr>
        <w:spacing w:after="0" w:line="121"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The calculation of basic loss per ordinary share is based on the loss attributable to ordinary equity shareholders of the Company divided by weighted-average number of ordinary shares outstanding.</w:t>
      </w:r>
    </w:p>
    <w:p>
      <w:pPr>
        <w:spacing w:after="0" w:line="162"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The weighted average number of ordinary shares for the purpose of basic loss per share during the periods presented has been retrospectively adjusted for the share subdivision pursuant to the shareholders’ resolution passed in April 2021 (Note 27(a)(iii)), whereby each ordinary share with par value of USD0.0001 was subdivided into 10 ordinary shares with a par value of USD0.00001.</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100"/>
          </w:cols>
          <w:pgMar w:left="320" w:top="455" w:right="47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540" w:hanging="424"/>
        <w:spacing w:after="0"/>
        <w:tabs>
          <w:tab w:leader="none" w:pos="540" w:val="left"/>
        </w:tabs>
        <w:numPr>
          <w:ilvl w:val="0"/>
          <w:numId w:val="19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Weighted average number of ordinary shares for the purpose of basic loss per share</w:t>
      </w:r>
    </w:p>
    <w:p>
      <w:pPr>
        <w:spacing w:after="0" w:line="12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340" w:type="dxa"/>
            <w:vAlign w:val="bottom"/>
          </w:tcPr>
          <w:p>
            <w:pPr>
              <w:spacing w:after="0"/>
              <w:rPr>
                <w:sz w:val="15"/>
                <w:szCs w:val="15"/>
                <w:color w:val="auto"/>
              </w:rPr>
            </w:pPr>
          </w:p>
        </w:tc>
        <w:tc>
          <w:tcPr>
            <w:tcW w:w="302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i w:val="1"/>
                <w:iCs w:val="1"/>
                <w:color w:val="auto"/>
              </w:rPr>
              <w:t>For the year ended December 31,</w:t>
            </w:r>
          </w:p>
        </w:tc>
      </w:tr>
      <w:tr>
        <w:trPr>
          <w:trHeight w:val="119"/>
        </w:trPr>
        <w:tc>
          <w:tcPr>
            <w:tcW w:w="5340" w:type="dxa"/>
            <w:vAlign w:val="bottom"/>
          </w:tcPr>
          <w:p>
            <w:pPr>
              <w:spacing w:after="0"/>
              <w:rPr>
                <w:sz w:val="10"/>
                <w:szCs w:val="10"/>
                <w:color w:val="auto"/>
              </w:rPr>
            </w:pPr>
          </w:p>
        </w:tc>
        <w:tc>
          <w:tcPr>
            <w:tcW w:w="1020" w:type="dxa"/>
            <w:vAlign w:val="bottom"/>
            <w:tcBorders>
              <w:top w:val="single" w:sz="8" w:color="auto"/>
            </w:tcBorders>
          </w:tcPr>
          <w:p>
            <w:pPr>
              <w:jc w:val="right"/>
              <w:ind w:right="299"/>
              <w:spacing w:after="0" w:line="119" w:lineRule="exact"/>
              <w:rPr>
                <w:sz w:val="20"/>
                <w:szCs w:val="20"/>
                <w:color w:val="auto"/>
              </w:rPr>
            </w:pPr>
            <w:r>
              <w:rPr>
                <w:rFonts w:ascii="Times New Roman" w:cs="Times New Roman" w:eastAsia="Times New Roman" w:hAnsi="Times New Roman"/>
                <w:sz w:val="13"/>
                <w:szCs w:val="13"/>
                <w:i w:val="1"/>
                <w:iCs w:val="1"/>
                <w:color w:val="auto"/>
              </w:rPr>
              <w:t>2020</w:t>
            </w:r>
          </w:p>
        </w:tc>
        <w:tc>
          <w:tcPr>
            <w:tcW w:w="88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right"/>
              <w:ind w:right="277"/>
              <w:spacing w:after="0" w:line="119" w:lineRule="exact"/>
              <w:rPr>
                <w:sz w:val="20"/>
                <w:szCs w:val="20"/>
                <w:color w:val="auto"/>
              </w:rPr>
            </w:pPr>
            <w:r>
              <w:rPr>
                <w:rFonts w:ascii="Times New Roman" w:cs="Times New Roman" w:eastAsia="Times New Roman" w:hAnsi="Times New Roman"/>
                <w:sz w:val="13"/>
                <w:szCs w:val="13"/>
                <w:i w:val="1"/>
                <w:iCs w:val="1"/>
                <w:color w:val="auto"/>
              </w:rPr>
              <w:t>2021</w:t>
            </w:r>
          </w:p>
        </w:tc>
        <w:tc>
          <w:tcPr>
            <w:tcW w:w="100" w:type="dxa"/>
            <w:vAlign w:val="bottom"/>
          </w:tcPr>
          <w:p>
            <w:pPr>
              <w:spacing w:after="0"/>
              <w:rPr>
                <w:sz w:val="10"/>
                <w:szCs w:val="10"/>
                <w:color w:val="auto"/>
              </w:rPr>
            </w:pPr>
          </w:p>
        </w:tc>
      </w:tr>
      <w:tr>
        <w:trPr>
          <w:trHeight w:val="148"/>
        </w:trPr>
        <w:tc>
          <w:tcPr>
            <w:tcW w:w="5340" w:type="dxa"/>
            <w:vAlign w:val="bottom"/>
          </w:tcPr>
          <w:p>
            <w:pPr>
              <w:spacing w:after="0"/>
              <w:rPr>
                <w:sz w:val="12"/>
                <w:szCs w:val="12"/>
                <w:color w:val="auto"/>
              </w:rPr>
            </w:pPr>
          </w:p>
        </w:tc>
        <w:tc>
          <w:tcPr>
            <w:tcW w:w="1900" w:type="dxa"/>
            <w:vAlign w:val="bottom"/>
            <w:gridSpan w:val="2"/>
          </w:tcPr>
          <w:p>
            <w:pPr>
              <w:jc w:val="right"/>
              <w:ind w:right="880"/>
              <w:spacing w:after="0" w:line="149" w:lineRule="exact"/>
              <w:rPr>
                <w:sz w:val="20"/>
                <w:szCs w:val="20"/>
                <w:color w:val="auto"/>
              </w:rPr>
            </w:pPr>
            <w:r>
              <w:rPr>
                <w:rFonts w:ascii="Times New Roman" w:cs="Times New Roman" w:eastAsia="Times New Roman" w:hAnsi="Times New Roman"/>
                <w:sz w:val="14"/>
                <w:szCs w:val="14"/>
                <w:color w:val="auto"/>
              </w:rPr>
              <w:t>Number of shares</w:t>
            </w:r>
          </w:p>
        </w:tc>
        <w:tc>
          <w:tcPr>
            <w:tcW w:w="11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Number of shares</w:t>
            </w:r>
          </w:p>
        </w:tc>
      </w:tr>
      <w:tr>
        <w:trPr>
          <w:trHeight w:val="171"/>
        </w:trPr>
        <w:tc>
          <w:tcPr>
            <w:tcW w:w="5340" w:type="dxa"/>
            <w:vAlign w:val="bottom"/>
          </w:tcPr>
          <w:p>
            <w:pPr>
              <w:spacing w:after="0"/>
              <w:rPr>
                <w:sz w:val="14"/>
                <w:szCs w:val="14"/>
                <w:color w:val="auto"/>
              </w:rPr>
            </w:pPr>
          </w:p>
        </w:tc>
        <w:tc>
          <w:tcPr>
            <w:tcW w:w="1900" w:type="dxa"/>
            <w:vAlign w:val="bottom"/>
            <w:gridSpan w:val="2"/>
          </w:tcPr>
          <w:p>
            <w:pPr>
              <w:jc w:val="center"/>
              <w:ind w:right="880"/>
              <w:spacing w:after="0"/>
              <w:rPr>
                <w:sz w:val="20"/>
                <w:szCs w:val="20"/>
                <w:color w:val="auto"/>
              </w:rPr>
            </w:pPr>
            <w:r>
              <w:rPr>
                <w:rFonts w:ascii="Times New Roman" w:cs="Times New Roman" w:eastAsia="Times New Roman" w:hAnsi="Times New Roman"/>
                <w:sz w:val="14"/>
                <w:szCs w:val="14"/>
                <w:color w:val="auto"/>
              </w:rPr>
              <w:t>’000</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’000</w:t>
            </w:r>
          </w:p>
        </w:tc>
      </w:tr>
      <w:tr>
        <w:trPr>
          <w:trHeight w:val="198"/>
        </w:trPr>
        <w:tc>
          <w:tcPr>
            <w:tcW w:w="5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Issued ordinary shares and ordinary shares deemed to be in</w:t>
            </w:r>
          </w:p>
        </w:tc>
        <w:tc>
          <w:tcPr>
            <w:tcW w:w="10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issue at the beginning of the year*</w:t>
            </w:r>
          </w:p>
        </w:tc>
        <w:tc>
          <w:tcPr>
            <w:tcW w:w="190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209,090</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229,059</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Effect of ordinary shares issued</w:t>
            </w:r>
          </w:p>
        </w:tc>
        <w:tc>
          <w:tcPr>
            <w:tcW w:w="190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8,055</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3,031</w:t>
            </w: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ordinary shares repurchased</w:t>
            </w:r>
          </w:p>
        </w:tc>
        <w:tc>
          <w:tcPr>
            <w:tcW w:w="190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(2,154)</w:t>
            </w:r>
          </w:p>
        </w:tc>
      </w:tr>
      <w:tr>
        <w:trPr>
          <w:trHeight w:val="223"/>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Effect of ordinary shares cancelled</w:t>
            </w:r>
          </w:p>
        </w:tc>
        <w:tc>
          <w:tcPr>
            <w:tcW w:w="190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(4,360)</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(2,808)</w:t>
            </w:r>
          </w:p>
        </w:tc>
      </w:tr>
      <w:tr>
        <w:trPr>
          <w:trHeight w:val="198"/>
        </w:trPr>
        <w:tc>
          <w:tcPr>
            <w:tcW w:w="5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ordinary shares and ordinary</w:t>
            </w:r>
          </w:p>
        </w:tc>
        <w:tc>
          <w:tcPr>
            <w:tcW w:w="1020" w:type="dxa"/>
            <w:vAlign w:val="bottom"/>
            <w:tcBorders>
              <w:top w:val="single" w:sz="8" w:color="auto"/>
            </w:tcBorders>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deemed to be in issue for the year</w:t>
            </w:r>
          </w:p>
        </w:tc>
        <w:tc>
          <w:tcPr>
            <w:tcW w:w="190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212,785</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227,128</w:t>
            </w:r>
          </w:p>
        </w:tc>
      </w:tr>
      <w:tr>
        <w:trPr>
          <w:trHeight w:val="20"/>
        </w:trPr>
        <w:tc>
          <w:tcPr>
            <w:tcW w:w="53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w:t>
      </w:r>
    </w:p>
    <w:p>
      <w:pPr>
        <w:spacing w:after="0" w:line="117"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*The ordinary shares deemed to be in issue represent the vested restricted share units granted to qualified directors and employees, which are issuable subject only to the passage of time.</w:t>
      </w:r>
    </w:p>
    <w:p>
      <w:pPr>
        <w:spacing w:after="0" w:line="308"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i w:val="1"/>
          <w:iCs w:val="1"/>
          <w:color w:val="auto"/>
        </w:rPr>
        <w:t>(ii)</w:t>
        <w:tab/>
        <w:t>Calculations of basic loss per share</w:t>
      </w:r>
    </w:p>
    <w:p>
      <w:pPr>
        <w:spacing w:after="0" w:line="248"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2620" w:type="dxa"/>
            <w:vAlign w:val="bottom"/>
            <w:gridSpan w:val="4"/>
          </w:tcPr>
          <w:p>
            <w:pPr>
              <w:jc w:val="right"/>
              <w:ind w:right="520"/>
              <w:spacing w:after="0"/>
              <w:rPr>
                <w:sz w:val="20"/>
                <w:szCs w:val="20"/>
                <w:color w:val="auto"/>
              </w:rPr>
            </w:pPr>
            <w:r>
              <w:rPr>
                <w:rFonts w:ascii="Times New Roman" w:cs="Times New Roman" w:eastAsia="Times New Roman" w:hAnsi="Times New Roman"/>
                <w:sz w:val="14"/>
                <w:szCs w:val="14"/>
                <w:i w:val="1"/>
                <w:iCs w:val="1"/>
                <w:color w:val="auto"/>
              </w:rPr>
              <w:t>For the year ended December 31,</w:t>
            </w:r>
          </w:p>
        </w:tc>
        <w:tc>
          <w:tcPr>
            <w:tcW w:w="0" w:type="dxa"/>
            <w:vAlign w:val="bottom"/>
          </w:tcPr>
          <w:p>
            <w:pPr>
              <w:spacing w:after="0"/>
              <w:rPr>
                <w:sz w:val="1"/>
                <w:szCs w:val="1"/>
                <w:color w:val="auto"/>
              </w:rPr>
            </w:pPr>
          </w:p>
        </w:tc>
      </w:tr>
      <w:tr>
        <w:trPr>
          <w:trHeight w:val="142"/>
        </w:trPr>
        <w:tc>
          <w:tcPr>
            <w:tcW w:w="6640" w:type="dxa"/>
            <w:vAlign w:val="bottom"/>
          </w:tcPr>
          <w:p>
            <w:pPr>
              <w:spacing w:after="0"/>
              <w:rPr>
                <w:sz w:val="12"/>
                <w:szCs w:val="12"/>
                <w:color w:val="auto"/>
              </w:rPr>
            </w:pPr>
          </w:p>
        </w:tc>
        <w:tc>
          <w:tcPr>
            <w:tcW w:w="880" w:type="dxa"/>
            <w:vAlign w:val="bottom"/>
            <w:tcBorders>
              <w:top w:val="single" w:sz="8" w:color="auto"/>
            </w:tcBorders>
          </w:tcPr>
          <w:p>
            <w:pPr>
              <w:jc w:val="right"/>
              <w:ind w:right="217"/>
              <w:spacing w:after="0" w:line="142" w:lineRule="exact"/>
              <w:rPr>
                <w:sz w:val="20"/>
                <w:szCs w:val="20"/>
                <w:color w:val="auto"/>
              </w:rPr>
            </w:pPr>
            <w:r>
              <w:rPr>
                <w:rFonts w:ascii="Times New Roman" w:cs="Times New Roman" w:eastAsia="Times New Roman" w:hAnsi="Times New Roman"/>
                <w:sz w:val="14"/>
                <w:szCs w:val="14"/>
                <w:i w:val="1"/>
                <w:iCs w:val="1"/>
                <w:color w:val="auto"/>
              </w:rPr>
              <w:t>2020</w:t>
            </w:r>
          </w:p>
        </w:tc>
        <w:tc>
          <w:tcPr>
            <w:tcW w:w="2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2021</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attributable to ordinary equity shareholders of the Company (in RMB’000)</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(694,888)</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(1,007,251)</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 in issue</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640" w:type="dxa"/>
            <w:vAlign w:val="bottom"/>
            <w:vMerge w:val="continue"/>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 ’000)</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212,785</w:t>
            </w:r>
          </w:p>
        </w:tc>
        <w:tc>
          <w:tcPr>
            <w:tcW w:w="28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227,128</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loss per share (in RMB)</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(3.27)</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ind w:left="540" w:hanging="424"/>
        <w:spacing w:after="0"/>
        <w:tabs>
          <w:tab w:leader="none" w:pos="540" w:val="left"/>
        </w:tabs>
        <w:numPr>
          <w:ilvl w:val="0"/>
          <w:numId w:val="19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Diluted loss per share</w:t>
      </w:r>
    </w:p>
    <w:p>
      <w:pPr>
        <w:spacing w:after="0" w:line="121"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Diluted loss per share is calculated by adjusting the weighted average number of ordinary shares outstanding to assume conversion of all potential dilutive ordinary shares.</w:t>
      </w:r>
    </w:p>
    <w:p>
      <w:pPr>
        <w:spacing w:after="0" w:line="162" w:lineRule="exact"/>
        <w:rPr>
          <w:sz w:val="20"/>
          <w:szCs w:val="20"/>
          <w:color w:val="auto"/>
        </w:rPr>
      </w:pPr>
    </w:p>
    <w:p>
      <w:pPr>
        <w:jc w:val="both"/>
        <w:ind w:left="120" w:right="220"/>
        <w:spacing w:after="0" w:line="266" w:lineRule="auto"/>
        <w:rPr>
          <w:sz w:val="20"/>
          <w:szCs w:val="20"/>
          <w:color w:val="auto"/>
        </w:rPr>
      </w:pPr>
      <w:r>
        <w:rPr>
          <w:rFonts w:ascii="Times New Roman" w:cs="Times New Roman" w:eastAsia="Times New Roman" w:hAnsi="Times New Roman"/>
          <w:sz w:val="18"/>
          <w:szCs w:val="18"/>
          <w:color w:val="auto"/>
        </w:rPr>
        <w:t>There was no difference between basic and diluted loss per share during the years ended December 31, 2020 and 2021 as the unvested restricted share units and share options (Note 28) and preferred shares and other financial instruments subject to redemption and other preferential rights issued by the Company (Note 21) were not potential dilutive ordinary shares as the effect would be anti-dilutive.</w:t>
      </w:r>
    </w:p>
    <w:p>
      <w:pPr>
        <w:spacing w:after="0" w:line="320"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11</w:t>
        <w:tab/>
        <w:t>Property and equipment</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112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i w:val="1"/>
                <w:iCs w:val="1"/>
                <w:color w:val="auto"/>
              </w:rPr>
              <w:t>Leasehold</w:t>
            </w: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i w:val="1"/>
                <w:iCs w:val="1"/>
                <w:color w:val="auto"/>
              </w:rPr>
              <w:t>Office equipment</w:t>
            </w: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2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i w:val="1"/>
                <w:iCs w:val="1"/>
                <w:color w:val="auto"/>
              </w:rPr>
              <w:t>Construction in</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3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i w:val="1"/>
                <w:iCs w:val="1"/>
                <w:color w:val="auto"/>
              </w:rPr>
              <w:t>and electronic</w:t>
            </w: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Machinery</w:t>
            </w:r>
          </w:p>
        </w:tc>
        <w:tc>
          <w:tcPr>
            <w:tcW w:w="12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i w:val="1"/>
                <w:iCs w:val="1"/>
                <w:color w:val="auto"/>
              </w:rPr>
              <w:t>Motor vehicles</w:t>
            </w:r>
          </w:p>
        </w:tc>
        <w:tc>
          <w:tcPr>
            <w:tcW w:w="1320" w:type="dxa"/>
            <w:vAlign w:val="bottom"/>
            <w:gridSpan w:val="2"/>
            <w:vMerge w:val="continue"/>
          </w:tcPr>
          <w:p>
            <w:pPr>
              <w:spacing w:after="0"/>
              <w:rPr>
                <w:sz w:val="12"/>
                <w:szCs w:val="12"/>
                <w:color w:val="auto"/>
              </w:rPr>
            </w:pPr>
          </w:p>
        </w:tc>
        <w:tc>
          <w:tcPr>
            <w:tcW w:w="7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i w:val="1"/>
                <w:iCs w:val="1"/>
                <w:color w:val="auto"/>
              </w:rPr>
              <w:t>Total</w:t>
            </w:r>
          </w:p>
        </w:tc>
        <w:tc>
          <w:tcPr>
            <w:tcW w:w="0" w:type="dxa"/>
            <w:vAlign w:val="bottom"/>
          </w:tcPr>
          <w:p>
            <w:pPr>
              <w:spacing w:after="0"/>
              <w:rPr>
                <w:sz w:val="1"/>
                <w:szCs w:val="1"/>
                <w:color w:val="auto"/>
              </w:rPr>
            </w:pPr>
          </w:p>
        </w:tc>
      </w:tr>
      <w:tr>
        <w:trPr>
          <w:trHeight w:val="173"/>
        </w:trPr>
        <w:tc>
          <w:tcPr>
            <w:tcW w:w="4160" w:type="dxa"/>
            <w:vAlign w:val="bottom"/>
          </w:tcPr>
          <w:p>
            <w:pPr>
              <w:spacing w:after="0"/>
              <w:rPr>
                <w:sz w:val="15"/>
                <w:szCs w:val="15"/>
                <w:color w:val="auto"/>
              </w:rPr>
            </w:pP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i w:val="1"/>
                <w:iCs w:val="1"/>
                <w:color w:val="auto"/>
                <w:w w:val="98"/>
              </w:rPr>
              <w:t>improvement</w:t>
            </w: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i w:val="1"/>
                <w:iCs w:val="1"/>
                <w:color w:val="auto"/>
              </w:rPr>
              <w:t>equipment</w:t>
            </w:r>
          </w:p>
        </w:tc>
        <w:tc>
          <w:tcPr>
            <w:tcW w:w="106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3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i w:val="1"/>
                <w:iCs w:val="1"/>
                <w:color w:val="auto"/>
              </w:rPr>
              <w:t>progress</w:t>
            </w: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380" w:type="dxa"/>
            <w:vAlign w:val="bottom"/>
          </w:tcPr>
          <w:p>
            <w:pPr>
              <w:spacing w:after="0"/>
              <w:rPr>
                <w:sz w:val="12"/>
                <w:szCs w:val="12"/>
                <w:color w:val="auto"/>
              </w:rPr>
            </w:pPr>
          </w:p>
        </w:tc>
        <w:tc>
          <w:tcPr>
            <w:tcW w:w="10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360" w:type="dxa"/>
            <w:vAlign w:val="bottom"/>
          </w:tcPr>
          <w:p>
            <w:pPr>
              <w:spacing w:after="0"/>
              <w:rPr>
                <w:sz w:val="12"/>
                <w:szCs w:val="12"/>
                <w:color w:val="auto"/>
              </w:rPr>
            </w:pPr>
          </w:p>
        </w:tc>
        <w:tc>
          <w:tcPr>
            <w:tcW w:w="640" w:type="dxa"/>
            <w:vAlign w:val="bottom"/>
            <w:tcBorders>
              <w:top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420" w:type="dxa"/>
            <w:vAlign w:val="bottom"/>
          </w:tcPr>
          <w:p>
            <w:pPr>
              <w:spacing w:after="0"/>
              <w:rPr>
                <w:sz w:val="12"/>
                <w:szCs w:val="12"/>
                <w:color w:val="auto"/>
              </w:rPr>
            </w:pPr>
          </w:p>
        </w:tc>
        <w:tc>
          <w:tcPr>
            <w:tcW w:w="860" w:type="dxa"/>
            <w:vAlign w:val="bottom"/>
            <w:tcBorders>
              <w:top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38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420" w:type="dxa"/>
            <w:vAlign w:val="bottom"/>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As of January 1, 2020</w:t>
            </w: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22,287</w:t>
            </w:r>
          </w:p>
        </w:tc>
        <w:tc>
          <w:tcPr>
            <w:tcW w:w="13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11,859</w:t>
            </w: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103,226</w:t>
            </w: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21,061</w:t>
            </w: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9,208</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167,641</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608</w:t>
            </w:r>
          </w:p>
        </w:tc>
        <w:tc>
          <w:tcPr>
            <w:tcW w:w="13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999</w:t>
            </w: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1,905</w:t>
            </w: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3,206</w:t>
            </w:r>
          </w:p>
        </w:tc>
        <w:tc>
          <w:tcPr>
            <w:tcW w:w="13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2,899</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9,617</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Transfer in/(out)</w:t>
            </w: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3,222</w:t>
            </w: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8,597</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(11,819)</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Disposals</w:t>
            </w:r>
          </w:p>
        </w:tc>
        <w:tc>
          <w:tcPr>
            <w:tcW w:w="1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(8,969)</w:t>
            </w:r>
          </w:p>
        </w:tc>
        <w:tc>
          <w:tcPr>
            <w:tcW w:w="12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(8,969)</w:t>
            </w:r>
          </w:p>
        </w:tc>
        <w:tc>
          <w:tcPr>
            <w:tcW w:w="0" w:type="dxa"/>
            <w:vAlign w:val="bottom"/>
          </w:tcPr>
          <w:p>
            <w:pPr>
              <w:spacing w:after="0"/>
              <w:rPr>
                <w:sz w:val="1"/>
                <w:szCs w:val="1"/>
                <w:color w:val="auto"/>
              </w:rPr>
            </w:pPr>
          </w:p>
        </w:tc>
      </w:tr>
      <w:tr>
        <w:trPr>
          <w:trHeight w:val="365"/>
        </w:trPr>
        <w:tc>
          <w:tcPr>
            <w:tcW w:w="4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F-37</w:t>
            </w: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i w:val="1"/>
                <w:iCs w:val="1"/>
                <w:color w:val="auto"/>
              </w:rPr>
              <w:t>Leasehold</w:t>
            </w:r>
          </w:p>
        </w:tc>
        <w:tc>
          <w:tcPr>
            <w:tcW w:w="240" w:type="dxa"/>
            <w:vAlign w:val="bottom"/>
          </w:tcPr>
          <w:p>
            <w:pPr>
              <w:spacing w:after="0"/>
              <w:rPr>
                <w:sz w:val="13"/>
                <w:szCs w:val="13"/>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i w:val="1"/>
                <w:iCs w:val="1"/>
                <w:color w:val="auto"/>
              </w:rPr>
              <w:t>Office equipment</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i w:val="1"/>
                <w:iCs w:val="1"/>
                <w:color w:val="auto"/>
              </w:rPr>
              <w:t>Construction in</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i w:val="1"/>
                <w:iCs w:val="1"/>
                <w:color w:val="auto"/>
              </w:rPr>
              <w:t>and electronic</w:t>
            </w:r>
          </w:p>
        </w:tc>
        <w:tc>
          <w:tcPr>
            <w:tcW w:w="7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Machinery</w:t>
            </w:r>
          </w:p>
        </w:tc>
        <w:tc>
          <w:tcPr>
            <w:tcW w:w="220" w:type="dxa"/>
            <w:vAlign w:val="bottom"/>
          </w:tcPr>
          <w:p>
            <w:pPr>
              <w:spacing w:after="0"/>
              <w:rPr>
                <w:sz w:val="12"/>
                <w:szCs w:val="12"/>
                <w:color w:val="auto"/>
              </w:rPr>
            </w:pPr>
          </w:p>
        </w:tc>
        <w:tc>
          <w:tcPr>
            <w:tcW w:w="1020" w:type="dxa"/>
            <w:vAlign w:val="bottom"/>
            <w:gridSpan w:val="5"/>
            <w:vMerge w:val="restart"/>
          </w:tcPr>
          <w:p>
            <w:pPr>
              <w:jc w:val="right"/>
              <w:ind w:right="160"/>
              <w:spacing w:after="0"/>
              <w:rPr>
                <w:sz w:val="20"/>
                <w:szCs w:val="20"/>
                <w:color w:val="auto"/>
              </w:rPr>
            </w:pPr>
            <w:r>
              <w:rPr>
                <w:rFonts w:ascii="Times New Roman" w:cs="Times New Roman" w:eastAsia="Times New Roman" w:hAnsi="Times New Roman"/>
                <w:sz w:val="14"/>
                <w:szCs w:val="14"/>
                <w:i w:val="1"/>
                <w:iCs w:val="1"/>
                <w:color w:val="auto"/>
              </w:rPr>
              <w:t>Motor vehicles</w:t>
            </w:r>
          </w:p>
        </w:tc>
        <w:tc>
          <w:tcPr>
            <w:tcW w:w="160" w:type="dxa"/>
            <w:vAlign w:val="bottom"/>
          </w:tcPr>
          <w:p>
            <w:pPr>
              <w:spacing w:after="0"/>
              <w:rPr>
                <w:sz w:val="12"/>
                <w:szCs w:val="12"/>
                <w:color w:val="auto"/>
              </w:rPr>
            </w:pPr>
          </w:p>
        </w:tc>
        <w:tc>
          <w:tcPr>
            <w:tcW w:w="92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4"/>
            <w:vMerge w:val="restart"/>
          </w:tcPr>
          <w:p>
            <w:pPr>
              <w:jc w:val="right"/>
              <w:ind w:right="300"/>
              <w:spacing w:after="0"/>
              <w:rPr>
                <w:sz w:val="20"/>
                <w:szCs w:val="20"/>
                <w:color w:val="auto"/>
              </w:rPr>
            </w:pPr>
            <w:r>
              <w:rPr>
                <w:rFonts w:ascii="Times New Roman" w:cs="Times New Roman" w:eastAsia="Times New Roman" w:hAnsi="Times New Roman"/>
                <w:sz w:val="14"/>
                <w:szCs w:val="14"/>
                <w:i w:val="1"/>
                <w:iCs w:val="1"/>
                <w:color w:val="auto"/>
              </w:rPr>
              <w:t>Total</w:t>
            </w: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i w:val="1"/>
                <w:iCs w:val="1"/>
                <w:color w:val="auto"/>
              </w:rPr>
              <w:t>improvement</w:t>
            </w:r>
          </w:p>
        </w:tc>
        <w:tc>
          <w:tcPr>
            <w:tcW w:w="240" w:type="dxa"/>
            <w:vAlign w:val="bottom"/>
          </w:tcPr>
          <w:p>
            <w:pPr>
              <w:spacing w:after="0"/>
              <w:rPr>
                <w:sz w:val="15"/>
                <w:szCs w:val="15"/>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i w:val="1"/>
                <w:iCs w:val="1"/>
                <w:color w:val="auto"/>
              </w:rPr>
              <w:t>equipment</w:t>
            </w:r>
          </w:p>
        </w:tc>
        <w:tc>
          <w:tcPr>
            <w:tcW w:w="76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5"/>
            <w:vMerge w:val="continue"/>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4"/>
          </w:tcPr>
          <w:p>
            <w:pPr>
              <w:jc w:val="center"/>
              <w:spacing w:after="0"/>
              <w:rPr>
                <w:sz w:val="20"/>
                <w:szCs w:val="20"/>
                <w:color w:val="auto"/>
              </w:rPr>
            </w:pPr>
            <w:r>
              <w:rPr>
                <w:rFonts w:ascii="Times New Roman" w:cs="Times New Roman" w:eastAsia="Times New Roman" w:hAnsi="Times New Roman"/>
                <w:sz w:val="14"/>
                <w:szCs w:val="14"/>
                <w:i w:val="1"/>
                <w:iCs w:val="1"/>
                <w:color w:val="auto"/>
                <w:w w:val="97"/>
              </w:rPr>
              <w:t>progress</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320" w:type="dxa"/>
            <w:vAlign w:val="bottom"/>
          </w:tcPr>
          <w:p>
            <w:pPr>
              <w:spacing w:after="0"/>
              <w:rPr>
                <w:sz w:val="12"/>
                <w:szCs w:val="12"/>
                <w:color w:val="auto"/>
              </w:rPr>
            </w:pPr>
          </w:p>
        </w:tc>
        <w:tc>
          <w:tcPr>
            <w:tcW w:w="66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3"/>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98"/>
              </w:rPr>
              <w:t>RMB’000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Borders>
              <w:top w:val="single" w:sz="8" w:color="auto"/>
            </w:tcBorders>
            <w:gridSpan w:val="4"/>
          </w:tcPr>
          <w:p>
            <w:pPr>
              <w:jc w:val="center"/>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movement in exchange rates</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(1,268)</w:t>
            </w:r>
          </w:p>
        </w:tc>
        <w:tc>
          <w:tcPr>
            <w:tcW w:w="15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(337)</w:t>
            </w: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(2,641)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(441)</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2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(4,702)</w:t>
            </w:r>
          </w:p>
        </w:tc>
        <w:tc>
          <w:tcPr>
            <w:tcW w:w="0" w:type="dxa"/>
            <w:vAlign w:val="bottom"/>
          </w:tcPr>
          <w:p>
            <w:pPr>
              <w:spacing w:after="0"/>
              <w:rPr>
                <w:sz w:val="1"/>
                <w:szCs w:val="1"/>
                <w:color w:val="auto"/>
              </w:rPr>
            </w:pPr>
          </w:p>
        </w:tc>
      </w:tr>
      <w:tr>
        <w:trPr>
          <w:trHeight w:val="223"/>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December 31, 2020</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21,627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12,521</w:t>
            </w:r>
          </w:p>
        </w:tc>
        <w:tc>
          <w:tcPr>
            <w:tcW w:w="320" w:type="dxa"/>
            <w:vAlign w:val="bottom"/>
          </w:tcPr>
          <w:p>
            <w:pPr>
              <w:spacing w:after="0"/>
              <w:rPr>
                <w:sz w:val="19"/>
                <w:szCs w:val="19"/>
                <w:color w:val="auto"/>
              </w:rPr>
            </w:pPr>
          </w:p>
        </w:tc>
        <w:tc>
          <w:tcPr>
            <w:tcW w:w="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96,743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32,423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color w:val="auto"/>
                <w:w w:val="96"/>
              </w:rPr>
              <w:t>273</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163,587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8,085</w:t>
            </w:r>
          </w:p>
        </w:tc>
        <w:tc>
          <w:tcPr>
            <w:tcW w:w="15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8,117</w:t>
            </w:r>
          </w:p>
        </w:tc>
        <w:tc>
          <w:tcPr>
            <w:tcW w:w="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5,011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143</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7,229</w:t>
            </w:r>
          </w:p>
        </w:tc>
        <w:tc>
          <w:tcPr>
            <w:tcW w:w="6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28,585</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Acquisitions through business combination (Note 29)</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828</w:t>
            </w: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4,452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5,190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2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10,470</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in/(out)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5,440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1,428</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Disposals</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(207)</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(7,515)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(9,796)</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2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(17,518)</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movement in exchange rates</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(419)</w:t>
            </w:r>
          </w:p>
        </w:tc>
        <w:tc>
          <w:tcPr>
            <w:tcW w:w="15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(111)</w:t>
            </w: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(1,491)</w:t>
            </w:r>
          </w:p>
        </w:tc>
        <w:tc>
          <w:tcPr>
            <w:tcW w:w="0" w:type="dxa"/>
            <w:vAlign w:val="bottom"/>
          </w:tcPr>
          <w:p>
            <w:pPr>
              <w:spacing w:after="0"/>
              <w:rPr>
                <w:sz w:val="1"/>
                <w:szCs w:val="1"/>
                <w:color w:val="auto"/>
              </w:rPr>
            </w:pPr>
          </w:p>
        </w:tc>
      </w:tr>
      <w:tr>
        <w:trPr>
          <w:trHeight w:val="230"/>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December 31, 2021</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29,293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21,148</w:t>
            </w:r>
          </w:p>
        </w:tc>
        <w:tc>
          <w:tcPr>
            <w:tcW w:w="320" w:type="dxa"/>
            <w:vAlign w:val="bottom"/>
          </w:tcPr>
          <w:p>
            <w:pPr>
              <w:spacing w:after="0"/>
              <w:rPr>
                <w:sz w:val="20"/>
                <w:szCs w:val="20"/>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103,327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29,231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color w:val="auto"/>
                <w:w w:val="96"/>
              </w:rPr>
              <w:t>634</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183,633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January 1, 2020</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(2,204)</w:t>
            </w:r>
          </w:p>
        </w:tc>
        <w:tc>
          <w:tcPr>
            <w:tcW w:w="15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(4,388)</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(23,698)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(4,293)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2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(34,583)</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(4,616)</w:t>
            </w:r>
          </w:p>
        </w:tc>
        <w:tc>
          <w:tcPr>
            <w:tcW w:w="15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(3,628)</w:t>
            </w: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(25,304)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(5,698)</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(39,246)</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Disposals</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4,883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2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4,883</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movement in exchange rates</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314</w:t>
            </w:r>
          </w:p>
        </w:tc>
        <w:tc>
          <w:tcPr>
            <w:tcW w:w="15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208</w:t>
            </w:r>
          </w:p>
        </w:tc>
        <w:tc>
          <w:tcPr>
            <w:tcW w:w="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168</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2,319</w:t>
            </w:r>
          </w:p>
        </w:tc>
        <w:tc>
          <w:tcPr>
            <w:tcW w:w="0" w:type="dxa"/>
            <w:vAlign w:val="bottom"/>
          </w:tcPr>
          <w:p>
            <w:pPr>
              <w:spacing w:after="0"/>
              <w:rPr>
                <w:sz w:val="1"/>
                <w:szCs w:val="1"/>
                <w:color w:val="auto"/>
              </w:rPr>
            </w:pPr>
          </w:p>
        </w:tc>
      </w:tr>
      <w:tr>
        <w:trPr>
          <w:trHeight w:val="223"/>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December 31, 2020</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(7,808)</w:t>
            </w:r>
          </w:p>
        </w:tc>
        <w:tc>
          <w:tcPr>
            <w:tcW w:w="320" w:type="dxa"/>
            <w:vAlign w:val="bottom"/>
          </w:tcPr>
          <w:p>
            <w:pPr>
              <w:spacing w:after="0"/>
              <w:rPr>
                <w:sz w:val="19"/>
                <w:szCs w:val="19"/>
                <w:color w:val="auto"/>
              </w:rPr>
            </w:pPr>
          </w:p>
        </w:tc>
        <w:tc>
          <w:tcPr>
            <w:tcW w:w="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(42,490)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(9,823)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(66,627)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(5,889)</w:t>
            </w:r>
          </w:p>
        </w:tc>
        <w:tc>
          <w:tcPr>
            <w:tcW w:w="15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(4,531)</w:t>
            </w: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(24,512)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(6,399)</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(41,331)</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Disposals</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153</w:t>
            </w: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5,776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2,914</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2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8,843</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movement in exchange rates</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162</w:t>
            </w:r>
          </w:p>
        </w:tc>
        <w:tc>
          <w:tcPr>
            <w:tcW w:w="15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87</w:t>
            </w:r>
          </w:p>
        </w:tc>
        <w:tc>
          <w:tcPr>
            <w:tcW w:w="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533</w:t>
            </w:r>
          </w:p>
        </w:tc>
        <w:tc>
          <w:tcPr>
            <w:tcW w:w="0" w:type="dxa"/>
            <w:vAlign w:val="bottom"/>
          </w:tcPr>
          <w:p>
            <w:pPr>
              <w:spacing w:after="0"/>
              <w:rPr>
                <w:sz w:val="1"/>
                <w:szCs w:val="1"/>
                <w:color w:val="auto"/>
              </w:rPr>
            </w:pPr>
          </w:p>
        </w:tc>
      </w:tr>
      <w:tr>
        <w:trPr>
          <w:trHeight w:val="230"/>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December 31, 2021</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(12,099)</w:t>
            </w:r>
          </w:p>
        </w:tc>
        <w:tc>
          <w:tcPr>
            <w:tcW w:w="320" w:type="dxa"/>
            <w:vAlign w:val="bottom"/>
          </w:tcPr>
          <w:p>
            <w:pPr>
              <w:spacing w:after="0"/>
              <w:rPr>
                <w:sz w:val="20"/>
                <w:szCs w:val="20"/>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(60,983)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(13,267)</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(98,582)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Carrying amounts:</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December 31, 2020</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15,121</w:t>
            </w:r>
          </w:p>
        </w:tc>
        <w:tc>
          <w:tcPr>
            <w:tcW w:w="15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4,713</w:t>
            </w: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54,253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22,600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96"/>
              </w:rPr>
              <w:t>273</w:t>
            </w:r>
          </w:p>
        </w:tc>
        <w:tc>
          <w:tcPr>
            <w:tcW w:w="60" w:type="dxa"/>
            <w:vAlign w:val="bottom"/>
          </w:tcPr>
          <w:p>
            <w:pPr>
              <w:spacing w:after="0"/>
              <w:rPr>
                <w:sz w:val="18"/>
                <w:szCs w:val="18"/>
                <w:color w:val="auto"/>
              </w:rPr>
            </w:pPr>
          </w:p>
        </w:tc>
        <w:tc>
          <w:tcPr>
            <w:tcW w:w="102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96,960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December 31, 2021</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17,060</w:t>
            </w:r>
          </w:p>
        </w:tc>
        <w:tc>
          <w:tcPr>
            <w:tcW w:w="15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9,049</w:t>
            </w:r>
          </w:p>
        </w:tc>
        <w:tc>
          <w:tcPr>
            <w:tcW w:w="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42,344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15,964</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6"/>
              </w:rPr>
              <w:t>634</w:t>
            </w:r>
          </w:p>
        </w:tc>
        <w:tc>
          <w:tcPr>
            <w:tcW w:w="6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85,051</w:t>
            </w: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12   Right-of-use assets</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4460" w:type="dxa"/>
            <w:vAlign w:val="bottom"/>
            <w:gridSpan w:val="2"/>
            <w:vMerge w:val="continue"/>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gridSpan w:val="4"/>
          </w:tcPr>
          <w:p>
            <w:pPr>
              <w:jc w:val="center"/>
              <w:spacing w:after="0"/>
              <w:rPr>
                <w:sz w:val="20"/>
                <w:szCs w:val="20"/>
                <w:color w:val="auto"/>
              </w:rPr>
            </w:pPr>
            <w:r>
              <w:rPr>
                <w:rFonts w:ascii="Times New Roman" w:cs="Times New Roman" w:eastAsia="Times New Roman" w:hAnsi="Times New Roman"/>
                <w:sz w:val="14"/>
                <w:szCs w:val="14"/>
                <w:i w:val="1"/>
                <w:iCs w:val="1"/>
                <w:color w:val="auto"/>
              </w:rPr>
              <w:t>Property</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i w:val="1"/>
                <w:iCs w:val="1"/>
                <w:color w:val="auto"/>
              </w:rPr>
              <w:t>Motor vehicles</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i w:val="1"/>
                <w:iCs w:val="1"/>
                <w:color w:val="auto"/>
              </w:rPr>
              <w:t>Total</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Borders>
              <w:top w:val="single" w:sz="8" w:color="auto"/>
            </w:tcBorders>
            <w:gridSpan w:val="4"/>
          </w:tcPr>
          <w:p>
            <w:pPr>
              <w:jc w:val="center"/>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2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Borders>
              <w:top w:val="single" w:sz="8" w:color="auto"/>
            </w:tcBorders>
            <w:gridSpan w:val="4"/>
          </w:tcPr>
          <w:p>
            <w:pPr>
              <w:jc w:val="center"/>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Borders>
              <w:top w:val="single" w:sz="8" w:color="auto"/>
            </w:tcBorders>
            <w:gridSpan w:val="4"/>
          </w:tcPr>
          <w:p>
            <w:pPr>
              <w:jc w:val="right"/>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5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As of January 1, 2020</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7"/>
          </w:tcPr>
          <w:p>
            <w:pPr>
              <w:jc w:val="right"/>
              <w:ind w:right="410"/>
              <w:spacing w:after="0"/>
              <w:rPr>
                <w:sz w:val="20"/>
                <w:szCs w:val="20"/>
                <w:color w:val="auto"/>
              </w:rPr>
            </w:pPr>
            <w:r>
              <w:rPr>
                <w:rFonts w:ascii="Times New Roman" w:cs="Times New Roman" w:eastAsia="Times New Roman" w:hAnsi="Times New Roman"/>
                <w:sz w:val="18"/>
                <w:szCs w:val="18"/>
                <w:color w:val="auto"/>
              </w:rPr>
              <w:t>71,692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5,059</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76,751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40" w:type="dxa"/>
            <w:vAlign w:val="bottom"/>
            <w:gridSpan w:val="7"/>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11,834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11,834</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Derecognition</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7"/>
          </w:tcPr>
          <w:p>
            <w:pPr>
              <w:jc w:val="right"/>
              <w:ind w:right="350"/>
              <w:spacing w:after="0"/>
              <w:rPr>
                <w:sz w:val="20"/>
                <w:szCs w:val="20"/>
                <w:color w:val="auto"/>
              </w:rPr>
            </w:pPr>
            <w:r>
              <w:rPr>
                <w:rFonts w:ascii="Times New Roman" w:cs="Times New Roman" w:eastAsia="Times New Roman" w:hAnsi="Times New Roman"/>
                <w:sz w:val="18"/>
                <w:szCs w:val="18"/>
                <w:color w:val="auto"/>
              </w:rPr>
              <w:t>(3,651)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5"/>
              </w:rPr>
              <w:t>(3,651)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movement in exchange rates</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40" w:type="dxa"/>
            <w:vAlign w:val="bottom"/>
            <w:gridSpan w:val="7"/>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(2,041)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5"/>
              </w:rPr>
              <w:t>(2,041)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As of December 31, 2020</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Borders>
              <w:top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77,834</w:t>
            </w:r>
          </w:p>
        </w:tc>
        <w:tc>
          <w:tcPr>
            <w:tcW w:w="5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5,059</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82,893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40" w:type="dxa"/>
            <w:vAlign w:val="bottom"/>
            <w:gridSpan w:val="7"/>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51,137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3,675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54,812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Derecognition</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7"/>
          </w:tcPr>
          <w:p>
            <w:pPr>
              <w:jc w:val="right"/>
              <w:ind w:right="350"/>
              <w:spacing w:after="0"/>
              <w:rPr>
                <w:sz w:val="20"/>
                <w:szCs w:val="20"/>
                <w:color w:val="auto"/>
              </w:rPr>
            </w:pPr>
            <w:r>
              <w:rPr>
                <w:rFonts w:ascii="Times New Roman" w:cs="Times New Roman" w:eastAsia="Times New Roman" w:hAnsi="Times New Roman"/>
                <w:sz w:val="18"/>
                <w:szCs w:val="18"/>
                <w:color w:val="auto"/>
              </w:rPr>
              <w:t>(4,185)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5"/>
              </w:rPr>
              <w:t>(4,185)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movement in exchange rates</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(675)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As of December 31, 2021</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Borders>
              <w:top w:val="single" w:sz="8" w:color="auto"/>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124,111</w:t>
            </w:r>
          </w:p>
        </w:tc>
        <w:tc>
          <w:tcPr>
            <w:tcW w:w="5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8,734</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132,845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4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gridSpan w:val="3"/>
          </w:tcPr>
          <w:p>
            <w:pPr>
              <w:jc w:val="right"/>
              <w:ind w:right="1180"/>
              <w:spacing w:after="0"/>
              <w:rPr>
                <w:sz w:val="20"/>
                <w:szCs w:val="20"/>
                <w:color w:val="auto"/>
              </w:rPr>
            </w:pPr>
            <w:r>
              <w:rPr>
                <w:rFonts w:ascii="Times New Roman" w:cs="Times New Roman" w:eastAsia="Times New Roman" w:hAnsi="Times New Roman"/>
                <w:sz w:val="18"/>
                <w:szCs w:val="18"/>
                <w:color w:val="auto"/>
              </w:rPr>
              <w:t>F-38</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right"/>
              <w:ind w:right="481"/>
              <w:spacing w:after="0"/>
              <w:rPr>
                <w:sz w:val="20"/>
                <w:szCs w:val="20"/>
                <w:color w:val="auto"/>
              </w:rPr>
            </w:pPr>
            <w:r>
              <w:rPr>
                <w:rFonts w:ascii="Times New Roman" w:cs="Times New Roman" w:eastAsia="Times New Roman" w:hAnsi="Times New Roman"/>
                <w:sz w:val="14"/>
                <w:szCs w:val="14"/>
                <w:i w:val="1"/>
                <w:iCs w:val="1"/>
                <w:color w:val="auto"/>
              </w:rPr>
              <w:t>Property</w:t>
            </w:r>
          </w:p>
        </w:tc>
        <w:tc>
          <w:tcPr>
            <w:tcW w:w="1380" w:type="dxa"/>
            <w:vAlign w:val="bottom"/>
            <w:gridSpan w:val="4"/>
          </w:tcPr>
          <w:p>
            <w:pPr>
              <w:spacing w:after="0"/>
              <w:rPr>
                <w:sz w:val="20"/>
                <w:szCs w:val="20"/>
                <w:color w:val="auto"/>
              </w:rPr>
            </w:pPr>
            <w:r>
              <w:rPr>
                <w:rFonts w:ascii="Times New Roman" w:cs="Times New Roman" w:eastAsia="Times New Roman" w:hAnsi="Times New Roman"/>
                <w:sz w:val="14"/>
                <w:szCs w:val="14"/>
                <w:i w:val="1"/>
                <w:iCs w:val="1"/>
                <w:color w:val="auto"/>
              </w:rPr>
              <w:t>Motor vehicles</w:t>
            </w:r>
          </w:p>
        </w:tc>
        <w:tc>
          <w:tcPr>
            <w:tcW w:w="720" w:type="dxa"/>
            <w:vAlign w:val="bottom"/>
            <w:gridSpan w:val="2"/>
          </w:tcPr>
          <w:p>
            <w:pPr>
              <w:jc w:val="right"/>
              <w:ind w:right="181"/>
              <w:spacing w:after="0"/>
              <w:rPr>
                <w:sz w:val="20"/>
                <w:szCs w:val="20"/>
                <w:color w:val="auto"/>
              </w:rPr>
            </w:pPr>
            <w:r>
              <w:rPr>
                <w:rFonts w:ascii="Times New Roman" w:cs="Times New Roman" w:eastAsia="Times New Roman" w:hAnsi="Times New Roman"/>
                <w:sz w:val="14"/>
                <w:szCs w:val="14"/>
                <w:i w:val="1"/>
                <w:iCs w:val="1"/>
                <w:color w:val="auto"/>
              </w:rPr>
              <w:t>Total</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520" w:type="dxa"/>
            <w:vAlign w:val="bottom"/>
          </w:tcPr>
          <w:p>
            <w:pPr>
              <w:spacing w:after="0"/>
              <w:rPr>
                <w:sz w:val="12"/>
                <w:szCs w:val="12"/>
                <w:color w:val="auto"/>
              </w:rPr>
            </w:pPr>
          </w:p>
        </w:tc>
        <w:tc>
          <w:tcPr>
            <w:tcW w:w="860" w:type="dxa"/>
            <w:vAlign w:val="bottom"/>
            <w:tcBorders>
              <w:top w:val="single" w:sz="8" w:color="auto"/>
            </w:tcBorders>
            <w:gridSpan w:val="2"/>
          </w:tcPr>
          <w:p>
            <w:pPr>
              <w:jc w:val="right"/>
              <w:ind w:right="53"/>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January 1, 2020</w:t>
            </w:r>
          </w:p>
        </w:tc>
        <w:tc>
          <w:tcPr>
            <w:tcW w:w="1340" w:type="dxa"/>
            <w:vAlign w:val="bottom"/>
            <w:gridSpan w:val="3"/>
          </w:tcPr>
          <w:p>
            <w:pPr>
              <w:jc w:val="right"/>
              <w:ind w:right="381"/>
              <w:spacing w:after="0"/>
              <w:rPr>
                <w:sz w:val="20"/>
                <w:szCs w:val="20"/>
                <w:color w:val="auto"/>
              </w:rPr>
            </w:pPr>
            <w:r>
              <w:rPr>
                <w:rFonts w:ascii="Times New Roman" w:cs="Times New Roman" w:eastAsia="Times New Roman" w:hAnsi="Times New Roman"/>
                <w:sz w:val="18"/>
                <w:szCs w:val="18"/>
                <w:color w:val="auto"/>
              </w:rPr>
              <w:t>(11,783)</w:t>
            </w:r>
          </w:p>
        </w:tc>
        <w:tc>
          <w:tcPr>
            <w:tcW w:w="122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(11,825)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 for the year</w:t>
            </w:r>
          </w:p>
        </w:tc>
        <w:tc>
          <w:tcPr>
            <w:tcW w:w="1340" w:type="dxa"/>
            <w:vAlign w:val="bottom"/>
            <w:gridSpan w:val="3"/>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color w:val="auto"/>
              </w:rPr>
              <w:t>(17,993)</w:t>
            </w:r>
          </w:p>
        </w:tc>
        <w:tc>
          <w:tcPr>
            <w:tcW w:w="1220" w:type="dxa"/>
            <w:vAlign w:val="bottom"/>
            <w:tcBorders>
              <w:right w:val="single" w:sz="8" w:color="CCEEFF"/>
            </w:tcBorders>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(930)</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(18,923)</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Derecognition</w:t>
            </w:r>
          </w:p>
        </w:tc>
        <w:tc>
          <w:tcPr>
            <w:tcW w:w="1340" w:type="dxa"/>
            <w:vAlign w:val="bottom"/>
            <w:gridSpan w:val="3"/>
          </w:tcPr>
          <w:p>
            <w:pPr>
              <w:jc w:val="right"/>
              <w:ind w:right="441"/>
              <w:spacing w:after="0"/>
              <w:rPr>
                <w:sz w:val="20"/>
                <w:szCs w:val="20"/>
                <w:color w:val="auto"/>
              </w:rPr>
            </w:pPr>
            <w:r>
              <w:rPr>
                <w:rFonts w:ascii="Times New Roman" w:cs="Times New Roman" w:eastAsia="Times New Roman" w:hAnsi="Times New Roman"/>
                <w:sz w:val="18"/>
                <w:szCs w:val="18"/>
                <w:color w:val="auto"/>
              </w:rPr>
              <w:t>3,651</w:t>
            </w:r>
          </w:p>
        </w:tc>
        <w:tc>
          <w:tcPr>
            <w:tcW w:w="320" w:type="dxa"/>
            <w:vAlign w:val="bottom"/>
          </w:tcPr>
          <w:p>
            <w:pPr>
              <w:spacing w:after="0"/>
              <w:rPr>
                <w:sz w:val="18"/>
                <w:szCs w:val="18"/>
                <w:color w:val="auto"/>
              </w:rPr>
            </w:pPr>
          </w:p>
        </w:tc>
        <w:tc>
          <w:tcPr>
            <w:tcW w:w="10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3,651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movement in exchange rates</w:t>
            </w:r>
          </w:p>
        </w:tc>
        <w:tc>
          <w:tcPr>
            <w:tcW w:w="1340" w:type="dxa"/>
            <w:vAlign w:val="bottom"/>
            <w:gridSpan w:val="3"/>
            <w:shd w:val="clear" w:color="auto" w:fill="CCEEFF"/>
          </w:tcPr>
          <w:p>
            <w:pPr>
              <w:jc w:val="right"/>
              <w:ind w:right="441"/>
              <w:spacing w:after="0"/>
              <w:rPr>
                <w:sz w:val="20"/>
                <w:szCs w:val="20"/>
                <w:color w:val="auto"/>
              </w:rPr>
            </w:pPr>
            <w:r>
              <w:rPr>
                <w:rFonts w:ascii="Times New Roman" w:cs="Times New Roman" w:eastAsia="Times New Roman" w:hAnsi="Times New Roman"/>
                <w:sz w:val="18"/>
                <w:szCs w:val="18"/>
                <w:color w:val="auto"/>
              </w:rPr>
              <w:t>461</w:t>
            </w:r>
          </w:p>
        </w:tc>
        <w:tc>
          <w:tcPr>
            <w:tcW w:w="3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461</w:t>
            </w:r>
          </w:p>
        </w:tc>
        <w:tc>
          <w:tcPr>
            <w:tcW w:w="0" w:type="dxa"/>
            <w:vAlign w:val="bottom"/>
          </w:tcPr>
          <w:p>
            <w:pPr>
              <w:spacing w:after="0"/>
              <w:rPr>
                <w:sz w:val="1"/>
                <w:szCs w:val="1"/>
                <w:color w:val="auto"/>
              </w:rPr>
            </w:pPr>
          </w:p>
        </w:tc>
      </w:tr>
      <w:tr>
        <w:trPr>
          <w:trHeight w:val="223"/>
        </w:trPr>
        <w:tc>
          <w:tcPr>
            <w:tcW w:w="71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As of December 31, 2020</w:t>
            </w:r>
          </w:p>
        </w:tc>
        <w:tc>
          <w:tcPr>
            <w:tcW w:w="20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(25,664)</w:t>
            </w:r>
          </w:p>
        </w:tc>
        <w:tc>
          <w:tcPr>
            <w:tcW w:w="520" w:type="dxa"/>
            <w:vAlign w:val="bottom"/>
          </w:tcPr>
          <w:p>
            <w:pPr>
              <w:spacing w:after="0"/>
              <w:rPr>
                <w:sz w:val="19"/>
                <w:szCs w:val="19"/>
                <w:color w:val="auto"/>
              </w:rPr>
            </w:pPr>
          </w:p>
        </w:tc>
        <w:tc>
          <w:tcPr>
            <w:tcW w:w="8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(26,636)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 for the year</w:t>
            </w:r>
          </w:p>
        </w:tc>
        <w:tc>
          <w:tcPr>
            <w:tcW w:w="1340" w:type="dxa"/>
            <w:vAlign w:val="bottom"/>
            <w:gridSpan w:val="3"/>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color w:val="auto"/>
              </w:rPr>
              <w:t>(21,335)</w:t>
            </w:r>
          </w:p>
        </w:tc>
        <w:tc>
          <w:tcPr>
            <w:tcW w:w="1220" w:type="dxa"/>
            <w:vAlign w:val="bottom"/>
            <w:tcBorders>
              <w:right w:val="single" w:sz="8" w:color="CCEEFF"/>
            </w:tcBorders>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(1,040)</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Derecognition</w:t>
            </w:r>
          </w:p>
        </w:tc>
        <w:tc>
          <w:tcPr>
            <w:tcW w:w="1340" w:type="dxa"/>
            <w:vAlign w:val="bottom"/>
            <w:gridSpan w:val="3"/>
          </w:tcPr>
          <w:p>
            <w:pPr>
              <w:jc w:val="right"/>
              <w:ind w:right="441"/>
              <w:spacing w:after="0"/>
              <w:rPr>
                <w:sz w:val="20"/>
                <w:szCs w:val="20"/>
                <w:color w:val="auto"/>
              </w:rPr>
            </w:pPr>
            <w:r>
              <w:rPr>
                <w:rFonts w:ascii="Times New Roman" w:cs="Times New Roman" w:eastAsia="Times New Roman" w:hAnsi="Times New Roman"/>
                <w:sz w:val="18"/>
                <w:szCs w:val="18"/>
                <w:color w:val="auto"/>
              </w:rPr>
              <w:t>4,185</w:t>
            </w:r>
          </w:p>
        </w:tc>
        <w:tc>
          <w:tcPr>
            <w:tcW w:w="320" w:type="dxa"/>
            <w:vAlign w:val="bottom"/>
          </w:tcPr>
          <w:p>
            <w:pPr>
              <w:spacing w:after="0"/>
              <w:rPr>
                <w:sz w:val="18"/>
                <w:szCs w:val="18"/>
                <w:color w:val="auto"/>
              </w:rPr>
            </w:pPr>
          </w:p>
        </w:tc>
        <w:tc>
          <w:tcPr>
            <w:tcW w:w="10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4,185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movement in exchange rates</w:t>
            </w:r>
          </w:p>
        </w:tc>
        <w:tc>
          <w:tcPr>
            <w:tcW w:w="1340" w:type="dxa"/>
            <w:vAlign w:val="bottom"/>
            <w:gridSpan w:val="3"/>
            <w:shd w:val="clear" w:color="auto" w:fill="CCEEFF"/>
          </w:tcPr>
          <w:p>
            <w:pPr>
              <w:jc w:val="right"/>
              <w:ind w:right="441"/>
              <w:spacing w:after="0"/>
              <w:rPr>
                <w:sz w:val="20"/>
                <w:szCs w:val="20"/>
                <w:color w:val="auto"/>
              </w:rPr>
            </w:pPr>
            <w:r>
              <w:rPr>
                <w:rFonts w:ascii="Times New Roman" w:cs="Times New Roman" w:eastAsia="Times New Roman" w:hAnsi="Times New Roman"/>
                <w:sz w:val="18"/>
                <w:szCs w:val="18"/>
                <w:color w:val="auto"/>
              </w:rPr>
              <w:t>242</w:t>
            </w:r>
          </w:p>
        </w:tc>
        <w:tc>
          <w:tcPr>
            <w:tcW w:w="3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30"/>
        </w:trPr>
        <w:tc>
          <w:tcPr>
            <w:tcW w:w="71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As of December 31, 2021</w:t>
            </w:r>
          </w:p>
        </w:tc>
        <w:tc>
          <w:tcPr>
            <w:tcW w:w="20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(42,572</w:t>
            </w:r>
          </w:p>
        </w:tc>
        <w:tc>
          <w:tcPr>
            <w:tcW w:w="520" w:type="dxa"/>
            <w:vAlign w:val="bottom"/>
          </w:tcPr>
          <w:p>
            <w:pPr>
              <w:jc w:val="right"/>
              <w:ind w:right="3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(44,584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Carrying amounts:</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December 31, 2020</w:t>
            </w:r>
          </w:p>
        </w:tc>
        <w:tc>
          <w:tcPr>
            <w:tcW w:w="1340" w:type="dxa"/>
            <w:vAlign w:val="bottom"/>
            <w:gridSpan w:val="3"/>
          </w:tcPr>
          <w:p>
            <w:pPr>
              <w:jc w:val="right"/>
              <w:ind w:right="441"/>
              <w:spacing w:after="0"/>
              <w:rPr>
                <w:sz w:val="20"/>
                <w:szCs w:val="20"/>
                <w:color w:val="auto"/>
              </w:rPr>
            </w:pPr>
            <w:r>
              <w:rPr>
                <w:rFonts w:ascii="Times New Roman" w:cs="Times New Roman" w:eastAsia="Times New Roman" w:hAnsi="Times New Roman"/>
                <w:sz w:val="18"/>
                <w:szCs w:val="18"/>
                <w:color w:val="auto"/>
              </w:rPr>
              <w:t>52,170</w:t>
            </w:r>
          </w:p>
        </w:tc>
        <w:tc>
          <w:tcPr>
            <w:tcW w:w="122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4,087</w:t>
            </w:r>
          </w:p>
        </w:tc>
        <w:tc>
          <w:tcPr>
            <w:tcW w:w="160" w:type="dxa"/>
            <w:vAlign w:val="bottom"/>
          </w:tcPr>
          <w:p>
            <w:pPr>
              <w:spacing w:after="0"/>
              <w:rPr>
                <w:sz w:val="18"/>
                <w:szCs w:val="18"/>
                <w:color w:val="auto"/>
              </w:rPr>
            </w:pPr>
          </w:p>
        </w:tc>
        <w:tc>
          <w:tcPr>
            <w:tcW w:w="7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56,257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December 31, 2021</w:t>
            </w:r>
          </w:p>
        </w:tc>
        <w:tc>
          <w:tcPr>
            <w:tcW w:w="1340" w:type="dxa"/>
            <w:vAlign w:val="bottom"/>
            <w:gridSpan w:val="3"/>
            <w:shd w:val="clear" w:color="auto" w:fill="CCEEFF"/>
          </w:tcPr>
          <w:p>
            <w:pPr>
              <w:jc w:val="right"/>
              <w:ind w:right="441"/>
              <w:spacing w:after="0"/>
              <w:rPr>
                <w:sz w:val="20"/>
                <w:szCs w:val="20"/>
                <w:color w:val="auto"/>
              </w:rPr>
            </w:pPr>
            <w:r>
              <w:rPr>
                <w:rFonts w:ascii="Times New Roman" w:cs="Times New Roman" w:eastAsia="Times New Roman" w:hAnsi="Times New Roman"/>
                <w:sz w:val="18"/>
                <w:szCs w:val="18"/>
                <w:color w:val="auto"/>
              </w:rPr>
              <w:t>81,539</w:t>
            </w:r>
          </w:p>
        </w:tc>
        <w:tc>
          <w:tcPr>
            <w:tcW w:w="1220" w:type="dxa"/>
            <w:vAlign w:val="bottom"/>
            <w:tcBorders>
              <w:right w:val="single" w:sz="8" w:color="CCEEFF"/>
            </w:tcBorders>
            <w:gridSpan w:val="3"/>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6,722</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88,261</w:t>
            </w:r>
          </w:p>
        </w:tc>
        <w:tc>
          <w:tcPr>
            <w:tcW w:w="0" w:type="dxa"/>
            <w:vAlign w:val="bottom"/>
          </w:tcPr>
          <w:p>
            <w:pPr>
              <w:spacing w:after="0"/>
              <w:rPr>
                <w:sz w:val="1"/>
                <w:szCs w:val="1"/>
                <w:color w:val="auto"/>
              </w:rPr>
            </w:pPr>
          </w:p>
        </w:tc>
      </w:tr>
      <w:tr>
        <w:trPr>
          <w:trHeight w:val="20"/>
        </w:trPr>
        <w:tc>
          <w:tcPr>
            <w:tcW w:w="71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The analysis of expense items in relation to leases recognized in profit or loss is as follows:</w:t>
            </w: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12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20" w:type="dxa"/>
            <w:vAlign w:val="bottom"/>
            <w:gridSpan w:val="6"/>
          </w:tcPr>
          <w:p>
            <w:pPr>
              <w:ind w:left="80"/>
              <w:spacing w:after="0"/>
              <w:rPr>
                <w:sz w:val="20"/>
                <w:szCs w:val="20"/>
                <w:color w:val="auto"/>
              </w:rPr>
            </w:pPr>
            <w:r>
              <w:rPr>
                <w:rFonts w:ascii="Times New Roman" w:cs="Times New Roman" w:eastAsia="Times New Roman" w:hAnsi="Times New Roman"/>
                <w:sz w:val="14"/>
                <w:szCs w:val="14"/>
                <w:i w:val="1"/>
                <w:iCs w:val="1"/>
                <w:color w:val="auto"/>
              </w:rPr>
              <w:t>For the year ended December 31,</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800" w:type="dxa"/>
            <w:vAlign w:val="bottom"/>
          </w:tcPr>
          <w:p>
            <w:pPr>
              <w:spacing w:after="0"/>
              <w:rPr>
                <w:sz w:val="10"/>
                <w:szCs w:val="10"/>
                <w:color w:val="auto"/>
              </w:rPr>
            </w:pPr>
          </w:p>
        </w:tc>
        <w:tc>
          <w:tcPr>
            <w:tcW w:w="820" w:type="dxa"/>
            <w:vAlign w:val="bottom"/>
            <w:tcBorders>
              <w:top w:val="single" w:sz="8" w:color="auto"/>
            </w:tcBorders>
            <w:gridSpan w:val="2"/>
          </w:tcPr>
          <w:p>
            <w:pPr>
              <w:jc w:val="center"/>
              <w:spacing w:after="0" w:line="119" w:lineRule="exact"/>
              <w:rPr>
                <w:sz w:val="20"/>
                <w:szCs w:val="20"/>
                <w:color w:val="auto"/>
              </w:rPr>
            </w:pPr>
            <w:r>
              <w:rPr>
                <w:rFonts w:ascii="Times New Roman" w:cs="Times New Roman" w:eastAsia="Times New Roman" w:hAnsi="Times New Roman"/>
                <w:sz w:val="13"/>
                <w:szCs w:val="13"/>
                <w:i w:val="1"/>
                <w:iCs w:val="1"/>
                <w:color w:val="auto"/>
              </w:rPr>
              <w:t>2020</w:t>
            </w:r>
          </w:p>
        </w:tc>
        <w:tc>
          <w:tcPr>
            <w:tcW w:w="52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3"/>
          </w:tcPr>
          <w:p>
            <w:pPr>
              <w:jc w:val="center"/>
              <w:ind w:left="195"/>
              <w:spacing w:after="0" w:line="119" w:lineRule="exact"/>
              <w:rPr>
                <w:sz w:val="20"/>
                <w:szCs w:val="20"/>
                <w:color w:val="auto"/>
              </w:rPr>
            </w:pPr>
            <w:r>
              <w:rPr>
                <w:rFonts w:ascii="Times New Roman" w:cs="Times New Roman" w:eastAsia="Times New Roman" w:hAnsi="Times New Roman"/>
                <w:sz w:val="13"/>
                <w:szCs w:val="13"/>
                <w:i w:val="1"/>
                <w:iCs w:val="1"/>
                <w:color w:val="auto"/>
              </w:rPr>
              <w:t>2021</w:t>
            </w: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340" w:type="dxa"/>
            <w:vAlign w:val="bottom"/>
            <w:gridSpan w:val="3"/>
          </w:tcPr>
          <w:p>
            <w:pPr>
              <w:jc w:val="center"/>
              <w:ind w:right="441"/>
              <w:spacing w:after="0"/>
              <w:rPr>
                <w:sz w:val="20"/>
                <w:szCs w:val="20"/>
                <w:color w:val="auto"/>
              </w:rPr>
            </w:pPr>
            <w:r>
              <w:rPr>
                <w:rFonts w:ascii="Times New Roman" w:cs="Times New Roman" w:eastAsia="Times New Roman" w:hAnsi="Times New Roman"/>
                <w:sz w:val="14"/>
                <w:szCs w:val="14"/>
                <w:color w:val="auto"/>
              </w:rPr>
              <w:t>RMB’000</w:t>
            </w:r>
          </w:p>
        </w:tc>
        <w:tc>
          <w:tcPr>
            <w:tcW w:w="320" w:type="dxa"/>
            <w:vAlign w:val="bottom"/>
          </w:tcPr>
          <w:p>
            <w:pPr>
              <w:spacing w:after="0"/>
              <w:rPr>
                <w:sz w:val="14"/>
                <w:szCs w:val="14"/>
                <w:color w:val="auto"/>
              </w:rPr>
            </w:pPr>
          </w:p>
        </w:tc>
        <w:tc>
          <w:tcPr>
            <w:tcW w:w="10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color w:val="auto"/>
              </w:rPr>
              <w:t>RMB’000</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charge of right-of-use assets by class of underlying asset:</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Properties</w:t>
            </w:r>
          </w:p>
        </w:tc>
        <w:tc>
          <w:tcPr>
            <w:tcW w:w="1340" w:type="dxa"/>
            <w:vAlign w:val="bottom"/>
            <w:gridSpan w:val="3"/>
          </w:tcPr>
          <w:p>
            <w:pPr>
              <w:jc w:val="right"/>
              <w:ind w:right="441"/>
              <w:spacing w:after="0"/>
              <w:rPr>
                <w:sz w:val="20"/>
                <w:szCs w:val="20"/>
                <w:color w:val="auto"/>
              </w:rPr>
            </w:pPr>
            <w:r>
              <w:rPr>
                <w:rFonts w:ascii="Times New Roman" w:cs="Times New Roman" w:eastAsia="Times New Roman" w:hAnsi="Times New Roman"/>
                <w:sz w:val="18"/>
                <w:szCs w:val="18"/>
                <w:color w:val="auto"/>
              </w:rPr>
              <w:t>17,993</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21,335</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1340" w:type="dxa"/>
            <w:vAlign w:val="bottom"/>
            <w:gridSpan w:val="3"/>
            <w:shd w:val="clear" w:color="auto" w:fill="CCEEFF"/>
          </w:tcPr>
          <w:p>
            <w:pPr>
              <w:jc w:val="right"/>
              <w:ind w:right="441"/>
              <w:spacing w:after="0"/>
              <w:rPr>
                <w:sz w:val="20"/>
                <w:szCs w:val="20"/>
                <w:color w:val="auto"/>
              </w:rPr>
            </w:pPr>
            <w:r>
              <w:rPr>
                <w:rFonts w:ascii="Times New Roman" w:cs="Times New Roman" w:eastAsia="Times New Roman" w:hAnsi="Times New Roman"/>
                <w:sz w:val="18"/>
                <w:szCs w:val="18"/>
                <w:color w:val="auto"/>
              </w:rPr>
              <w:t>930</w:t>
            </w:r>
          </w:p>
        </w:tc>
        <w:tc>
          <w:tcPr>
            <w:tcW w:w="12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82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18,923</w:t>
            </w: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22,375</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Interest on lease liabilities (Note 19(c))</w:t>
            </w:r>
          </w:p>
        </w:tc>
        <w:tc>
          <w:tcPr>
            <w:tcW w:w="1340" w:type="dxa"/>
            <w:vAlign w:val="bottom"/>
            <w:gridSpan w:val="3"/>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0" w:type="dxa"/>
            <w:vAlign w:val="bottom"/>
            <w:vMerge w:val="continue"/>
          </w:tcPr>
          <w:p>
            <w:pPr>
              <w:spacing w:after="0"/>
              <w:rPr>
                <w:sz w:val="18"/>
                <w:szCs w:val="18"/>
                <w:color w:val="auto"/>
              </w:rPr>
            </w:pPr>
          </w:p>
        </w:tc>
        <w:tc>
          <w:tcPr>
            <w:tcW w:w="8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3,202</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3,147</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Expense relating to short-term leases and other leases with remaining</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term ending on or before December 31</w:t>
            </w:r>
          </w:p>
        </w:tc>
        <w:tc>
          <w:tcPr>
            <w:tcW w:w="1340" w:type="dxa"/>
            <w:vAlign w:val="bottom"/>
            <w:gridSpan w:val="3"/>
            <w:shd w:val="clear" w:color="auto" w:fill="CCEEFF"/>
          </w:tcPr>
          <w:p>
            <w:pPr>
              <w:jc w:val="right"/>
              <w:ind w:right="441"/>
              <w:spacing w:after="0"/>
              <w:rPr>
                <w:sz w:val="20"/>
                <w:szCs w:val="20"/>
                <w:color w:val="auto"/>
              </w:rPr>
            </w:pPr>
            <w:r>
              <w:rPr>
                <w:rFonts w:ascii="Times New Roman" w:cs="Times New Roman" w:eastAsia="Times New Roman" w:hAnsi="Times New Roman"/>
                <w:sz w:val="18"/>
                <w:szCs w:val="18"/>
                <w:color w:val="auto"/>
              </w:rPr>
              <w:t>329</w:t>
            </w:r>
          </w:p>
        </w:tc>
        <w:tc>
          <w:tcPr>
            <w:tcW w:w="12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COVID-19-related rent concessions</w:t>
            </w:r>
          </w:p>
        </w:tc>
        <w:tc>
          <w:tcPr>
            <w:tcW w:w="1340" w:type="dxa"/>
            <w:vAlign w:val="bottom"/>
            <w:gridSpan w:val="3"/>
          </w:tcPr>
          <w:p>
            <w:pPr>
              <w:jc w:val="right"/>
              <w:ind w:right="381"/>
              <w:spacing w:after="0"/>
              <w:rPr>
                <w:sz w:val="20"/>
                <w:szCs w:val="20"/>
                <w:color w:val="auto"/>
              </w:rPr>
            </w:pPr>
            <w:r>
              <w:rPr>
                <w:rFonts w:ascii="Times New Roman" w:cs="Times New Roman" w:eastAsia="Times New Roman" w:hAnsi="Times New Roman"/>
                <w:sz w:val="18"/>
                <w:szCs w:val="18"/>
                <w:color w:val="auto"/>
              </w:rPr>
              <w:t>(654)</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Details of total cash outflow for leases and the maturity analysis of lease liabilities are set out in Notes 19(c) and 20, respectively.</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 Properties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Group leases properties for its offices and parking space. The leases of offices and parking space typically run for a period of one to five years.</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(ii) Vehicles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Group leases vehicles under financing lease, with lease terms of five years.</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(iii) Covid-19-related rent concessions</w:t>
      </w:r>
    </w:p>
    <w:p>
      <w:pPr>
        <w:spacing w:after="0" w:line="115" w:lineRule="exact"/>
        <w:rPr>
          <w:sz w:val="20"/>
          <w:szCs w:val="20"/>
          <w:color w:val="auto"/>
        </w:rPr>
      </w:pPr>
    </w:p>
    <w:p>
      <w:pPr>
        <w:ind w:left="120"/>
        <w:spacing w:after="0" w:line="267" w:lineRule="auto"/>
        <w:rPr>
          <w:sz w:val="20"/>
          <w:szCs w:val="20"/>
          <w:color w:val="auto"/>
        </w:rPr>
      </w:pPr>
      <w:r>
        <w:rPr>
          <w:rFonts w:ascii="Times New Roman" w:cs="Times New Roman" w:eastAsia="Times New Roman" w:hAnsi="Times New Roman"/>
          <w:sz w:val="18"/>
          <w:szCs w:val="18"/>
          <w:color w:val="auto"/>
        </w:rPr>
        <w:t xml:space="preserve">As disclosed in Note 2(e), the Group has early adopted the Amendment to IFRS 16,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Covid-19-Related Rent Concessions</w:t>
      </w:r>
      <w:r>
        <w:rPr>
          <w:rFonts w:ascii="Times New Roman" w:cs="Times New Roman" w:eastAsia="Times New Roman" w:hAnsi="Times New Roman"/>
          <w:sz w:val="18"/>
          <w:szCs w:val="18"/>
          <w:color w:val="auto"/>
        </w:rPr>
        <w:t>, and has applied the practical expedient introduced by the Amendment to all eligible rent concessions received by the Group during the year ended December 31, 2020. The Group did not receive any Covid-19 related rent concessions during the year ended December 31, 2021.</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020"/>
          </w:cols>
          <w:pgMar w:left="320" w:top="455" w:right="55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13</w:t>
        <w:tab/>
        <w:t>Intangible assets</w:t>
      </w:r>
    </w:p>
    <w:p>
      <w:pPr>
        <w:spacing w:after="0" w:line="250"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i w:val="1"/>
                <w:iCs w:val="1"/>
                <w:color w:val="auto"/>
              </w:rPr>
              <w:t>Patent</w:t>
            </w:r>
          </w:p>
        </w:tc>
        <w:tc>
          <w:tcPr>
            <w:tcW w:w="200" w:type="dxa"/>
            <w:vAlign w:val="bottom"/>
          </w:tcPr>
          <w:p>
            <w:pPr>
              <w:spacing w:after="0"/>
              <w:rPr>
                <w:sz w:val="15"/>
                <w:szCs w:val="15"/>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i w:val="1"/>
                <w:iCs w:val="1"/>
                <w:color w:val="auto"/>
              </w:rPr>
              <w:t>Software</w:t>
            </w:r>
          </w:p>
        </w:tc>
        <w:tc>
          <w:tcPr>
            <w:tcW w:w="220" w:type="dxa"/>
            <w:vAlign w:val="bottom"/>
          </w:tcPr>
          <w:p>
            <w:pPr>
              <w:spacing w:after="0"/>
              <w:rPr>
                <w:sz w:val="15"/>
                <w:szCs w:val="15"/>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i w:val="1"/>
                <w:iCs w:val="1"/>
                <w:color w:val="auto"/>
              </w:rPr>
              <w:t>Total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RMB’000</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RMB’000</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RMB’000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8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As of January 1, 2020</w:t>
            </w:r>
          </w:p>
        </w:tc>
        <w:tc>
          <w:tcPr>
            <w:tcW w:w="18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2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w:t>
            </w:r>
          </w:p>
        </w:tc>
        <w:tc>
          <w:tcPr>
            <w:tcW w:w="18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Effect of movement in exchange rates</w:t>
            </w:r>
          </w:p>
        </w:tc>
        <w:tc>
          <w:tcPr>
            <w:tcW w:w="18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(78)</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560" w:type="dxa"/>
            <w:vAlign w:val="bottom"/>
          </w:tcPr>
          <w:p>
            <w:pPr>
              <w:spacing w:after="0"/>
              <w:rPr>
                <w:sz w:val="5"/>
                <w:szCs w:val="5"/>
                <w:color w:val="auto"/>
              </w:rPr>
            </w:pPr>
          </w:p>
        </w:tc>
        <w:tc>
          <w:tcPr>
            <w:tcW w:w="1840" w:type="dxa"/>
            <w:vAlign w:val="bottom"/>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December 31, 2020</w:t>
            </w:r>
          </w:p>
        </w:tc>
        <w:tc>
          <w:tcPr>
            <w:tcW w:w="18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Purchases</w:t>
            </w:r>
          </w:p>
        </w:tc>
        <w:tc>
          <w:tcPr>
            <w:tcW w:w="18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2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acquisition (Note 29)</w:t>
            </w:r>
          </w:p>
        </w:tc>
        <w:tc>
          <w:tcPr>
            <w:tcW w:w="2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Disposals</w:t>
            </w:r>
          </w:p>
        </w:tc>
        <w:tc>
          <w:tcPr>
            <w:tcW w:w="18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(167)</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movement in exchange rates</w:t>
            </w:r>
          </w:p>
        </w:tc>
        <w:tc>
          <w:tcPr>
            <w:tcW w:w="18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77"/>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December 31, 2021</w:t>
            </w:r>
          </w:p>
        </w:tc>
        <w:tc>
          <w:tcPr>
            <w:tcW w:w="1840" w:type="dxa"/>
            <w:vAlign w:val="bottom"/>
          </w:tcPr>
          <w:p>
            <w:pPr>
              <w:spacing w:after="0"/>
              <w:rPr>
                <w:sz w:val="24"/>
                <w:szCs w:val="2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31,900</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34,167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560" w:type="dxa"/>
            <w:vAlign w:val="bottom"/>
          </w:tcPr>
          <w:p>
            <w:pPr>
              <w:spacing w:after="0"/>
              <w:rPr>
                <w:sz w:val="5"/>
                <w:szCs w:val="5"/>
                <w:color w:val="auto"/>
              </w:rPr>
            </w:pPr>
          </w:p>
        </w:tc>
        <w:tc>
          <w:tcPr>
            <w:tcW w:w="18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amortization:</w:t>
            </w:r>
          </w:p>
        </w:tc>
        <w:tc>
          <w:tcPr>
            <w:tcW w:w="18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As of January 1, 2020</w:t>
            </w:r>
          </w:p>
        </w:tc>
        <w:tc>
          <w:tcPr>
            <w:tcW w:w="18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(967)</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8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(179)</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Effect of movement in exchange rates</w:t>
            </w:r>
          </w:p>
        </w:tc>
        <w:tc>
          <w:tcPr>
            <w:tcW w:w="18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560" w:type="dxa"/>
            <w:vAlign w:val="bottom"/>
          </w:tcPr>
          <w:p>
            <w:pPr>
              <w:spacing w:after="0"/>
              <w:rPr>
                <w:sz w:val="5"/>
                <w:szCs w:val="5"/>
                <w:color w:val="auto"/>
              </w:rPr>
            </w:pPr>
          </w:p>
        </w:tc>
        <w:tc>
          <w:tcPr>
            <w:tcW w:w="1840" w:type="dxa"/>
            <w:vAlign w:val="bottom"/>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December 31, 2020</w:t>
            </w:r>
          </w:p>
        </w:tc>
        <w:tc>
          <w:tcPr>
            <w:tcW w:w="18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(1,080)</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27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(1,994)</w:t>
            </w:r>
          </w:p>
        </w:tc>
        <w:tc>
          <w:tcPr>
            <w:tcW w:w="10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(123)</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Disposals</w:t>
            </w:r>
          </w:p>
        </w:tc>
        <w:tc>
          <w:tcPr>
            <w:tcW w:w="18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Effect of movement in exchange rates</w:t>
            </w:r>
          </w:p>
        </w:tc>
        <w:tc>
          <w:tcPr>
            <w:tcW w:w="18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560" w:type="dxa"/>
            <w:vAlign w:val="bottom"/>
          </w:tcPr>
          <w:p>
            <w:pPr>
              <w:spacing w:after="0"/>
              <w:rPr>
                <w:sz w:val="5"/>
                <w:szCs w:val="5"/>
                <w:color w:val="auto"/>
              </w:rPr>
            </w:pPr>
          </w:p>
        </w:tc>
        <w:tc>
          <w:tcPr>
            <w:tcW w:w="1840" w:type="dxa"/>
            <w:vAlign w:val="bottom"/>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December 31, 2021</w:t>
            </w:r>
          </w:p>
        </w:tc>
        <w:tc>
          <w:tcPr>
            <w:tcW w:w="27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(1,994)</w:t>
            </w:r>
          </w:p>
        </w:tc>
        <w:tc>
          <w:tcPr>
            <w:tcW w:w="10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(1,179)</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(3,173)</w:t>
            </w: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Carrying amounts:</w:t>
            </w:r>
          </w:p>
        </w:tc>
        <w:tc>
          <w:tcPr>
            <w:tcW w:w="18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580" w:type="dxa"/>
            <w:vAlign w:val="bottom"/>
            <w:gridSpan w:val="2"/>
            <w:vMerge w:val="continue"/>
          </w:tcPr>
          <w:p>
            <w:pPr>
              <w:spacing w:after="0"/>
              <w:rPr>
                <w:sz w:val="22"/>
                <w:szCs w:val="22"/>
                <w:color w:val="auto"/>
              </w:rPr>
            </w:pPr>
          </w:p>
        </w:tc>
        <w:tc>
          <w:tcPr>
            <w:tcW w:w="18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8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December 31, 2020</w:t>
            </w:r>
          </w:p>
        </w:tc>
        <w:tc>
          <w:tcPr>
            <w:tcW w:w="184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December 31, 2021</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29,906</w:t>
            </w:r>
          </w:p>
        </w:tc>
        <w:tc>
          <w:tcPr>
            <w:tcW w:w="26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26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30,994</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14</w:t>
        <w:tab/>
        <w:t>Goodwill</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Group’s goodwill arising from the business acquisition in 2021 is described in Note 29. As the acquisition gives an extra boost to the Group’s research and development capabilities, the business of the acquired companies is integrated into the Group’s businesses to provide autonomous driving technology related solutions after the business acquisition. The Group has determined that the overall business constitutes one single CGU, named Auto-driving CGU. All the goodwill has been allocated to the Auto-driving CGU.</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Impairment test of goodwill</w:t>
      </w:r>
    </w:p>
    <w:p>
      <w:pPr>
        <w:spacing w:after="0" w:line="117"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recoverable amounts of the Auto-driving CGU are determined based on the higher of value-in-use and the fair value less costs of disposal. These calculations use cash flow projections based on financial budgets approved by the management covering a period of five years. Cash flows beyond the budget period are extrapolated using an estimated growth rate of 3% which is consistent with long-term average growth rates for the business in which the Auto-driving CGU operates. The cash flows are discounted using a discount rate of 20%. The discount rate used is pre-tax and reflects specific risks relating to the Auto-driving CGU.</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120"/>
          </w:cols>
          <w:pgMar w:left="320" w:top="455" w:right="45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89" w:lineRule="auto"/>
        <w:rPr>
          <w:sz w:val="20"/>
          <w:szCs w:val="20"/>
          <w:color w:val="auto"/>
        </w:rPr>
      </w:pPr>
      <w:r>
        <w:rPr>
          <w:rFonts w:ascii="Times New Roman" w:cs="Times New Roman" w:eastAsia="Times New Roman" w:hAnsi="Times New Roman"/>
          <w:sz w:val="17"/>
          <w:szCs w:val="17"/>
          <w:color w:val="auto"/>
        </w:rPr>
        <w:t>Based on the impairment test performed, the recoverable amount of the Auto-driving CGU exceeded the carrying amount as of December 31, 2021. Therefore, management determined that goodwill was not impaired as of December 31, 2021. Based on the management’s expectations reasonably possible changes in key assumptions disclosed above would not cause the carrying amount of the Auto-driving CGU to exceed its recoverable amount.</w:t>
      </w:r>
    </w:p>
    <w:p>
      <w:pPr>
        <w:spacing w:after="0" w:line="302"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15</w:t>
        <w:tab/>
        <w:t>Restricted cash</w:t>
      </w:r>
    </w:p>
    <w:p>
      <w:pPr>
        <w:spacing w:after="0" w:line="250"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600" w:type="dxa"/>
            <w:vAlign w:val="bottom"/>
          </w:tcPr>
          <w:p>
            <w:pPr>
              <w:spacing w:after="0"/>
              <w:rPr>
                <w:sz w:val="15"/>
                <w:szCs w:val="15"/>
                <w:color w:val="auto"/>
              </w:rPr>
            </w:pPr>
          </w:p>
        </w:tc>
        <w:tc>
          <w:tcPr>
            <w:tcW w:w="176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i w:val="1"/>
                <w:iCs w:val="1"/>
                <w:color w:val="auto"/>
              </w:rPr>
              <w:t>As of December 31,</w:t>
            </w:r>
          </w:p>
        </w:tc>
      </w:tr>
      <w:tr>
        <w:trPr>
          <w:trHeight w:val="119"/>
        </w:trPr>
        <w:tc>
          <w:tcPr>
            <w:tcW w:w="6600" w:type="dxa"/>
            <w:vAlign w:val="bottom"/>
          </w:tcPr>
          <w:p>
            <w:pPr>
              <w:spacing w:after="0"/>
              <w:rPr>
                <w:sz w:val="10"/>
                <w:szCs w:val="10"/>
                <w:color w:val="auto"/>
              </w:rPr>
            </w:pPr>
          </w:p>
        </w:tc>
        <w:tc>
          <w:tcPr>
            <w:tcW w:w="60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i w:val="1"/>
                <w:iCs w:val="1"/>
                <w:color w:val="auto"/>
              </w:rPr>
              <w:t>2020</w:t>
            </w:r>
          </w:p>
        </w:tc>
        <w:tc>
          <w:tcPr>
            <w:tcW w:w="4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i w:val="1"/>
                <w:iCs w:val="1"/>
                <w:color w:val="auto"/>
              </w:rPr>
              <w:t>2021</w:t>
            </w:r>
          </w:p>
        </w:tc>
        <w:tc>
          <w:tcPr>
            <w:tcW w:w="60" w:type="dxa"/>
            <w:vAlign w:val="bottom"/>
          </w:tcPr>
          <w:p>
            <w:pPr>
              <w:spacing w:after="0"/>
              <w:rPr>
                <w:sz w:val="10"/>
                <w:szCs w:val="10"/>
                <w:color w:val="auto"/>
              </w:rPr>
            </w:pPr>
          </w:p>
        </w:tc>
      </w:tr>
      <w:tr>
        <w:trPr>
          <w:trHeight w:val="188"/>
        </w:trPr>
        <w:tc>
          <w:tcPr>
            <w:tcW w:w="6600" w:type="dxa"/>
            <w:vAlign w:val="bottom"/>
          </w:tcPr>
          <w:p>
            <w:pPr>
              <w:spacing w:after="0"/>
              <w:rPr>
                <w:sz w:val="16"/>
                <w:szCs w:val="16"/>
                <w:color w:val="auto"/>
              </w:rPr>
            </w:pPr>
          </w:p>
        </w:tc>
        <w:tc>
          <w:tcPr>
            <w:tcW w:w="10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color w:val="auto"/>
              </w:rPr>
              <w:t>RMB’000</w:t>
            </w:r>
          </w:p>
        </w:tc>
        <w:tc>
          <w:tcPr>
            <w:tcW w:w="6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RMB’000</w:t>
            </w:r>
          </w:p>
        </w:tc>
      </w:tr>
      <w:tr>
        <w:trPr>
          <w:trHeight w:val="37"/>
        </w:trPr>
        <w:tc>
          <w:tcPr>
            <w:tcW w:w="6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Deposits for renting office (Note (i))</w:t>
            </w: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12,084</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10,074</w:t>
            </w:r>
          </w:p>
        </w:tc>
      </w:tr>
      <w:tr>
        <w:trPr>
          <w:trHeight w:val="20"/>
        </w:trPr>
        <w:tc>
          <w:tcPr>
            <w:tcW w:w="66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
        </w:trPr>
        <w:tc>
          <w:tcPr>
            <w:tcW w:w="6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Pledged deposits (Note (ii))</w:t>
            </w: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46,800</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 for renting office (Note (i))</w:t>
            </w:r>
          </w:p>
        </w:tc>
        <w:tc>
          <w:tcPr>
            <w:tcW w:w="10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1,734</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Credit card deposits</w:t>
            </w: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1,305</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1,275</w:t>
            </w:r>
          </w:p>
        </w:tc>
      </w:tr>
      <w:tr>
        <w:trPr>
          <w:trHeight w:val="223"/>
        </w:trPr>
        <w:tc>
          <w:tcPr>
            <w:tcW w:w="66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48,105</w:t>
            </w:r>
          </w:p>
        </w:tc>
        <w:tc>
          <w:tcPr>
            <w:tcW w:w="4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3,009</w:t>
            </w:r>
          </w:p>
        </w:tc>
        <w:tc>
          <w:tcPr>
            <w:tcW w:w="6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w:t>
      </w:r>
    </w:p>
    <w:p>
      <w:pPr>
        <w:spacing w:after="0" w:line="131" w:lineRule="exact"/>
        <w:rPr>
          <w:sz w:val="20"/>
          <w:szCs w:val="20"/>
          <w:color w:val="auto"/>
        </w:rPr>
      </w:pPr>
    </w:p>
    <w:p>
      <w:pPr>
        <w:ind w:left="540" w:hanging="424"/>
        <w:spacing w:after="0"/>
        <w:tabs>
          <w:tab w:leader="none" w:pos="54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 for renting office represents cash held in collateral bank accounts in the U.S. with designated usage of deposits for renting office.</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Pledged deposits represent the deposits to facilitate bank loan (see Note 25(ii)).</w:t>
      </w:r>
    </w:p>
    <w:p>
      <w:pPr>
        <w:spacing w:after="0" w:line="37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16</w:t>
            </w:r>
          </w:p>
        </w:tc>
        <w:tc>
          <w:tcPr>
            <w:tcW w:w="75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38"/>
        </w:trPr>
        <w:tc>
          <w:tcPr>
            <w:tcW w:w="7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(a)   Inventories in the consolidated statements of financial position comprise:</w:t>
            </w: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1"/>
        </w:trPr>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186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i w:val="1"/>
                <w:iCs w:val="1"/>
                <w:color w:val="auto"/>
              </w:rPr>
              <w:t>As of December 31,</w:t>
            </w:r>
          </w:p>
        </w:tc>
      </w:tr>
      <w:tr>
        <w:trPr>
          <w:trHeight w:val="119"/>
        </w:trPr>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500" w:type="dxa"/>
            <w:vAlign w:val="bottom"/>
          </w:tcPr>
          <w:p>
            <w:pPr>
              <w:spacing w:after="0"/>
              <w:rPr>
                <w:sz w:val="10"/>
                <w:szCs w:val="10"/>
                <w:color w:val="auto"/>
              </w:rPr>
            </w:pPr>
          </w:p>
        </w:tc>
        <w:tc>
          <w:tcPr>
            <w:tcW w:w="680" w:type="dxa"/>
            <w:vAlign w:val="bottom"/>
            <w:tcBorders>
              <w:top w:val="single" w:sz="8" w:color="auto"/>
            </w:tcBorders>
          </w:tcPr>
          <w:p>
            <w:pPr>
              <w:jc w:val="right"/>
              <w:ind w:right="120"/>
              <w:spacing w:after="0" w:line="119" w:lineRule="exact"/>
              <w:rPr>
                <w:sz w:val="20"/>
                <w:szCs w:val="20"/>
                <w:color w:val="auto"/>
              </w:rPr>
            </w:pPr>
            <w:r>
              <w:rPr>
                <w:rFonts w:ascii="Times New Roman" w:cs="Times New Roman" w:eastAsia="Times New Roman" w:hAnsi="Times New Roman"/>
                <w:sz w:val="13"/>
                <w:szCs w:val="13"/>
                <w:i w:val="1"/>
                <w:iCs w:val="1"/>
                <w:color w:val="auto"/>
              </w:rPr>
              <w:t>2020</w:t>
            </w:r>
          </w:p>
        </w:tc>
        <w:tc>
          <w:tcPr>
            <w:tcW w:w="3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ind w:right="138"/>
              <w:spacing w:after="0" w:line="119" w:lineRule="exact"/>
              <w:rPr>
                <w:sz w:val="20"/>
                <w:szCs w:val="20"/>
                <w:color w:val="auto"/>
              </w:rPr>
            </w:pPr>
            <w:r>
              <w:rPr>
                <w:rFonts w:ascii="Times New Roman" w:cs="Times New Roman" w:eastAsia="Times New Roman" w:hAnsi="Times New Roman"/>
                <w:sz w:val="13"/>
                <w:szCs w:val="13"/>
                <w:i w:val="1"/>
                <w:iCs w:val="1"/>
                <w:color w:val="auto"/>
              </w:rPr>
              <w:t>2021</w:t>
            </w:r>
          </w:p>
        </w:tc>
        <w:tc>
          <w:tcPr>
            <w:tcW w:w="60" w:type="dxa"/>
            <w:vAlign w:val="bottom"/>
          </w:tcPr>
          <w:p>
            <w:pPr>
              <w:spacing w:after="0"/>
              <w:rPr>
                <w:sz w:val="10"/>
                <w:szCs w:val="10"/>
                <w:color w:val="auto"/>
              </w:rPr>
            </w:pPr>
          </w:p>
        </w:tc>
      </w:tr>
      <w:tr>
        <w:trPr>
          <w:trHeight w:val="171"/>
        </w:trPr>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RMB’000</w:t>
            </w:r>
          </w:p>
        </w:tc>
        <w:tc>
          <w:tcPr>
            <w:tcW w:w="8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RMB’000</w:t>
            </w:r>
          </w:p>
        </w:tc>
      </w:tr>
      <w:tr>
        <w:trPr>
          <w:trHeight w:val="216"/>
        </w:trPr>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supplies *</w:t>
            </w: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22,201</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66,283</w:t>
            </w:r>
          </w:p>
        </w:tc>
      </w:tr>
      <w:tr>
        <w:trPr>
          <w:trHeight w:val="216"/>
        </w:trPr>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48,270</w:t>
            </w:r>
          </w:p>
        </w:tc>
      </w:tr>
      <w:tr>
        <w:trPr>
          <w:trHeight w:val="27"/>
        </w:trPr>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22,201</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114,553</w:t>
            </w:r>
          </w:p>
        </w:tc>
      </w:tr>
      <w:tr>
        <w:trPr>
          <w:trHeight w:val="20"/>
        </w:trPr>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hanging="424"/>
        <w:spacing w:after="0" w:line="258" w:lineRule="auto"/>
        <w:tabs>
          <w:tab w:leader="none" w:pos="54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entered into agreements for the sale of sensor suites with Zhengzhou Yutong Bus Co., Ltd. and Zhengzhou Yutong Heavy Industry Co., Ltd., affiliates of a shareholder. As the Group has a right to repurchase the sensor suites, the Group does not recognize revenue until the repurchase right no longer exists, which is generally the point in time when the customer consumes or resells the products to another party. RMB11.4 million and RMB40.7 million of sensor suites transferred and held by Zhengzhou Yutong Bus Co., Ltd. and Zhengzhou Yutong Heavy Industry Co., Ltd., are included in inventories as of December 31, 2020 and 2021, respectively.</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120"/>
          </w:cols>
          <w:pgMar w:left="320" w:top="455" w:right="459"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19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The analysis of the amount of inventories recognized as an expense and included in profit or loss is as follows:</w:t>
      </w:r>
    </w:p>
    <w:p>
      <w:pPr>
        <w:spacing w:after="0" w:line="250" w:lineRule="exact"/>
        <w:rPr>
          <w:sz w:val="20"/>
          <w:szCs w:val="20"/>
          <w:color w:val="auto"/>
        </w:rPr>
      </w:pPr>
    </w:p>
    <w:p>
      <w:pPr>
        <w:jc w:val="center"/>
        <w:ind w:left="6580"/>
        <w:spacing w:after="0"/>
        <w:rPr>
          <w:sz w:val="20"/>
          <w:szCs w:val="20"/>
          <w:color w:val="auto"/>
        </w:rPr>
      </w:pPr>
      <w:r>
        <w:rPr>
          <w:rFonts w:ascii="Times New Roman" w:cs="Times New Roman" w:eastAsia="Times New Roman" w:hAnsi="Times New Roman"/>
          <w:sz w:val="14"/>
          <w:szCs w:val="14"/>
          <w:i w:val="1"/>
          <w:iCs w:val="1"/>
          <w:color w:val="auto"/>
        </w:rPr>
        <w:t>For the year ended</w:t>
      </w:r>
    </w:p>
    <w:p>
      <w:pPr>
        <w:jc w:val="center"/>
        <w:ind w:left="6580"/>
        <w:spacing w:after="0"/>
        <w:rPr>
          <w:sz w:val="20"/>
          <w:szCs w:val="20"/>
          <w:color w:val="auto"/>
        </w:rPr>
      </w:pPr>
      <w:r>
        <w:rPr>
          <w:rFonts w:ascii="Times New Roman" w:cs="Times New Roman" w:eastAsia="Times New Roman" w:hAnsi="Times New Roman"/>
          <w:sz w:val="14"/>
          <w:szCs w:val="14"/>
          <w:i w:val="1"/>
          <w:iCs w:val="1"/>
          <w:color w:val="auto"/>
        </w:rPr>
        <w:t>December 31,</w:t>
      </w:r>
    </w:p>
    <w:tbl>
      <w:tblPr>
        <w:tblLayout w:type="fixed"/>
        <w:tblInd w:w="120" w:type="dxa"/>
        <w:tblCellMar>
          <w:top w:w="0" w:type="dxa"/>
          <w:left w:w="0" w:type="dxa"/>
          <w:bottom w:w="0" w:type="dxa"/>
          <w:right w:w="0" w:type="dxa"/>
        </w:tblCellMar>
      </w:tblPr>
      <w:tr>
        <w:trPr>
          <w:trHeight w:val="119"/>
        </w:trPr>
        <w:tc>
          <w:tcPr>
            <w:tcW w:w="1320" w:type="dxa"/>
            <w:vAlign w:val="bottom"/>
          </w:tcPr>
          <w:p>
            <w:pPr>
              <w:spacing w:after="0"/>
              <w:rPr>
                <w:sz w:val="10"/>
                <w:szCs w:val="10"/>
                <w:color w:val="auto"/>
              </w:rPr>
            </w:pPr>
          </w:p>
        </w:tc>
        <w:tc>
          <w:tcPr>
            <w:tcW w:w="6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i w:val="1"/>
                <w:iCs w:val="1"/>
                <w:color w:val="auto"/>
              </w:rPr>
              <w:t>2020</w:t>
            </w:r>
          </w:p>
        </w:tc>
        <w:tc>
          <w:tcPr>
            <w:tcW w:w="1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jc w:val="right"/>
              <w:spacing w:after="0" w:line="119" w:lineRule="exact"/>
              <w:rPr>
                <w:sz w:val="20"/>
                <w:szCs w:val="20"/>
                <w:color w:val="auto"/>
              </w:rPr>
            </w:pPr>
            <w:r>
              <w:rPr>
                <w:rFonts w:ascii="Times New Roman" w:cs="Times New Roman" w:eastAsia="Times New Roman" w:hAnsi="Times New Roman"/>
                <w:sz w:val="13"/>
                <w:szCs w:val="13"/>
                <w:i w:val="1"/>
                <w:iCs w:val="1"/>
                <w:color w:val="auto"/>
              </w:rPr>
              <w:t>2021</w:t>
            </w:r>
          </w:p>
        </w:tc>
        <w:tc>
          <w:tcPr>
            <w:tcW w:w="1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w w:val="98"/>
              </w:rPr>
              <w:t>RMB’000</w:t>
            </w:r>
          </w:p>
        </w:tc>
        <w:tc>
          <w:tcPr>
            <w:tcW w:w="260" w:type="dxa"/>
            <w:vAlign w:val="bottom"/>
          </w:tcPr>
          <w:p>
            <w:pPr>
              <w:spacing w:after="0"/>
              <w:rPr>
                <w:sz w:val="14"/>
                <w:szCs w:val="14"/>
                <w:color w:val="auto"/>
              </w:rPr>
            </w:pP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w w:val="98"/>
              </w:rPr>
              <w:t>RMB’000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amounts of inventories sold</w:t>
            </w:r>
          </w:p>
        </w:tc>
        <w:tc>
          <w:tcPr>
            <w:tcW w:w="10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2,621</w:t>
            </w:r>
          </w:p>
        </w:tc>
        <w:tc>
          <w:tcPr>
            <w:tcW w:w="9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77,383</w:t>
            </w:r>
          </w:p>
        </w:tc>
        <w:tc>
          <w:tcPr>
            <w:tcW w:w="0" w:type="dxa"/>
            <w:vAlign w:val="bottom"/>
          </w:tcPr>
          <w:p>
            <w:pPr>
              <w:spacing w:after="0"/>
              <w:rPr>
                <w:sz w:val="1"/>
                <w:szCs w:val="1"/>
                <w:color w:val="auto"/>
              </w:rPr>
            </w:pPr>
          </w:p>
        </w:tc>
      </w:tr>
      <w:tr>
        <w:trPr>
          <w:trHeight w:val="20"/>
        </w:trPr>
        <w:tc>
          <w:tcPr>
            <w:tcW w:w="77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17   Trade receivables, prepayments, deposits and other receivables</w:t>
            </w: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77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32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gridSpan w:val="7"/>
          </w:tcPr>
          <w:p>
            <w:pPr>
              <w:ind w:left="100"/>
              <w:spacing w:after="0"/>
              <w:rPr>
                <w:sz w:val="20"/>
                <w:szCs w:val="20"/>
                <w:color w:val="auto"/>
              </w:rPr>
            </w:pPr>
            <w:r>
              <w:rPr>
                <w:rFonts w:ascii="Times New Roman" w:cs="Times New Roman" w:eastAsia="Times New Roman" w:hAnsi="Times New Roman"/>
                <w:sz w:val="14"/>
                <w:szCs w:val="14"/>
                <w:i w:val="1"/>
                <w:iCs w:val="1"/>
                <w:color w:val="auto"/>
              </w:rPr>
              <w:t>As of December 31,</w:t>
            </w:r>
          </w:p>
        </w:tc>
        <w:tc>
          <w:tcPr>
            <w:tcW w:w="0" w:type="dxa"/>
            <w:vAlign w:val="bottom"/>
          </w:tcPr>
          <w:p>
            <w:pPr>
              <w:spacing w:after="0"/>
              <w:rPr>
                <w:sz w:val="1"/>
                <w:szCs w:val="1"/>
                <w:color w:val="auto"/>
              </w:rPr>
            </w:pPr>
          </w:p>
        </w:tc>
      </w:tr>
      <w:tr>
        <w:trPr>
          <w:trHeight w:val="119"/>
        </w:trPr>
        <w:tc>
          <w:tcPr>
            <w:tcW w:w="1320" w:type="dxa"/>
            <w:vAlign w:val="bottom"/>
          </w:tcPr>
          <w:p>
            <w:pPr>
              <w:spacing w:after="0"/>
              <w:rPr>
                <w:sz w:val="10"/>
                <w:szCs w:val="10"/>
                <w:color w:val="auto"/>
              </w:rPr>
            </w:pPr>
          </w:p>
        </w:tc>
        <w:tc>
          <w:tcPr>
            <w:tcW w:w="6440" w:type="dxa"/>
            <w:vAlign w:val="bottom"/>
          </w:tcPr>
          <w:p>
            <w:pPr>
              <w:spacing w:after="0"/>
              <w:rPr>
                <w:sz w:val="10"/>
                <w:szCs w:val="10"/>
                <w:color w:val="auto"/>
              </w:rPr>
            </w:pPr>
          </w:p>
        </w:tc>
        <w:tc>
          <w:tcPr>
            <w:tcW w:w="660" w:type="dxa"/>
            <w:vAlign w:val="bottom"/>
            <w:tcBorders>
              <w:top w:val="single" w:sz="8" w:color="auto"/>
            </w:tcBorders>
            <w:gridSpan w:val="2"/>
          </w:tcPr>
          <w:p>
            <w:pPr>
              <w:jc w:val="right"/>
              <w:ind w:right="110"/>
              <w:spacing w:after="0" w:line="119" w:lineRule="exact"/>
              <w:rPr>
                <w:sz w:val="20"/>
                <w:szCs w:val="20"/>
                <w:color w:val="auto"/>
              </w:rPr>
            </w:pPr>
            <w:r>
              <w:rPr>
                <w:rFonts w:ascii="Times New Roman" w:cs="Times New Roman" w:eastAsia="Times New Roman" w:hAnsi="Times New Roman"/>
                <w:sz w:val="13"/>
                <w:szCs w:val="13"/>
                <w:i w:val="1"/>
                <w:iCs w:val="1"/>
                <w:color w:val="auto"/>
              </w:rPr>
              <w:t>2020</w:t>
            </w:r>
          </w:p>
        </w:tc>
        <w:tc>
          <w:tcPr>
            <w:tcW w:w="1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jc w:val="right"/>
              <w:ind w:right="148"/>
              <w:spacing w:after="0" w:line="119" w:lineRule="exact"/>
              <w:rPr>
                <w:sz w:val="20"/>
                <w:szCs w:val="20"/>
                <w:color w:val="auto"/>
              </w:rPr>
            </w:pPr>
            <w:r>
              <w:rPr>
                <w:rFonts w:ascii="Times New Roman" w:cs="Times New Roman" w:eastAsia="Times New Roman" w:hAnsi="Times New Roman"/>
                <w:sz w:val="13"/>
                <w:szCs w:val="13"/>
                <w:i w:val="1"/>
                <w:iCs w:val="1"/>
                <w:color w:val="auto"/>
              </w:rPr>
              <w:t>2021</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02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color w:val="auto"/>
              </w:rPr>
              <w:t>RMB’000</w:t>
            </w:r>
          </w:p>
        </w:tc>
        <w:tc>
          <w:tcPr>
            <w:tcW w:w="90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color w:val="auto"/>
              </w:rPr>
              <w:t>RMB’000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7,744</w:t>
            </w: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30,554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Less: loss allowance (Note 30(a))</w:t>
            </w: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6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 net of loss allowance</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30,127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Prepayments for inventories</w:t>
            </w:r>
          </w:p>
        </w:tc>
        <w:tc>
          <w:tcPr>
            <w:tcW w:w="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32,290</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Refundable value-added tax (“VAT”)</w:t>
            </w: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21,295</w:t>
            </w: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36,911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Deposits</w:t>
            </w: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5,878</w:t>
            </w:r>
          </w:p>
        </w:tc>
        <w:tc>
          <w:tcPr>
            <w:tcW w:w="220" w:type="dxa"/>
            <w:vAlign w:val="bottom"/>
          </w:tcPr>
          <w:p>
            <w:pPr>
              <w:spacing w:after="0"/>
              <w:rPr>
                <w:sz w:val="18"/>
                <w:szCs w:val="18"/>
                <w:color w:val="auto"/>
              </w:rPr>
            </w:pP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1,947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4,362</w:t>
            </w: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8,038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Total prepayments, deposits and other receivables</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31,785</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79,186</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trade receivables, prepayments, deposits and other receivables</w:t>
            </w: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39,513</w:t>
            </w: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109,313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All of the trade and other receivables are expected to be recovered or recognized as expense within one year.</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Movement in the loss allowance account in respect of trade receivables during the periods presented is as follows:</w:t>
      </w:r>
    </w:p>
    <w:p>
      <w:pPr>
        <w:spacing w:after="0" w:line="246" w:lineRule="exact"/>
        <w:rPr>
          <w:sz w:val="20"/>
          <w:szCs w:val="20"/>
          <w:color w:val="auto"/>
        </w:rPr>
      </w:pPr>
    </w:p>
    <w:p>
      <w:pPr>
        <w:jc w:val="center"/>
        <w:ind w:left="6240"/>
        <w:spacing w:after="0"/>
        <w:rPr>
          <w:sz w:val="20"/>
          <w:szCs w:val="20"/>
          <w:color w:val="auto"/>
        </w:rPr>
      </w:pPr>
      <w:r>
        <w:rPr>
          <w:rFonts w:ascii="Times New Roman" w:cs="Times New Roman" w:eastAsia="Times New Roman" w:hAnsi="Times New Roman"/>
          <w:sz w:val="14"/>
          <w:szCs w:val="14"/>
          <w:i w:val="1"/>
          <w:iCs w:val="1"/>
          <w:color w:val="auto"/>
        </w:rPr>
        <w:t>For the year ended</w:t>
      </w:r>
    </w:p>
    <w:p>
      <w:pPr>
        <w:jc w:val="center"/>
        <w:ind w:left="6240"/>
        <w:spacing w:after="0"/>
        <w:rPr>
          <w:sz w:val="20"/>
          <w:szCs w:val="20"/>
          <w:color w:val="auto"/>
        </w:rPr>
      </w:pPr>
      <w:r>
        <w:rPr>
          <w:rFonts w:ascii="Times New Roman" w:cs="Times New Roman" w:eastAsia="Times New Roman" w:hAnsi="Times New Roman"/>
          <w:sz w:val="14"/>
          <w:szCs w:val="14"/>
          <w:i w:val="1"/>
          <w:iCs w:val="1"/>
          <w:color w:val="auto"/>
        </w:rPr>
        <w:t>December 31,</w:t>
      </w:r>
    </w:p>
    <w:tbl>
      <w:tblPr>
        <w:tblLayout w:type="fixed"/>
        <w:tblInd w:w="1440" w:type="dxa"/>
        <w:tblCellMar>
          <w:top w:w="0" w:type="dxa"/>
          <w:left w:w="0" w:type="dxa"/>
          <w:bottom w:w="0" w:type="dxa"/>
          <w:right w:w="0" w:type="dxa"/>
        </w:tblCellMar>
      </w:tblPr>
      <w:tr>
        <w:trPr>
          <w:trHeight w:val="119"/>
        </w:trPr>
        <w:tc>
          <w:tcPr>
            <w:tcW w:w="6360" w:type="dxa"/>
            <w:vAlign w:val="bottom"/>
          </w:tcPr>
          <w:p>
            <w:pPr>
              <w:spacing w:after="0"/>
              <w:rPr>
                <w:sz w:val="10"/>
                <w:szCs w:val="10"/>
                <w:color w:val="auto"/>
              </w:rPr>
            </w:pPr>
          </w:p>
        </w:tc>
        <w:tc>
          <w:tcPr>
            <w:tcW w:w="600" w:type="dxa"/>
            <w:vAlign w:val="bottom"/>
            <w:tcBorders>
              <w:top w:val="single" w:sz="8" w:color="auto"/>
            </w:tcBorders>
          </w:tcPr>
          <w:p>
            <w:pPr>
              <w:jc w:val="right"/>
              <w:ind w:right="78"/>
              <w:spacing w:after="0" w:line="119" w:lineRule="exact"/>
              <w:rPr>
                <w:sz w:val="20"/>
                <w:szCs w:val="20"/>
                <w:color w:val="auto"/>
              </w:rPr>
            </w:pPr>
            <w:r>
              <w:rPr>
                <w:rFonts w:ascii="Times New Roman" w:cs="Times New Roman" w:eastAsia="Times New Roman" w:hAnsi="Times New Roman"/>
                <w:sz w:val="13"/>
                <w:szCs w:val="13"/>
                <w:i w:val="1"/>
                <w:iCs w:val="1"/>
                <w:color w:val="auto"/>
              </w:rPr>
              <w:t>2020</w:t>
            </w:r>
          </w:p>
        </w:tc>
        <w:tc>
          <w:tcPr>
            <w:tcW w:w="7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78"/>
              <w:spacing w:after="0" w:line="119" w:lineRule="exact"/>
              <w:rPr>
                <w:sz w:val="20"/>
                <w:szCs w:val="20"/>
                <w:color w:val="auto"/>
              </w:rPr>
            </w:pPr>
            <w:r>
              <w:rPr>
                <w:rFonts w:ascii="Times New Roman" w:cs="Times New Roman" w:eastAsia="Times New Roman" w:hAnsi="Times New Roman"/>
                <w:sz w:val="13"/>
                <w:szCs w:val="13"/>
                <w:i w:val="1"/>
                <w:iCs w:val="1"/>
                <w:color w:val="auto"/>
              </w:rPr>
              <w:t>2021</w:t>
            </w:r>
          </w:p>
        </w:tc>
        <w:tc>
          <w:tcPr>
            <w:tcW w:w="100" w:type="dxa"/>
            <w:vAlign w:val="bottom"/>
          </w:tcPr>
          <w:p>
            <w:pPr>
              <w:spacing w:after="0"/>
              <w:rPr>
                <w:sz w:val="10"/>
                <w:szCs w:val="10"/>
                <w:color w:val="auto"/>
              </w:rPr>
            </w:pPr>
          </w:p>
        </w:tc>
      </w:tr>
      <w:tr>
        <w:trPr>
          <w:trHeight w:val="171"/>
        </w:trPr>
        <w:tc>
          <w:tcPr>
            <w:tcW w:w="6360" w:type="dxa"/>
            <w:vAlign w:val="bottom"/>
          </w:tcPr>
          <w:p>
            <w:pPr>
              <w:spacing w:after="0"/>
              <w:rPr>
                <w:sz w:val="14"/>
                <w:szCs w:val="14"/>
                <w:color w:val="auto"/>
              </w:rPr>
            </w:pPr>
          </w:p>
        </w:tc>
        <w:tc>
          <w:tcPr>
            <w:tcW w:w="130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color w:val="auto"/>
                <w:w w:val="98"/>
              </w:rPr>
              <w:t>RMB’000</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RMB’000</w:t>
            </w: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January 1</w:t>
            </w:r>
          </w:p>
        </w:tc>
        <w:tc>
          <w:tcPr>
            <w:tcW w:w="130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Credit loss recognized during the year</w:t>
            </w:r>
          </w:p>
        </w:tc>
        <w:tc>
          <w:tcPr>
            <w:tcW w:w="13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(16)</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(411)</w:t>
            </w:r>
          </w:p>
        </w:tc>
      </w:tr>
      <w:tr>
        <w:trPr>
          <w:trHeight w:val="27"/>
        </w:trPr>
        <w:tc>
          <w:tcPr>
            <w:tcW w:w="63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December 31</w:t>
            </w:r>
          </w:p>
        </w:tc>
        <w:tc>
          <w:tcPr>
            <w:tcW w:w="13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(16)</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(427)</w:t>
            </w:r>
          </w:p>
        </w:tc>
      </w:tr>
      <w:tr>
        <w:trPr>
          <w:trHeight w:val="20"/>
        </w:trPr>
        <w:tc>
          <w:tcPr>
            <w:tcW w:w="6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Trade receivables are normally due within 30 to 90 days from the billing date. Further details on the Group’s credit policy are set out in Note 30(a).</w:t>
      </w:r>
    </w:p>
    <w:p>
      <w:pPr>
        <w:spacing w:after="0" w:line="381"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18</w:t>
        <w:tab/>
        <w:t>Financial assets measured at FVTPL</w:t>
      </w:r>
    </w:p>
    <w:p>
      <w:pPr>
        <w:spacing w:after="0" w:line="250"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4"/>
          <w:szCs w:val="14"/>
          <w:i w:val="1"/>
          <w:iCs w:val="1"/>
          <w:color w:val="auto"/>
        </w:rPr>
        <w:t>As of December 31,</w:t>
      </w:r>
    </w:p>
    <w:p>
      <w:pPr>
        <w:spacing w:after="0" w:line="12" w:lineRule="exact"/>
        <w:rPr>
          <w:sz w:val="20"/>
          <w:szCs w:val="20"/>
          <w:color w:val="auto"/>
        </w:rPr>
      </w:pPr>
    </w:p>
    <w:tbl>
      <w:tblPr>
        <w:tblLayout w:type="fixed"/>
        <w:tblInd w:w="1440" w:type="dxa"/>
        <w:tblCellMar>
          <w:top w:w="0" w:type="dxa"/>
          <w:left w:w="0" w:type="dxa"/>
          <w:bottom w:w="0" w:type="dxa"/>
          <w:right w:w="0" w:type="dxa"/>
        </w:tblCellMar>
      </w:tblPr>
      <w:tr>
        <w:trPr>
          <w:trHeight w:val="119"/>
        </w:trPr>
        <w:tc>
          <w:tcPr>
            <w:tcW w:w="6500" w:type="dxa"/>
            <w:vAlign w:val="bottom"/>
          </w:tcPr>
          <w:p>
            <w:pPr>
              <w:spacing w:after="0"/>
              <w:rPr>
                <w:sz w:val="10"/>
                <w:szCs w:val="10"/>
                <w:color w:val="auto"/>
              </w:rPr>
            </w:pPr>
          </w:p>
        </w:tc>
        <w:tc>
          <w:tcPr>
            <w:tcW w:w="740" w:type="dxa"/>
            <w:vAlign w:val="bottom"/>
            <w:tcBorders>
              <w:top w:val="single" w:sz="8" w:color="auto"/>
            </w:tcBorders>
          </w:tcPr>
          <w:p>
            <w:pPr>
              <w:jc w:val="right"/>
              <w:ind w:right="144"/>
              <w:spacing w:after="0" w:line="119" w:lineRule="exact"/>
              <w:rPr>
                <w:sz w:val="20"/>
                <w:szCs w:val="20"/>
                <w:color w:val="auto"/>
              </w:rPr>
            </w:pPr>
            <w:r>
              <w:rPr>
                <w:rFonts w:ascii="Times New Roman" w:cs="Times New Roman" w:eastAsia="Times New Roman" w:hAnsi="Times New Roman"/>
                <w:sz w:val="13"/>
                <w:szCs w:val="13"/>
                <w:i w:val="1"/>
                <w:iCs w:val="1"/>
                <w:color w:val="auto"/>
              </w:rPr>
              <w:t>2020</w:t>
            </w:r>
          </w:p>
        </w:tc>
        <w:tc>
          <w:tcPr>
            <w:tcW w:w="1060" w:type="dxa"/>
            <w:vAlign w:val="bottom"/>
            <w:tcBorders>
              <w:top w:val="single" w:sz="8" w:color="auto"/>
            </w:tcBorders>
            <w:gridSpan w:val="2"/>
          </w:tcPr>
          <w:p>
            <w:pPr>
              <w:ind w:left="580"/>
              <w:spacing w:after="0" w:line="119" w:lineRule="exact"/>
              <w:rPr>
                <w:sz w:val="20"/>
                <w:szCs w:val="20"/>
                <w:color w:val="auto"/>
              </w:rPr>
            </w:pPr>
            <w:r>
              <w:rPr>
                <w:rFonts w:ascii="Times New Roman" w:cs="Times New Roman" w:eastAsia="Times New Roman" w:hAnsi="Times New Roman"/>
                <w:sz w:val="13"/>
                <w:szCs w:val="13"/>
                <w:i w:val="1"/>
                <w:iCs w:val="1"/>
                <w:color w:val="auto"/>
              </w:rPr>
              <w:t>2021</w:t>
            </w:r>
          </w:p>
        </w:tc>
        <w:tc>
          <w:tcPr>
            <w:tcW w:w="60" w:type="dxa"/>
            <w:vAlign w:val="bottom"/>
          </w:tcPr>
          <w:p>
            <w:pPr>
              <w:spacing w:after="0"/>
              <w:rPr>
                <w:sz w:val="10"/>
                <w:szCs w:val="10"/>
                <w:color w:val="auto"/>
              </w:rPr>
            </w:pPr>
          </w:p>
        </w:tc>
      </w:tr>
      <w:tr>
        <w:trPr>
          <w:trHeight w:val="171"/>
        </w:trPr>
        <w:tc>
          <w:tcPr>
            <w:tcW w:w="65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RMB’000</w:t>
            </w:r>
          </w:p>
        </w:tc>
        <w:tc>
          <w:tcPr>
            <w:tcW w:w="38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RMB’000</w:t>
            </w: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assets measured at FVTPL</w:t>
            </w: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 non-equity investments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607,962</w:t>
            </w:r>
          </w:p>
        </w:tc>
        <w:tc>
          <w:tcPr>
            <w:tcW w:w="11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53,868</w:t>
            </w:r>
          </w:p>
        </w:tc>
      </w:tr>
      <w:tr>
        <w:trPr>
          <w:trHeight w:val="20"/>
        </w:trPr>
        <w:tc>
          <w:tcPr>
            <w:tcW w:w="65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non-equity investments represent wealth management products issued by banks with floating rates measured at fair value with changes booked through profit or loss.</w:t>
      </w:r>
    </w:p>
    <w:p>
      <w:pPr>
        <w:spacing w:after="0" w:line="94"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0720"/>
          </w:cols>
          <w:pgMar w:left="320" w:top="455" w:right="859" w:bottom="1440" w:gutter="0" w:footer="0" w:header="0"/>
        </w:sectPr>
      </w:pPr>
    </w:p>
    <w:bookmarkStart w:id="295" w:name="page296"/>
    <w:bookmarkEnd w:id="2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19</w:t>
        <w:tab/>
        <w:t>Cash and cash equivalents</w:t>
      </w:r>
    </w:p>
    <w:p>
      <w:pPr>
        <w:spacing w:after="0" w:line="131" w:lineRule="exact"/>
        <w:rPr>
          <w:sz w:val="20"/>
          <w:szCs w:val="20"/>
          <w:color w:val="auto"/>
        </w:rPr>
      </w:pPr>
    </w:p>
    <w:p>
      <w:pPr>
        <w:ind w:left="540" w:hanging="424"/>
        <w:spacing w:after="0"/>
        <w:tabs>
          <w:tab w:leader="none" w:pos="540" w:val="left"/>
        </w:tabs>
        <w:numPr>
          <w:ilvl w:val="0"/>
          <w:numId w:val="19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Cash and cash equivalents comprise:</w:t>
      </w:r>
    </w:p>
    <w:p>
      <w:pPr>
        <w:spacing w:after="0" w:line="250"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4"/>
          <w:szCs w:val="14"/>
          <w:i w:val="1"/>
          <w:iCs w:val="1"/>
          <w:color w:val="auto"/>
        </w:rPr>
        <w:t>As of December 31,</w:t>
      </w:r>
    </w:p>
    <w:p>
      <w:pPr>
        <w:spacing w:after="0" w:line="12" w:lineRule="exact"/>
        <w:rPr>
          <w:sz w:val="20"/>
          <w:szCs w:val="20"/>
          <w:color w:val="auto"/>
        </w:rPr>
      </w:pPr>
    </w:p>
    <w:tbl>
      <w:tblPr>
        <w:tblLayout w:type="fixed"/>
        <w:tblInd w:w="1440" w:type="dxa"/>
        <w:tblCellMar>
          <w:top w:w="0" w:type="dxa"/>
          <w:left w:w="0" w:type="dxa"/>
          <w:bottom w:w="0" w:type="dxa"/>
          <w:right w:w="0" w:type="dxa"/>
        </w:tblCellMar>
      </w:tblPr>
      <w:tr>
        <w:trPr>
          <w:trHeight w:val="119"/>
        </w:trPr>
        <w:tc>
          <w:tcPr>
            <w:tcW w:w="6260" w:type="dxa"/>
            <w:vAlign w:val="bottom"/>
          </w:tcPr>
          <w:p>
            <w:pPr>
              <w:spacing w:after="0"/>
              <w:rPr>
                <w:sz w:val="10"/>
                <w:szCs w:val="10"/>
                <w:color w:val="auto"/>
              </w:rPr>
            </w:pPr>
          </w:p>
        </w:tc>
        <w:tc>
          <w:tcPr>
            <w:tcW w:w="780" w:type="dxa"/>
            <w:vAlign w:val="bottom"/>
            <w:tcBorders>
              <w:top w:val="single" w:sz="8" w:color="auto"/>
            </w:tcBorders>
          </w:tcPr>
          <w:p>
            <w:pPr>
              <w:jc w:val="right"/>
              <w:ind w:right="164"/>
              <w:spacing w:after="0" w:line="119" w:lineRule="exact"/>
              <w:rPr>
                <w:sz w:val="20"/>
                <w:szCs w:val="20"/>
                <w:color w:val="auto"/>
              </w:rPr>
            </w:pPr>
            <w:r>
              <w:rPr>
                <w:rFonts w:ascii="Times New Roman" w:cs="Times New Roman" w:eastAsia="Times New Roman" w:hAnsi="Times New Roman"/>
                <w:sz w:val="13"/>
                <w:szCs w:val="13"/>
                <w:i w:val="1"/>
                <w:iCs w:val="1"/>
                <w:color w:val="auto"/>
              </w:rPr>
              <w:t>2020</w:t>
            </w:r>
          </w:p>
        </w:tc>
        <w:tc>
          <w:tcPr>
            <w:tcW w:w="2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244"/>
              <w:spacing w:after="0" w:line="119" w:lineRule="exact"/>
              <w:rPr>
                <w:sz w:val="20"/>
                <w:szCs w:val="20"/>
                <w:color w:val="auto"/>
              </w:rPr>
            </w:pPr>
            <w:r>
              <w:rPr>
                <w:rFonts w:ascii="Times New Roman" w:cs="Times New Roman" w:eastAsia="Times New Roman" w:hAnsi="Times New Roman"/>
                <w:sz w:val="13"/>
                <w:szCs w:val="13"/>
                <w:i w:val="1"/>
                <w:iCs w:val="1"/>
                <w:color w:val="auto"/>
              </w:rPr>
              <w:t>2021</w:t>
            </w:r>
          </w:p>
        </w:tc>
        <w:tc>
          <w:tcPr>
            <w:tcW w:w="80" w:type="dxa"/>
            <w:vAlign w:val="bottom"/>
          </w:tcPr>
          <w:p>
            <w:pPr>
              <w:spacing w:after="0"/>
              <w:rPr>
                <w:sz w:val="10"/>
                <w:szCs w:val="10"/>
                <w:color w:val="auto"/>
              </w:rPr>
            </w:pPr>
          </w:p>
        </w:tc>
      </w:tr>
      <w:tr>
        <w:trPr>
          <w:trHeight w:val="171"/>
        </w:trPr>
        <w:tc>
          <w:tcPr>
            <w:tcW w:w="626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RMB’000</w:t>
            </w:r>
          </w:p>
        </w:tc>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RMB’000</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banks</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212,622</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2,725,568</w:t>
            </w:r>
          </w:p>
        </w:tc>
      </w:tr>
      <w:tr>
        <w:trPr>
          <w:trHeight w:val="20"/>
        </w:trPr>
        <w:tc>
          <w:tcPr>
            <w:tcW w:w="6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RMB is not a freely convertible currency and the remittance of funds out of the PRC is subject to the exchange restrictions imposed by the PRC government.</w:t>
      </w:r>
    </w:p>
    <w:p>
      <w:pPr>
        <w:spacing w:after="0" w:line="306"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(b)</w:t>
        <w:tab/>
        <w:t>Reconciliation of loss before taxation to cash used in operations:</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12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i w:val="1"/>
                <w:iCs w:val="1"/>
                <w:color w:val="auto"/>
              </w:rPr>
              <w:t>For the year ended</w:t>
            </w:r>
          </w:p>
        </w:tc>
        <w:tc>
          <w:tcPr>
            <w:tcW w:w="0" w:type="dxa"/>
            <w:vAlign w:val="bottom"/>
          </w:tcPr>
          <w:p>
            <w:pPr>
              <w:spacing w:after="0"/>
              <w:rPr>
                <w:sz w:val="1"/>
                <w:szCs w:val="1"/>
                <w:color w:val="auto"/>
              </w:rPr>
            </w:pPr>
          </w:p>
        </w:tc>
      </w:tr>
      <w:tr>
        <w:trPr>
          <w:trHeight w:val="173"/>
        </w:trPr>
        <w:tc>
          <w:tcPr>
            <w:tcW w:w="76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120" w:type="dxa"/>
            <w:vAlign w:val="bottom"/>
            <w:gridSpan w:val="4"/>
          </w:tcPr>
          <w:p>
            <w:pPr>
              <w:jc w:val="right"/>
              <w:ind w:right="720"/>
              <w:spacing w:after="0"/>
              <w:rPr>
                <w:sz w:val="20"/>
                <w:szCs w:val="20"/>
                <w:color w:val="auto"/>
              </w:rPr>
            </w:pPr>
            <w:r>
              <w:rPr>
                <w:rFonts w:ascii="Times New Roman" w:cs="Times New Roman" w:eastAsia="Times New Roman" w:hAnsi="Times New Roman"/>
                <w:sz w:val="14"/>
                <w:szCs w:val="14"/>
                <w:i w:val="1"/>
                <w:iCs w:val="1"/>
                <w:color w:val="auto"/>
              </w:rPr>
              <w:t>December 31,</w:t>
            </w:r>
          </w:p>
        </w:tc>
        <w:tc>
          <w:tcPr>
            <w:tcW w:w="0" w:type="dxa"/>
            <w:vAlign w:val="bottom"/>
          </w:tcPr>
          <w:p>
            <w:pPr>
              <w:spacing w:after="0"/>
              <w:rPr>
                <w:sz w:val="1"/>
                <w:szCs w:val="1"/>
                <w:color w:val="auto"/>
              </w:rPr>
            </w:pPr>
          </w:p>
        </w:tc>
      </w:tr>
      <w:tr>
        <w:trPr>
          <w:trHeight w:val="119"/>
        </w:trPr>
        <w:tc>
          <w:tcPr>
            <w:tcW w:w="7680" w:type="dxa"/>
            <w:vAlign w:val="bottom"/>
          </w:tcPr>
          <w:p>
            <w:pPr>
              <w:spacing w:after="0"/>
              <w:rPr>
                <w:sz w:val="10"/>
                <w:szCs w:val="10"/>
                <w:color w:val="auto"/>
              </w:rPr>
            </w:pPr>
          </w:p>
        </w:tc>
        <w:tc>
          <w:tcPr>
            <w:tcW w:w="1220" w:type="dxa"/>
            <w:vAlign w:val="bottom"/>
            <w:vMerge w:val="restart"/>
          </w:tcPr>
          <w:p>
            <w:pPr>
              <w:ind w:left="560"/>
              <w:spacing w:after="0"/>
              <w:rPr>
                <w:sz w:val="20"/>
                <w:szCs w:val="20"/>
                <w:color w:val="auto"/>
              </w:rPr>
            </w:pPr>
            <w:r>
              <w:rPr>
                <w:rFonts w:ascii="Times New Roman" w:cs="Times New Roman" w:eastAsia="Times New Roman" w:hAnsi="Times New Roman"/>
                <w:sz w:val="14"/>
                <w:szCs w:val="14"/>
                <w:color w:val="auto"/>
              </w:rPr>
              <w:t>Note</w:t>
            </w:r>
          </w:p>
        </w:tc>
        <w:tc>
          <w:tcPr>
            <w:tcW w:w="780" w:type="dxa"/>
            <w:vAlign w:val="bottom"/>
            <w:tcBorders>
              <w:top w:val="single" w:sz="8" w:color="auto"/>
            </w:tcBorders>
          </w:tcPr>
          <w:p>
            <w:pPr>
              <w:jc w:val="right"/>
              <w:ind w:right="152"/>
              <w:spacing w:after="0" w:line="119" w:lineRule="exact"/>
              <w:rPr>
                <w:sz w:val="20"/>
                <w:szCs w:val="20"/>
                <w:color w:val="auto"/>
              </w:rPr>
            </w:pPr>
            <w:r>
              <w:rPr>
                <w:rFonts w:ascii="Times New Roman" w:cs="Times New Roman" w:eastAsia="Times New Roman" w:hAnsi="Times New Roman"/>
                <w:sz w:val="13"/>
                <w:szCs w:val="13"/>
                <w:i w:val="1"/>
                <w:iCs w:val="1"/>
                <w:color w:val="auto"/>
              </w:rPr>
              <w:t>2020</w:t>
            </w:r>
          </w:p>
        </w:tc>
        <w:tc>
          <w:tcPr>
            <w:tcW w:w="2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251"/>
              <w:spacing w:after="0" w:line="119" w:lineRule="exact"/>
              <w:rPr>
                <w:sz w:val="20"/>
                <w:szCs w:val="20"/>
                <w:color w:val="auto"/>
              </w:rPr>
            </w:pPr>
            <w:r>
              <w:rPr>
                <w:rFonts w:ascii="Times New Roman" w:cs="Times New Roman" w:eastAsia="Times New Roman" w:hAnsi="Times New Roman"/>
                <w:sz w:val="13"/>
                <w:szCs w:val="13"/>
                <w:i w:val="1"/>
                <w:iCs w:val="1"/>
                <w:color w:val="auto"/>
              </w:rPr>
              <w:t>2021</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6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RMB’000</w:t>
            </w: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RMB’000</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for the year</w:t>
            </w:r>
          </w:p>
        </w:tc>
        <w:tc>
          <w:tcPr>
            <w:tcW w:w="1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(694,888)</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(1,007,251)</w:t>
            </w: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for:</w:t>
            </w:r>
          </w:p>
        </w:tc>
        <w:tc>
          <w:tcPr>
            <w:tcW w:w="1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Net losses on disposal of non-current assets</w:t>
            </w:r>
          </w:p>
        </w:tc>
        <w:tc>
          <w:tcPr>
            <w:tcW w:w="1220" w:type="dxa"/>
            <w:vAlign w:val="bottom"/>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rPr>
              <w:t>6</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3,245</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3,972</w:t>
            </w:r>
          </w:p>
        </w:tc>
        <w:tc>
          <w:tcPr>
            <w:tcW w:w="0" w:type="dxa"/>
            <w:vAlign w:val="bottom"/>
          </w:tcPr>
          <w:p>
            <w:pPr>
              <w:spacing w:after="0"/>
              <w:rPr>
                <w:sz w:val="1"/>
                <w:szCs w:val="1"/>
                <w:color w:val="auto"/>
              </w:rPr>
            </w:pPr>
          </w:p>
        </w:tc>
      </w:tr>
      <w:tr>
        <w:trPr>
          <w:trHeight w:val="216"/>
        </w:trPr>
        <w:tc>
          <w:tcPr>
            <w:tcW w:w="7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Impairment loss on receivables</w:t>
            </w:r>
          </w:p>
        </w:tc>
        <w:tc>
          <w:tcPr>
            <w:tcW w:w="12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Share-based compensation expenses</w:t>
            </w:r>
          </w:p>
        </w:tc>
        <w:tc>
          <w:tcPr>
            <w:tcW w:w="1220" w:type="dxa"/>
            <w:vAlign w:val="bottom"/>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w w:val="99"/>
              </w:rPr>
              <w:t>7(i)</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129,943</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55,959</w:t>
            </w:r>
          </w:p>
        </w:tc>
        <w:tc>
          <w:tcPr>
            <w:tcW w:w="0" w:type="dxa"/>
            <w:vAlign w:val="bottom"/>
          </w:tcPr>
          <w:p>
            <w:pPr>
              <w:spacing w:after="0"/>
              <w:rPr>
                <w:sz w:val="1"/>
                <w:szCs w:val="1"/>
                <w:color w:val="auto"/>
              </w:rPr>
            </w:pPr>
          </w:p>
        </w:tc>
      </w:tr>
      <w:tr>
        <w:trPr>
          <w:trHeight w:val="216"/>
        </w:trPr>
        <w:tc>
          <w:tcPr>
            <w:tcW w:w="7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Depreciation of property and equipment</w:t>
            </w:r>
          </w:p>
        </w:tc>
        <w:tc>
          <w:tcPr>
            <w:tcW w:w="122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6"/>
              </w:rPr>
              <w:t>7(ii)</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39,246</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41,331</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Depreciation of right-of-use assets</w:t>
            </w:r>
          </w:p>
        </w:tc>
        <w:tc>
          <w:tcPr>
            <w:tcW w:w="1220" w:type="dxa"/>
            <w:vAlign w:val="bottom"/>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w w:val="96"/>
              </w:rPr>
              <w:t>7(ii)</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18,923</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22,375</w:t>
            </w:r>
          </w:p>
        </w:tc>
        <w:tc>
          <w:tcPr>
            <w:tcW w:w="0" w:type="dxa"/>
            <w:vAlign w:val="bottom"/>
          </w:tcPr>
          <w:p>
            <w:pPr>
              <w:spacing w:after="0"/>
              <w:rPr>
                <w:sz w:val="1"/>
                <w:szCs w:val="1"/>
                <w:color w:val="auto"/>
              </w:rPr>
            </w:pPr>
          </w:p>
        </w:tc>
      </w:tr>
      <w:tr>
        <w:trPr>
          <w:trHeight w:val="216"/>
        </w:trPr>
        <w:tc>
          <w:tcPr>
            <w:tcW w:w="7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Amortization of intangible assets</w:t>
            </w:r>
          </w:p>
        </w:tc>
        <w:tc>
          <w:tcPr>
            <w:tcW w:w="122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6"/>
              </w:rPr>
              <w:t>7(ii)</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179</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2,117</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Changes in the carrying amount of put option liabilities</w:t>
            </w:r>
          </w:p>
        </w:tc>
        <w:tc>
          <w:tcPr>
            <w:tcW w:w="1220" w:type="dxa"/>
            <w:vAlign w:val="bottom"/>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rPr>
              <w:t>8</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1,045</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1,348</w:t>
            </w:r>
          </w:p>
        </w:tc>
        <w:tc>
          <w:tcPr>
            <w:tcW w:w="0" w:type="dxa"/>
            <w:vAlign w:val="bottom"/>
          </w:tcPr>
          <w:p>
            <w:pPr>
              <w:spacing w:after="0"/>
              <w:rPr>
                <w:sz w:val="1"/>
                <w:szCs w:val="1"/>
                <w:color w:val="auto"/>
              </w:rPr>
            </w:pPr>
          </w:p>
        </w:tc>
      </w:tr>
      <w:tr>
        <w:trPr>
          <w:trHeight w:val="216"/>
        </w:trPr>
        <w:tc>
          <w:tcPr>
            <w:tcW w:w="7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Interest on lease liabilities</w:t>
            </w:r>
          </w:p>
        </w:tc>
        <w:tc>
          <w:tcPr>
            <w:tcW w:w="122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rPr>
              <w:t>8</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3,202</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3,147</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Interest on loans and borrowings</w:t>
            </w:r>
          </w:p>
        </w:tc>
        <w:tc>
          <w:tcPr>
            <w:tcW w:w="1220" w:type="dxa"/>
            <w:vAlign w:val="bottom"/>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rPr>
              <w:t>8</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3,017</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2,422</w:t>
            </w:r>
          </w:p>
        </w:tc>
        <w:tc>
          <w:tcPr>
            <w:tcW w:w="0" w:type="dxa"/>
            <w:vAlign w:val="bottom"/>
          </w:tcPr>
          <w:p>
            <w:pPr>
              <w:spacing w:after="0"/>
              <w:rPr>
                <w:sz w:val="1"/>
                <w:szCs w:val="1"/>
                <w:color w:val="auto"/>
              </w:rPr>
            </w:pPr>
          </w:p>
        </w:tc>
      </w:tr>
      <w:tr>
        <w:trPr>
          <w:trHeight w:val="216"/>
        </w:trPr>
        <w:tc>
          <w:tcPr>
            <w:tcW w:w="7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Government grant for Paycheck Protection Program loan forgiveness</w:t>
            </w:r>
          </w:p>
        </w:tc>
        <w:tc>
          <w:tcPr>
            <w:tcW w:w="122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9"/>
              </w:rPr>
              <w:t>19(c)</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(12,903)</w:t>
            </w:r>
          </w:p>
        </w:tc>
        <w:tc>
          <w:tcPr>
            <w:tcW w:w="0" w:type="dxa"/>
            <w:vAlign w:val="bottom"/>
          </w:tcPr>
          <w:p>
            <w:pPr>
              <w:spacing w:after="0"/>
              <w:rPr>
                <w:sz w:val="1"/>
                <w:szCs w:val="1"/>
                <w:color w:val="auto"/>
              </w:rPr>
            </w:pPr>
          </w:p>
        </w:tc>
      </w:tr>
      <w:tr>
        <w:trPr>
          <w:trHeight w:val="198"/>
        </w:trPr>
        <w:tc>
          <w:tcPr>
            <w:tcW w:w="768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 Changes in the carrying amounts of preferred shares and other financial instruments subject to</w:t>
            </w:r>
          </w:p>
        </w:tc>
        <w:tc>
          <w:tcPr>
            <w:tcW w:w="1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6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redemption and other preferential rights</w:t>
            </w:r>
          </w:p>
        </w:tc>
        <w:tc>
          <w:tcPr>
            <w:tcW w:w="1220" w:type="dxa"/>
            <w:vAlign w:val="bottom"/>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w w:val="98"/>
              </w:rPr>
              <w:t>21(a)(b)</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3,259</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268,142</w:t>
            </w:r>
          </w:p>
        </w:tc>
        <w:tc>
          <w:tcPr>
            <w:tcW w:w="0" w:type="dxa"/>
            <w:vAlign w:val="bottom"/>
          </w:tcPr>
          <w:p>
            <w:pPr>
              <w:spacing w:after="0"/>
              <w:rPr>
                <w:sz w:val="1"/>
                <w:szCs w:val="1"/>
                <w:color w:val="auto"/>
              </w:rPr>
            </w:pPr>
          </w:p>
        </w:tc>
      </w:tr>
      <w:tr>
        <w:trPr>
          <w:trHeight w:val="216"/>
        </w:trPr>
        <w:tc>
          <w:tcPr>
            <w:tcW w:w="7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Fair value changes of financial liabilities measured at FVTPL</w:t>
            </w:r>
          </w:p>
        </w:tc>
        <w:tc>
          <w:tcPr>
            <w:tcW w:w="122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8"/>
              </w:rPr>
              <w:t>26(a)(b)</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12,876</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259,872</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Inducement charges of warrants</w:t>
            </w:r>
          </w:p>
        </w:tc>
        <w:tc>
          <w:tcPr>
            <w:tcW w:w="1220" w:type="dxa"/>
            <w:vAlign w:val="bottom"/>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w w:val="97"/>
              </w:rPr>
              <w:t>26(b)</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211,016</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Fair value changes of financial assets measured at FVTPL</w:t>
            </w:r>
          </w:p>
        </w:tc>
        <w:tc>
          <w:tcPr>
            <w:tcW w:w="12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(3,458)</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(3,479)</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Unrealized foreign exchange loss</w:t>
            </w:r>
          </w:p>
        </w:tc>
        <w:tc>
          <w:tcPr>
            <w:tcW w:w="1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8,417</w:t>
            </w:r>
          </w:p>
        </w:tc>
        <w:tc>
          <w:tcPr>
            <w:tcW w:w="0" w:type="dxa"/>
            <w:vAlign w:val="bottom"/>
          </w:tcPr>
          <w:p>
            <w:pPr>
              <w:spacing w:after="0"/>
              <w:rPr>
                <w:sz w:val="1"/>
                <w:szCs w:val="1"/>
                <w:color w:val="auto"/>
              </w:rPr>
            </w:pPr>
          </w:p>
        </w:tc>
      </w:tr>
      <w:tr>
        <w:trPr>
          <w:trHeight w:val="216"/>
        </w:trPr>
        <w:tc>
          <w:tcPr>
            <w:tcW w:w="7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Decrease in restricted cash</w:t>
            </w:r>
          </w:p>
        </w:tc>
        <w:tc>
          <w:tcPr>
            <w:tcW w:w="12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926</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61"/>
        </w:trPr>
        <w:tc>
          <w:tcPr>
            <w:tcW w:w="76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w:t>
            </w:r>
          </w:p>
        </w:tc>
        <w:tc>
          <w:tcPr>
            <w:tcW w:w="1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Trade receivables</w:t>
            </w:r>
          </w:p>
        </w:tc>
        <w:tc>
          <w:tcPr>
            <w:tcW w:w="12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(7,744)</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(22,494)</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Prepayments, deposits and other receivables</w:t>
            </w:r>
          </w:p>
        </w:tc>
        <w:tc>
          <w:tcPr>
            <w:tcW w:w="1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(2,337)</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(49,418)</w:t>
            </w:r>
          </w:p>
        </w:tc>
        <w:tc>
          <w:tcPr>
            <w:tcW w:w="0" w:type="dxa"/>
            <w:vAlign w:val="bottom"/>
          </w:tcPr>
          <w:p>
            <w:pPr>
              <w:spacing w:after="0"/>
              <w:rPr>
                <w:sz w:val="1"/>
                <w:szCs w:val="1"/>
                <w:color w:val="auto"/>
              </w:rPr>
            </w:pPr>
          </w:p>
        </w:tc>
      </w:tr>
      <w:tr>
        <w:trPr>
          <w:trHeight w:val="216"/>
        </w:trPr>
        <w:tc>
          <w:tcPr>
            <w:tcW w:w="7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Prepayments to and amount due from related parties</w:t>
            </w:r>
          </w:p>
        </w:tc>
        <w:tc>
          <w:tcPr>
            <w:tcW w:w="12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1,074</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(7,833)</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Amounts due to related parties</w:t>
            </w:r>
          </w:p>
        </w:tc>
        <w:tc>
          <w:tcPr>
            <w:tcW w:w="1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4,167</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39,280</w:t>
            </w:r>
          </w:p>
        </w:tc>
        <w:tc>
          <w:tcPr>
            <w:tcW w:w="0" w:type="dxa"/>
            <w:vAlign w:val="bottom"/>
          </w:tcPr>
          <w:p>
            <w:pPr>
              <w:spacing w:after="0"/>
              <w:rPr>
                <w:sz w:val="1"/>
                <w:szCs w:val="1"/>
                <w:color w:val="auto"/>
              </w:rPr>
            </w:pPr>
          </w:p>
        </w:tc>
      </w:tr>
      <w:tr>
        <w:trPr>
          <w:trHeight w:val="216"/>
        </w:trPr>
        <w:tc>
          <w:tcPr>
            <w:tcW w:w="7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Trade payables</w:t>
            </w:r>
          </w:p>
        </w:tc>
        <w:tc>
          <w:tcPr>
            <w:tcW w:w="12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6,812</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(2,891)</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Contract liabilities</w:t>
            </w:r>
          </w:p>
        </w:tc>
        <w:tc>
          <w:tcPr>
            <w:tcW w:w="1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841</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2,978</w:t>
            </w:r>
          </w:p>
        </w:tc>
        <w:tc>
          <w:tcPr>
            <w:tcW w:w="0" w:type="dxa"/>
            <w:vAlign w:val="bottom"/>
          </w:tcPr>
          <w:p>
            <w:pPr>
              <w:spacing w:after="0"/>
              <w:rPr>
                <w:sz w:val="1"/>
                <w:szCs w:val="1"/>
                <w:color w:val="auto"/>
              </w:rPr>
            </w:pPr>
          </w:p>
        </w:tc>
      </w:tr>
      <w:tr>
        <w:trPr>
          <w:trHeight w:val="216"/>
        </w:trPr>
        <w:tc>
          <w:tcPr>
            <w:tcW w:w="7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Other non-current liabilities</w:t>
            </w:r>
          </w:p>
        </w:tc>
        <w:tc>
          <w:tcPr>
            <w:tcW w:w="12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71,419</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1,157</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Inventories</w:t>
            </w:r>
          </w:p>
        </w:tc>
        <w:tc>
          <w:tcPr>
            <w:tcW w:w="1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(18,206)</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(92,352)</w:t>
            </w:r>
          </w:p>
        </w:tc>
        <w:tc>
          <w:tcPr>
            <w:tcW w:w="0" w:type="dxa"/>
            <w:vAlign w:val="bottom"/>
          </w:tcPr>
          <w:p>
            <w:pPr>
              <w:spacing w:after="0"/>
              <w:rPr>
                <w:sz w:val="1"/>
                <w:szCs w:val="1"/>
                <w:color w:val="auto"/>
              </w:rPr>
            </w:pPr>
          </w:p>
        </w:tc>
      </w:tr>
      <w:tr>
        <w:trPr>
          <w:trHeight w:val="216"/>
        </w:trPr>
        <w:tc>
          <w:tcPr>
            <w:tcW w:w="7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Other payables, deposits received and accrued expenses</w:t>
            </w:r>
          </w:p>
        </w:tc>
        <w:tc>
          <w:tcPr>
            <w:tcW w:w="12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3,057</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(12,749)</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Other non-current assets</w:t>
            </w:r>
          </w:p>
        </w:tc>
        <w:tc>
          <w:tcPr>
            <w:tcW w:w="1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(1,458)</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(8,529)</w:t>
            </w:r>
          </w:p>
        </w:tc>
        <w:tc>
          <w:tcPr>
            <w:tcW w:w="0" w:type="dxa"/>
            <w:vAlign w:val="bottom"/>
          </w:tcPr>
          <w:p>
            <w:pPr>
              <w:spacing w:after="0"/>
              <w:rPr>
                <w:sz w:val="1"/>
                <w:szCs w:val="1"/>
                <w:color w:val="auto"/>
              </w:rPr>
            </w:pPr>
          </w:p>
        </w:tc>
      </w:tr>
      <w:tr>
        <w:trPr>
          <w:trHeight w:val="223"/>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operations</w:t>
            </w:r>
          </w:p>
        </w:tc>
        <w:tc>
          <w:tcPr>
            <w:tcW w:w="12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(213,830)</w:t>
            </w:r>
          </w:p>
        </w:tc>
        <w:tc>
          <w:tcPr>
            <w:tcW w:w="2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(506,667)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80" w:type="dxa"/>
            <w:vAlign w:val="bottom"/>
            <w:vMerge w:val="restart"/>
          </w:tcPr>
          <w:p>
            <w:pPr>
              <w:ind w:left="5340"/>
              <w:spacing w:after="0"/>
              <w:rPr>
                <w:sz w:val="20"/>
                <w:szCs w:val="20"/>
                <w:color w:val="auto"/>
              </w:rPr>
            </w:pPr>
            <w:r>
              <w:rPr>
                <w:rFonts w:ascii="Times New Roman" w:cs="Times New Roman" w:eastAsia="Times New Roman" w:hAnsi="Times New Roman"/>
                <w:sz w:val="18"/>
                <w:szCs w:val="18"/>
                <w:color w:val="auto"/>
              </w:rPr>
              <w:t>F-43</w:t>
            </w:r>
          </w:p>
        </w:tc>
        <w:tc>
          <w:tcPr>
            <w:tcW w:w="1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68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19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Reconciliation of movement of liabilities to cash flows arising from financing activities</w:t>
      </w:r>
    </w:p>
    <w:p>
      <w:pPr>
        <w:spacing w:after="0" w:line="121"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The table below details changes in the Group’s liabilities from financing activities, including both cash and non-cash changes. Liabilities arising from financing activities are liabilities for which cash flows were, or future cash flows will be, classified into the Group’s consolidated statements of cash flows as cash flows from financing activities.</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i w:val="1"/>
                <w:iCs w:val="1"/>
                <w:color w:val="auto"/>
              </w:rPr>
              <w:t>Preferred shares</w:t>
            </w: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i w:val="1"/>
                <w:iCs w:val="1"/>
                <w:color w:val="auto"/>
              </w:rPr>
              <w:t>and financial</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i w:val="1"/>
                <w:iCs w:val="1"/>
                <w:color w:val="auto"/>
              </w:rPr>
              <w:t>instruments</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i w:val="1"/>
                <w:iCs w:val="1"/>
                <w:color w:val="auto"/>
              </w:rPr>
              <w:t>Financial</w:t>
            </w:r>
          </w:p>
        </w:tc>
        <w:tc>
          <w:tcPr>
            <w:tcW w:w="13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i w:val="1"/>
                <w:iCs w:val="1"/>
                <w:color w:val="auto"/>
              </w:rPr>
              <w:t>issued to</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i w:val="1"/>
                <w:iCs w:val="1"/>
                <w:color w:val="auto"/>
              </w:rPr>
              <w:t>investors subject</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00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4"/>
                <w:szCs w:val="14"/>
                <w:color w:val="auto"/>
              </w:rPr>
              <w:t>Loans and</w:t>
            </w:r>
          </w:p>
        </w:tc>
        <w:tc>
          <w:tcPr>
            <w:tcW w:w="800" w:type="dxa"/>
            <w:vAlign w:val="bottom"/>
            <w:gridSpan w:val="2"/>
            <w:vMerge w:val="restart"/>
          </w:tcPr>
          <w:p>
            <w:pPr>
              <w:jc w:val="center"/>
              <w:ind w:right="101"/>
              <w:spacing w:after="0"/>
              <w:rPr>
                <w:sz w:val="20"/>
                <w:szCs w:val="20"/>
                <w:color w:val="auto"/>
              </w:rPr>
            </w:pPr>
            <w:r>
              <w:rPr>
                <w:rFonts w:ascii="Times New Roman" w:cs="Times New Roman" w:eastAsia="Times New Roman" w:hAnsi="Times New Roman"/>
                <w:sz w:val="14"/>
                <w:szCs w:val="14"/>
                <w:i w:val="1"/>
                <w:iCs w:val="1"/>
                <w:color w:val="auto"/>
              </w:rPr>
              <w:t>Lease</w:t>
            </w:r>
          </w:p>
        </w:tc>
        <w:tc>
          <w:tcPr>
            <w:tcW w:w="14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i w:val="1"/>
                <w:iCs w:val="1"/>
                <w:color w:val="auto"/>
              </w:rPr>
              <w:t>liabilities</w:t>
            </w:r>
          </w:p>
        </w:tc>
        <w:tc>
          <w:tcPr>
            <w:tcW w:w="13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i w:val="1"/>
                <w:iCs w:val="1"/>
                <w:color w:val="auto"/>
              </w:rPr>
              <w:t>to redemption</w:t>
            </w:r>
          </w:p>
        </w:tc>
        <w:tc>
          <w:tcPr>
            <w:tcW w:w="8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i w:val="1"/>
                <w:iCs w:val="1"/>
                <w:color w:val="auto"/>
              </w:rPr>
              <w:t>Put option</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16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i w:val="1"/>
                <w:iCs w:val="1"/>
                <w:color w:val="auto"/>
              </w:rPr>
              <w:t>measured at</w:t>
            </w:r>
          </w:p>
        </w:tc>
        <w:tc>
          <w:tcPr>
            <w:tcW w:w="13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i w:val="1"/>
                <w:iCs w:val="1"/>
                <w:color w:val="auto"/>
              </w:rPr>
              <w:t>and other</w:t>
            </w:r>
          </w:p>
        </w:tc>
        <w:tc>
          <w:tcPr>
            <w:tcW w:w="880" w:type="dxa"/>
            <w:vAlign w:val="bottom"/>
            <w:gridSpan w:val="2"/>
            <w:vMerge w:val="continue"/>
          </w:tcPr>
          <w:p>
            <w:pPr>
              <w:spacing w:after="0"/>
              <w:rPr>
                <w:sz w:val="12"/>
                <w:szCs w:val="12"/>
                <w:color w:val="auto"/>
              </w:rPr>
            </w:pPr>
          </w:p>
        </w:tc>
        <w:tc>
          <w:tcPr>
            <w:tcW w:w="9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i w:val="1"/>
                <w:iCs w:val="1"/>
                <w:color w:val="auto"/>
              </w:rPr>
              <w:t>Total</w:t>
            </w:r>
          </w:p>
        </w:tc>
        <w:tc>
          <w:tcPr>
            <w:tcW w:w="0" w:type="dxa"/>
            <w:vAlign w:val="bottom"/>
          </w:tcPr>
          <w:p>
            <w:pPr>
              <w:spacing w:after="0"/>
              <w:rPr>
                <w:sz w:val="1"/>
                <w:szCs w:val="1"/>
                <w:color w:val="auto"/>
              </w:rPr>
            </w:pPr>
          </w:p>
        </w:tc>
      </w:tr>
      <w:tr>
        <w:trPr>
          <w:trHeight w:val="173"/>
        </w:trPr>
        <w:tc>
          <w:tcPr>
            <w:tcW w:w="4900" w:type="dxa"/>
            <w:vAlign w:val="bottom"/>
          </w:tcPr>
          <w:p>
            <w:pPr>
              <w:spacing w:after="0"/>
              <w:rPr>
                <w:sz w:val="15"/>
                <w:szCs w:val="15"/>
                <w:color w:val="auto"/>
              </w:rPr>
            </w:pPr>
          </w:p>
        </w:tc>
        <w:tc>
          <w:tcPr>
            <w:tcW w:w="10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color w:val="auto"/>
              </w:rPr>
              <w:t>borrowings</w:t>
            </w:r>
          </w:p>
        </w:tc>
        <w:tc>
          <w:tcPr>
            <w:tcW w:w="800" w:type="dxa"/>
            <w:vAlign w:val="bottom"/>
            <w:gridSpan w:val="2"/>
          </w:tcPr>
          <w:p>
            <w:pPr>
              <w:jc w:val="center"/>
              <w:ind w:right="101"/>
              <w:spacing w:after="0"/>
              <w:rPr>
                <w:sz w:val="20"/>
                <w:szCs w:val="20"/>
                <w:color w:val="auto"/>
              </w:rPr>
            </w:pPr>
            <w:r>
              <w:rPr>
                <w:rFonts w:ascii="Times New Roman" w:cs="Times New Roman" w:eastAsia="Times New Roman" w:hAnsi="Times New Roman"/>
                <w:sz w:val="14"/>
                <w:szCs w:val="14"/>
                <w:i w:val="1"/>
                <w:iCs w:val="1"/>
                <w:color w:val="auto"/>
              </w:rPr>
              <w:t>liabilities</w:t>
            </w:r>
          </w:p>
        </w:tc>
        <w:tc>
          <w:tcPr>
            <w:tcW w:w="140" w:type="dxa"/>
            <w:vAlign w:val="bottom"/>
          </w:tcPr>
          <w:p>
            <w:pPr>
              <w:spacing w:after="0"/>
              <w:rPr>
                <w:sz w:val="15"/>
                <w:szCs w:val="15"/>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i w:val="1"/>
                <w:iCs w:val="1"/>
                <w:color w:val="auto"/>
              </w:rPr>
              <w:t>FVTPL</w:t>
            </w: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i w:val="1"/>
                <w:iCs w:val="1"/>
                <w:color w:val="auto"/>
              </w:rPr>
              <w:t>preferential rights</w:t>
            </w: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i w:val="1"/>
                <w:iCs w:val="1"/>
                <w:color w:val="auto"/>
              </w:rPr>
              <w:t>liabilities</w:t>
            </w:r>
          </w:p>
        </w:tc>
        <w:tc>
          <w:tcPr>
            <w:tcW w:w="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4900" w:type="dxa"/>
            <w:vAlign w:val="bottom"/>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RMB’000</w:t>
            </w:r>
          </w:p>
        </w:tc>
        <w:tc>
          <w:tcPr>
            <w:tcW w:w="320" w:type="dxa"/>
            <w:vAlign w:val="bottom"/>
            <w:gridSpan w:val="2"/>
          </w:tcPr>
          <w:p>
            <w:pPr>
              <w:spacing w:after="0"/>
              <w:rPr>
                <w:sz w:val="10"/>
                <w:szCs w:val="10"/>
                <w:color w:val="auto"/>
              </w:rPr>
            </w:pPr>
          </w:p>
        </w:tc>
        <w:tc>
          <w:tcPr>
            <w:tcW w:w="62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RMB’000</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RMB’000</w:t>
            </w:r>
          </w:p>
        </w:tc>
        <w:tc>
          <w:tcPr>
            <w:tcW w:w="320" w:type="dxa"/>
            <w:vAlign w:val="bottom"/>
          </w:tcPr>
          <w:p>
            <w:pPr>
              <w:spacing w:after="0"/>
              <w:rPr>
                <w:sz w:val="10"/>
                <w:szCs w:val="10"/>
                <w:color w:val="auto"/>
              </w:rPr>
            </w:pPr>
          </w:p>
        </w:tc>
        <w:tc>
          <w:tcPr>
            <w:tcW w:w="106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RMB’000</w:t>
            </w:r>
          </w:p>
        </w:tc>
        <w:tc>
          <w:tcPr>
            <w:tcW w:w="320" w:type="dxa"/>
            <w:vAlign w:val="bottom"/>
          </w:tcPr>
          <w:p>
            <w:pPr>
              <w:spacing w:after="0"/>
              <w:rPr>
                <w:sz w:val="10"/>
                <w:szCs w:val="10"/>
                <w:color w:val="auto"/>
              </w:rPr>
            </w:pPr>
          </w:p>
        </w:tc>
        <w:tc>
          <w:tcPr>
            <w:tcW w:w="62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RMB’000</w:t>
            </w:r>
          </w:p>
        </w:tc>
        <w:tc>
          <w:tcPr>
            <w:tcW w:w="260" w:type="dxa"/>
            <w:vAlign w:val="bottom"/>
          </w:tcPr>
          <w:p>
            <w:pPr>
              <w:spacing w:after="0"/>
              <w:rPr>
                <w:sz w:val="10"/>
                <w:szCs w:val="10"/>
                <w:color w:val="auto"/>
              </w:rPr>
            </w:pPr>
          </w:p>
        </w:tc>
        <w:tc>
          <w:tcPr>
            <w:tcW w:w="780" w:type="dxa"/>
            <w:vAlign w:val="bottom"/>
            <w:tcBorders>
              <w:top w:val="single" w:sz="8" w:color="auto"/>
            </w:tcBorders>
          </w:tcPr>
          <w:p>
            <w:pPr>
              <w:jc w:val="right"/>
              <w:ind w:right="12"/>
              <w:spacing w:after="0" w:line="119" w:lineRule="exact"/>
              <w:rPr>
                <w:sz w:val="20"/>
                <w:szCs w:val="20"/>
                <w:color w:val="auto"/>
              </w:rPr>
            </w:pPr>
            <w:r>
              <w:rPr>
                <w:rFonts w:ascii="Times New Roman" w:cs="Times New Roman" w:eastAsia="Times New Roman" w:hAnsi="Times New Roman"/>
                <w:sz w:val="13"/>
                <w:szCs w:val="13"/>
                <w:color w:val="auto"/>
              </w:rPr>
              <w:t>RMB’000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900" w:type="dxa"/>
            <w:vAlign w:val="bottom"/>
          </w:tcPr>
          <w:p>
            <w:pPr>
              <w:spacing w:after="0"/>
              <w:rPr>
                <w:sz w:val="14"/>
                <w:szCs w:val="14"/>
                <w:color w:val="auto"/>
              </w:rPr>
            </w:pPr>
          </w:p>
        </w:tc>
        <w:tc>
          <w:tcPr>
            <w:tcW w:w="10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color w:val="auto"/>
              </w:rPr>
              <w:t>(Note 25)</w:t>
            </w:r>
          </w:p>
        </w:tc>
        <w:tc>
          <w:tcPr>
            <w:tcW w:w="800" w:type="dxa"/>
            <w:vAlign w:val="bottom"/>
            <w:gridSpan w:val="2"/>
          </w:tcPr>
          <w:p>
            <w:pPr>
              <w:jc w:val="center"/>
              <w:ind w:right="121"/>
              <w:spacing w:after="0"/>
              <w:rPr>
                <w:sz w:val="20"/>
                <w:szCs w:val="20"/>
                <w:color w:val="auto"/>
              </w:rPr>
            </w:pPr>
            <w:r>
              <w:rPr>
                <w:rFonts w:ascii="Times New Roman" w:cs="Times New Roman" w:eastAsia="Times New Roman" w:hAnsi="Times New Roman"/>
                <w:sz w:val="14"/>
                <w:szCs w:val="14"/>
                <w:color w:val="auto"/>
              </w:rPr>
              <w:t>(Note 20)</w:t>
            </w:r>
          </w:p>
        </w:tc>
        <w:tc>
          <w:tcPr>
            <w:tcW w:w="14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9"/>
              </w:rPr>
              <w:t>(Note 26)</w:t>
            </w: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(Note 21)</w:t>
            </w: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(Note 22)</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January 1, 2020</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34,295</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75,057</w:t>
            </w:r>
          </w:p>
        </w:tc>
        <w:tc>
          <w:tcPr>
            <w:tcW w:w="11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103,961</w:t>
            </w:r>
          </w:p>
        </w:tc>
        <w:tc>
          <w:tcPr>
            <w:tcW w:w="13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65,071</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278,384</w:t>
            </w:r>
          </w:p>
        </w:tc>
        <w:tc>
          <w:tcPr>
            <w:tcW w:w="0" w:type="dxa"/>
            <w:vAlign w:val="bottom"/>
          </w:tcPr>
          <w:p>
            <w:pPr>
              <w:spacing w:after="0"/>
              <w:rPr>
                <w:sz w:val="1"/>
                <w:szCs w:val="1"/>
                <w:color w:val="auto"/>
              </w:rPr>
            </w:pPr>
          </w:p>
        </w:tc>
      </w:tr>
      <w:tr>
        <w:trPr>
          <w:trHeight w:val="223"/>
        </w:trPr>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Changes from financing cash flows:</w:t>
            </w:r>
          </w:p>
        </w:tc>
        <w:tc>
          <w:tcPr>
            <w:tcW w:w="6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Proceeds from issuance of other financial instruments subject to</w:t>
            </w: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redemption and other preferential rights</w:t>
            </w:r>
          </w:p>
        </w:tc>
        <w:tc>
          <w:tcPr>
            <w:tcW w:w="10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653,550</w:t>
            </w:r>
          </w:p>
        </w:tc>
        <w:tc>
          <w:tcPr>
            <w:tcW w:w="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653,550</w:t>
            </w:r>
          </w:p>
        </w:tc>
        <w:tc>
          <w:tcPr>
            <w:tcW w:w="0" w:type="dxa"/>
            <w:vAlign w:val="bottom"/>
          </w:tcPr>
          <w:p>
            <w:pPr>
              <w:spacing w:after="0"/>
              <w:rPr>
                <w:sz w:val="1"/>
                <w:szCs w:val="1"/>
                <w:color w:val="auto"/>
              </w:rPr>
            </w:pPr>
          </w:p>
        </w:tc>
      </w:tr>
      <w:tr>
        <w:trPr>
          <w:trHeight w:val="198"/>
        </w:trPr>
        <w:tc>
          <w:tcPr>
            <w:tcW w:w="4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Proceeds from issuance of financial liabilities measured at</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FVTPL</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140,261</w:t>
            </w: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140,261</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loans and borrowings</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106,356</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106,356</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Repayments of loans and borrowings</w:t>
            </w: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(34,295)</w:t>
            </w:r>
          </w:p>
        </w:tc>
        <w:tc>
          <w:tcPr>
            <w:tcW w:w="8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(34,295)</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of loans and borrowings paid</w:t>
            </w:r>
          </w:p>
        </w:tc>
        <w:tc>
          <w:tcPr>
            <w:tcW w:w="1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(3,017)</w:t>
            </w:r>
          </w:p>
        </w:tc>
        <w:tc>
          <w:tcPr>
            <w:tcW w:w="8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(3,017)</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Capital element of lease rentals paid</w:t>
            </w:r>
          </w:p>
        </w:tc>
        <w:tc>
          <w:tcPr>
            <w:tcW w:w="10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(19,619)</w:t>
            </w:r>
          </w:p>
        </w:tc>
        <w:tc>
          <w:tcPr>
            <w:tcW w:w="14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(19,619)</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element of lease rentals paid</w:t>
            </w:r>
          </w:p>
        </w:tc>
        <w:tc>
          <w:tcPr>
            <w:tcW w:w="10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(3,202)</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(3,202)</w:t>
            </w:r>
          </w:p>
        </w:tc>
        <w:tc>
          <w:tcPr>
            <w:tcW w:w="0" w:type="dxa"/>
            <w:vAlign w:val="bottom"/>
          </w:tcPr>
          <w:p>
            <w:pPr>
              <w:spacing w:after="0"/>
              <w:rPr>
                <w:sz w:val="1"/>
                <w:szCs w:val="1"/>
                <w:color w:val="auto"/>
              </w:rPr>
            </w:pPr>
          </w:p>
        </w:tc>
      </w:tr>
      <w:tr>
        <w:trPr>
          <w:trHeight w:val="230"/>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Total changes from financing cash flows</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69,044</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(22,821</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140,261</w:t>
            </w:r>
          </w:p>
        </w:tc>
        <w:tc>
          <w:tcPr>
            <w:tcW w:w="320" w:type="dxa"/>
            <w:vAlign w:val="bottom"/>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653,550</w:t>
            </w:r>
          </w:p>
        </w:tc>
        <w:tc>
          <w:tcPr>
            <w:tcW w:w="320" w:type="dxa"/>
            <w:vAlign w:val="bottom"/>
          </w:tcPr>
          <w:p>
            <w:pPr>
              <w:spacing w:after="0"/>
              <w:rPr>
                <w:sz w:val="20"/>
                <w:szCs w:val="20"/>
                <w:color w:val="auto"/>
              </w:rPr>
            </w:pPr>
          </w:p>
        </w:tc>
        <w:tc>
          <w:tcPr>
            <w:tcW w:w="62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840,034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Exchange adjustments</w:t>
            </w:r>
          </w:p>
        </w:tc>
        <w:tc>
          <w:tcPr>
            <w:tcW w:w="1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(1,878)</w:t>
            </w:r>
          </w:p>
        </w:tc>
        <w:tc>
          <w:tcPr>
            <w:tcW w:w="8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(2,305)</w:t>
            </w:r>
          </w:p>
        </w:tc>
        <w:tc>
          <w:tcPr>
            <w:tcW w:w="11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(18,228)</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(3,125)</w:t>
            </w:r>
          </w:p>
        </w:tc>
        <w:tc>
          <w:tcPr>
            <w:tcW w:w="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(25,536)</w:t>
            </w:r>
          </w:p>
        </w:tc>
        <w:tc>
          <w:tcPr>
            <w:tcW w:w="0" w:type="dxa"/>
            <w:vAlign w:val="bottom"/>
          </w:tcPr>
          <w:p>
            <w:pPr>
              <w:spacing w:after="0"/>
              <w:rPr>
                <w:sz w:val="1"/>
                <w:szCs w:val="1"/>
                <w:color w:val="auto"/>
              </w:rPr>
            </w:pPr>
          </w:p>
        </w:tc>
      </w:tr>
      <w:tr>
        <w:trPr>
          <w:trHeight w:val="223"/>
        </w:trPr>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changes:</w:t>
            </w:r>
          </w:p>
        </w:tc>
        <w:tc>
          <w:tcPr>
            <w:tcW w:w="6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Increase in lease liabilities from entering into new leases during</w:t>
            </w: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 year</w:t>
            </w:r>
          </w:p>
        </w:tc>
        <w:tc>
          <w:tcPr>
            <w:tcW w:w="10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11,834</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11,834</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Increase in interest expenses</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3,017</w:t>
            </w:r>
          </w:p>
        </w:tc>
        <w:tc>
          <w:tcPr>
            <w:tcW w:w="300" w:type="dxa"/>
            <w:vAlign w:val="bottom"/>
          </w:tcPr>
          <w:p>
            <w:pPr>
              <w:spacing w:after="0"/>
              <w:rPr>
                <w:sz w:val="18"/>
                <w:szCs w:val="18"/>
                <w:color w:val="auto"/>
              </w:rPr>
            </w:pPr>
          </w:p>
        </w:tc>
        <w:tc>
          <w:tcPr>
            <w:tcW w:w="8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3,202</w:t>
            </w:r>
          </w:p>
        </w:tc>
        <w:tc>
          <w:tcPr>
            <w:tcW w:w="14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6,219</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the carrying amount of put option liabilities</w:t>
            </w:r>
          </w:p>
        </w:tc>
        <w:tc>
          <w:tcPr>
            <w:tcW w:w="10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1,045</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1,045</w:t>
            </w:r>
          </w:p>
        </w:tc>
        <w:tc>
          <w:tcPr>
            <w:tcW w:w="0" w:type="dxa"/>
            <w:vAlign w:val="bottom"/>
          </w:tcPr>
          <w:p>
            <w:pPr>
              <w:spacing w:after="0"/>
              <w:rPr>
                <w:sz w:val="1"/>
                <w:szCs w:val="1"/>
                <w:color w:val="auto"/>
              </w:rPr>
            </w:pPr>
          </w:p>
        </w:tc>
      </w:tr>
      <w:tr>
        <w:trPr>
          <w:trHeight w:val="198"/>
        </w:trPr>
        <w:tc>
          <w:tcPr>
            <w:tcW w:w="4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Changes in the carrying amounts of preferred shares and other</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financial instruments subject to redemption and other</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preferential rights</w:t>
            </w:r>
          </w:p>
        </w:tc>
        <w:tc>
          <w:tcPr>
            <w:tcW w:w="10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3,259</w:t>
            </w:r>
          </w:p>
        </w:tc>
        <w:tc>
          <w:tcPr>
            <w:tcW w:w="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3,259</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changes of financial liabilities measured at FVTPL</w:t>
            </w:r>
          </w:p>
        </w:tc>
        <w:tc>
          <w:tcPr>
            <w:tcW w:w="10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12,876</w:t>
            </w:r>
          </w:p>
        </w:tc>
        <w:tc>
          <w:tcPr>
            <w:tcW w:w="13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12,876</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Inducement charges of warrants</w:t>
            </w:r>
          </w:p>
        </w:tc>
        <w:tc>
          <w:tcPr>
            <w:tcW w:w="10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211,016</w:t>
            </w: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211,016</w:t>
            </w:r>
          </w:p>
        </w:tc>
        <w:tc>
          <w:tcPr>
            <w:tcW w:w="0" w:type="dxa"/>
            <w:vAlign w:val="bottom"/>
          </w:tcPr>
          <w:p>
            <w:pPr>
              <w:spacing w:after="0"/>
              <w:rPr>
                <w:sz w:val="1"/>
                <w:szCs w:val="1"/>
                <w:color w:val="auto"/>
              </w:rPr>
            </w:pPr>
          </w:p>
        </w:tc>
      </w:tr>
      <w:tr>
        <w:trPr>
          <w:trHeight w:val="198"/>
        </w:trPr>
        <w:tc>
          <w:tcPr>
            <w:tcW w:w="4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Conversion of convertible notes to convertible redeemable</w:t>
            </w: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shares</w:t>
            </w:r>
          </w:p>
        </w:tc>
        <w:tc>
          <w:tcPr>
            <w:tcW w:w="10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(35,200)</w:t>
            </w: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34,666</w:t>
            </w:r>
          </w:p>
        </w:tc>
        <w:tc>
          <w:tcPr>
            <w:tcW w:w="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(534)</w:t>
            </w:r>
          </w:p>
        </w:tc>
        <w:tc>
          <w:tcPr>
            <w:tcW w:w="0" w:type="dxa"/>
            <w:vAlign w:val="bottom"/>
          </w:tcPr>
          <w:p>
            <w:pPr>
              <w:spacing w:after="0"/>
              <w:rPr>
                <w:sz w:val="1"/>
                <w:szCs w:val="1"/>
                <w:color w:val="auto"/>
              </w:rPr>
            </w:pPr>
          </w:p>
        </w:tc>
      </w:tr>
      <w:tr>
        <w:trPr>
          <w:trHeight w:val="198"/>
        </w:trPr>
        <w:tc>
          <w:tcPr>
            <w:tcW w:w="4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Conversion of convertible notes to non-redeemable preferred</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w:t>
            </w: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spacing w:after="0"/>
              <w:rPr>
                <w:sz w:val="20"/>
                <w:szCs w:val="20"/>
                <w:color w:val="auto"/>
              </w:rPr>
            </w:pPr>
          </w:p>
        </w:tc>
        <w:tc>
          <w:tcPr>
            <w:tcW w:w="6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(89,366)</w:t>
            </w: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(89,366)</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changes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99,326</w:t>
            </w: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37,925</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1,045</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156,349</w:t>
            </w:r>
          </w:p>
        </w:tc>
        <w:tc>
          <w:tcPr>
            <w:tcW w:w="0" w:type="dxa"/>
            <w:vAlign w:val="bottom"/>
          </w:tcPr>
          <w:p>
            <w:pPr>
              <w:spacing w:after="0"/>
              <w:rPr>
                <w:sz w:val="1"/>
                <w:szCs w:val="1"/>
                <w:color w:val="auto"/>
              </w:rPr>
            </w:pPr>
          </w:p>
        </w:tc>
      </w:tr>
      <w:tr>
        <w:trPr>
          <w:trHeight w:val="223"/>
        </w:trPr>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of December 31, 2020</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104,478</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64,967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325,320</w:t>
            </w:r>
          </w:p>
        </w:tc>
        <w:tc>
          <w:tcPr>
            <w:tcW w:w="32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688,350</w:t>
            </w:r>
          </w:p>
        </w:tc>
        <w:tc>
          <w:tcPr>
            <w:tcW w:w="3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66,116</w:t>
            </w:r>
          </w:p>
        </w:tc>
        <w:tc>
          <w:tcPr>
            <w:tcW w:w="2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1,249,231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900" w:type="dxa"/>
            <w:vAlign w:val="bottom"/>
          </w:tcPr>
          <w:p>
            <w:pPr>
              <w:spacing w:after="0"/>
              <w:rPr>
                <w:sz w:val="24"/>
                <w:szCs w:val="24"/>
                <w:color w:val="auto"/>
              </w:rPr>
            </w:pP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F-44</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i w:val="1"/>
                <w:iCs w:val="1"/>
                <w:color w:val="auto"/>
              </w:rPr>
              <w:t>Preferred shares</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i w:val="1"/>
                <w:iCs w:val="1"/>
                <w:color w:val="auto"/>
              </w:rPr>
              <w:t>and financial</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i w:val="1"/>
                <w:iCs w:val="1"/>
                <w:color w:val="auto"/>
              </w:rPr>
              <w:t>instruments</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i w:val="1"/>
                <w:iCs w:val="1"/>
                <w:color w:val="auto"/>
              </w:rPr>
              <w:t>Financial</w:t>
            </w:r>
          </w:p>
        </w:tc>
        <w:tc>
          <w:tcPr>
            <w:tcW w:w="12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i w:val="1"/>
                <w:iCs w:val="1"/>
                <w:color w:val="auto"/>
              </w:rPr>
              <w:t>issued to</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i w:val="1"/>
                <w:iCs w:val="1"/>
                <w:color w:val="auto"/>
              </w:rPr>
              <w:t>investors subject</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8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Loans and</w:t>
            </w:r>
          </w:p>
        </w:tc>
        <w:tc>
          <w:tcPr>
            <w:tcW w:w="840" w:type="dxa"/>
            <w:vAlign w:val="bottom"/>
            <w:gridSpan w:val="2"/>
            <w:vMerge w:val="restart"/>
          </w:tcPr>
          <w:p>
            <w:pPr>
              <w:jc w:val="center"/>
              <w:ind w:right="141"/>
              <w:spacing w:after="0"/>
              <w:rPr>
                <w:sz w:val="20"/>
                <w:szCs w:val="20"/>
                <w:color w:val="auto"/>
              </w:rPr>
            </w:pPr>
            <w:r>
              <w:rPr>
                <w:rFonts w:ascii="Times New Roman" w:cs="Times New Roman" w:eastAsia="Times New Roman" w:hAnsi="Times New Roman"/>
                <w:sz w:val="14"/>
                <w:szCs w:val="14"/>
                <w:i w:val="1"/>
                <w:iCs w:val="1"/>
                <w:color w:val="auto"/>
              </w:rPr>
              <w:t>Lease</w:t>
            </w:r>
          </w:p>
        </w:tc>
        <w:tc>
          <w:tcPr>
            <w:tcW w:w="9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i w:val="1"/>
                <w:iCs w:val="1"/>
                <w:color w:val="auto"/>
              </w:rPr>
              <w:t>liabilities</w:t>
            </w:r>
          </w:p>
        </w:tc>
        <w:tc>
          <w:tcPr>
            <w:tcW w:w="12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i w:val="1"/>
                <w:iCs w:val="1"/>
                <w:color w:val="auto"/>
              </w:rPr>
              <w:t>to redemption</w:t>
            </w:r>
          </w:p>
        </w:tc>
        <w:tc>
          <w:tcPr>
            <w:tcW w:w="860" w:type="dxa"/>
            <w:vAlign w:val="bottom"/>
            <w:gridSpan w:val="2"/>
            <w:vMerge w:val="restart"/>
          </w:tcPr>
          <w:p>
            <w:pPr>
              <w:jc w:val="center"/>
              <w:ind w:right="141"/>
              <w:spacing w:after="0"/>
              <w:rPr>
                <w:sz w:val="20"/>
                <w:szCs w:val="20"/>
                <w:color w:val="auto"/>
              </w:rPr>
            </w:pPr>
            <w:r>
              <w:rPr>
                <w:rFonts w:ascii="Times New Roman" w:cs="Times New Roman" w:eastAsia="Times New Roman" w:hAnsi="Times New Roman"/>
                <w:sz w:val="14"/>
                <w:szCs w:val="14"/>
                <w:i w:val="1"/>
                <w:iCs w:val="1"/>
                <w:color w:val="auto"/>
              </w:rPr>
              <w:t>Put option</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i w:val="1"/>
                <w:iCs w:val="1"/>
                <w:color w:val="auto"/>
              </w:rPr>
              <w:t>measured at</w:t>
            </w:r>
          </w:p>
        </w:tc>
        <w:tc>
          <w:tcPr>
            <w:tcW w:w="12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i w:val="1"/>
                <w:iCs w:val="1"/>
                <w:color w:val="auto"/>
              </w:rPr>
              <w:t>and other</w:t>
            </w:r>
          </w:p>
        </w:tc>
        <w:tc>
          <w:tcPr>
            <w:tcW w:w="860" w:type="dxa"/>
            <w:vAlign w:val="bottom"/>
            <w:gridSpan w:val="2"/>
            <w:vMerge w:val="continue"/>
          </w:tcPr>
          <w:p>
            <w:pPr>
              <w:spacing w:after="0"/>
              <w:rPr>
                <w:sz w:val="12"/>
                <w:szCs w:val="12"/>
                <w:color w:val="auto"/>
              </w:rPr>
            </w:pPr>
          </w:p>
        </w:tc>
        <w:tc>
          <w:tcPr>
            <w:tcW w:w="9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i w:val="1"/>
                <w:iCs w:val="1"/>
                <w:color w:val="auto"/>
              </w:rPr>
              <w:t>Total</w:t>
            </w:r>
          </w:p>
        </w:tc>
        <w:tc>
          <w:tcPr>
            <w:tcW w:w="0" w:type="dxa"/>
            <w:vAlign w:val="bottom"/>
          </w:tcPr>
          <w:p>
            <w:pPr>
              <w:spacing w:after="0"/>
              <w:rPr>
                <w:sz w:val="1"/>
                <w:szCs w:val="1"/>
                <w:color w:val="auto"/>
              </w:rPr>
            </w:pPr>
          </w:p>
        </w:tc>
      </w:tr>
      <w:tr>
        <w:trPr>
          <w:trHeight w:val="173"/>
        </w:trPr>
        <w:tc>
          <w:tcPr>
            <w:tcW w:w="528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borrowings</w:t>
            </w:r>
          </w:p>
        </w:tc>
        <w:tc>
          <w:tcPr>
            <w:tcW w:w="840" w:type="dxa"/>
            <w:vAlign w:val="bottom"/>
            <w:gridSpan w:val="2"/>
          </w:tcPr>
          <w:p>
            <w:pPr>
              <w:jc w:val="center"/>
              <w:ind w:right="141"/>
              <w:spacing w:after="0"/>
              <w:rPr>
                <w:sz w:val="20"/>
                <w:szCs w:val="20"/>
                <w:color w:val="auto"/>
              </w:rPr>
            </w:pPr>
            <w:r>
              <w:rPr>
                <w:rFonts w:ascii="Times New Roman" w:cs="Times New Roman" w:eastAsia="Times New Roman" w:hAnsi="Times New Roman"/>
                <w:sz w:val="14"/>
                <w:szCs w:val="14"/>
                <w:i w:val="1"/>
                <w:iCs w:val="1"/>
                <w:color w:val="auto"/>
              </w:rPr>
              <w:t>liabilities</w:t>
            </w: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i w:val="1"/>
                <w:iCs w:val="1"/>
                <w:color w:val="auto"/>
              </w:rPr>
              <w:t>FVTPL</w:t>
            </w: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i w:val="1"/>
                <w:iCs w:val="1"/>
                <w:color w:val="auto"/>
              </w:rPr>
              <w:t>preferential rights</w:t>
            </w:r>
          </w:p>
        </w:tc>
        <w:tc>
          <w:tcPr>
            <w:tcW w:w="860" w:type="dxa"/>
            <w:vAlign w:val="bottom"/>
            <w:gridSpan w:val="2"/>
          </w:tcPr>
          <w:p>
            <w:pPr>
              <w:jc w:val="center"/>
              <w:ind w:right="121"/>
              <w:spacing w:after="0"/>
              <w:rPr>
                <w:sz w:val="20"/>
                <w:szCs w:val="20"/>
                <w:color w:val="auto"/>
              </w:rPr>
            </w:pPr>
            <w:r>
              <w:rPr>
                <w:rFonts w:ascii="Times New Roman" w:cs="Times New Roman" w:eastAsia="Times New Roman" w:hAnsi="Times New Roman"/>
                <w:sz w:val="14"/>
                <w:szCs w:val="14"/>
                <w:i w:val="1"/>
                <w:iCs w:val="1"/>
                <w:color w:val="auto"/>
              </w:rPr>
              <w:t>liabilities</w:t>
            </w: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5280" w:type="dxa"/>
            <w:vAlign w:val="bottom"/>
          </w:tcPr>
          <w:p>
            <w:pPr>
              <w:spacing w:after="0"/>
              <w:rPr>
                <w:sz w:val="10"/>
                <w:szCs w:val="10"/>
                <w:color w:val="auto"/>
              </w:rPr>
            </w:pPr>
          </w:p>
        </w:tc>
        <w:tc>
          <w:tcPr>
            <w:tcW w:w="66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RMB’000</w:t>
            </w:r>
          </w:p>
        </w:tc>
        <w:tc>
          <w:tcPr>
            <w:tcW w:w="220" w:type="dxa"/>
            <w:vAlign w:val="bottom"/>
          </w:tcPr>
          <w:p>
            <w:pPr>
              <w:spacing w:after="0"/>
              <w:rPr>
                <w:sz w:val="10"/>
                <w:szCs w:val="10"/>
                <w:color w:val="auto"/>
              </w:rPr>
            </w:pPr>
          </w:p>
        </w:tc>
        <w:tc>
          <w:tcPr>
            <w:tcW w:w="62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RMB’000</w:t>
            </w:r>
          </w:p>
        </w:tc>
        <w:tc>
          <w:tcPr>
            <w:tcW w:w="220" w:type="dxa"/>
            <w:vAlign w:val="bottom"/>
          </w:tcPr>
          <w:p>
            <w:pPr>
              <w:spacing w:after="0"/>
              <w:rPr>
                <w:sz w:val="10"/>
                <w:szCs w:val="10"/>
                <w:color w:val="auto"/>
              </w:rPr>
            </w:pPr>
          </w:p>
        </w:tc>
        <w:tc>
          <w:tcPr>
            <w:tcW w:w="72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RMB’000</w:t>
            </w:r>
          </w:p>
        </w:tc>
        <w:tc>
          <w:tcPr>
            <w:tcW w:w="220" w:type="dxa"/>
            <w:vAlign w:val="bottom"/>
          </w:tcPr>
          <w:p>
            <w:pPr>
              <w:spacing w:after="0"/>
              <w:rPr>
                <w:sz w:val="10"/>
                <w:szCs w:val="10"/>
                <w:color w:val="auto"/>
              </w:rPr>
            </w:pPr>
          </w:p>
        </w:tc>
        <w:tc>
          <w:tcPr>
            <w:tcW w:w="108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RMB’000</w:t>
            </w:r>
          </w:p>
        </w:tc>
        <w:tc>
          <w:tcPr>
            <w:tcW w:w="200" w:type="dxa"/>
            <w:vAlign w:val="bottom"/>
          </w:tcPr>
          <w:p>
            <w:pPr>
              <w:spacing w:after="0"/>
              <w:rPr>
                <w:sz w:val="10"/>
                <w:szCs w:val="10"/>
                <w:color w:val="auto"/>
              </w:rPr>
            </w:pPr>
          </w:p>
        </w:tc>
        <w:tc>
          <w:tcPr>
            <w:tcW w:w="64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RMB’000</w:t>
            </w:r>
          </w:p>
        </w:tc>
        <w:tc>
          <w:tcPr>
            <w:tcW w:w="220" w:type="dxa"/>
            <w:vAlign w:val="bottom"/>
          </w:tcPr>
          <w:p>
            <w:pPr>
              <w:spacing w:after="0"/>
              <w:rPr>
                <w:sz w:val="10"/>
                <w:szCs w:val="10"/>
                <w:color w:val="auto"/>
              </w:rPr>
            </w:pPr>
          </w:p>
        </w:tc>
        <w:tc>
          <w:tcPr>
            <w:tcW w:w="820" w:type="dxa"/>
            <w:vAlign w:val="bottom"/>
            <w:tcBorders>
              <w:top w:val="single" w:sz="8" w:color="auto"/>
            </w:tcBorders>
          </w:tcPr>
          <w:p>
            <w:pPr>
              <w:jc w:val="right"/>
              <w:ind w:right="32"/>
              <w:spacing w:after="0" w:line="119" w:lineRule="exact"/>
              <w:rPr>
                <w:sz w:val="20"/>
                <w:szCs w:val="20"/>
                <w:color w:val="auto"/>
              </w:rPr>
            </w:pPr>
            <w:r>
              <w:rPr>
                <w:rFonts w:ascii="Times New Roman" w:cs="Times New Roman" w:eastAsia="Times New Roman" w:hAnsi="Times New Roman"/>
                <w:sz w:val="13"/>
                <w:szCs w:val="13"/>
                <w:color w:val="auto"/>
              </w:rPr>
              <w:t>RMB’000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(Note 25)</w:t>
            </w:r>
          </w:p>
        </w:tc>
        <w:tc>
          <w:tcPr>
            <w:tcW w:w="840" w:type="dxa"/>
            <w:vAlign w:val="bottom"/>
            <w:gridSpan w:val="2"/>
          </w:tcPr>
          <w:p>
            <w:pPr>
              <w:jc w:val="center"/>
              <w:ind w:right="141"/>
              <w:spacing w:after="0"/>
              <w:rPr>
                <w:sz w:val="20"/>
                <w:szCs w:val="20"/>
                <w:color w:val="auto"/>
              </w:rPr>
            </w:pPr>
            <w:r>
              <w:rPr>
                <w:rFonts w:ascii="Times New Roman" w:cs="Times New Roman" w:eastAsia="Times New Roman" w:hAnsi="Times New Roman"/>
                <w:sz w:val="14"/>
                <w:szCs w:val="14"/>
                <w:color w:val="auto"/>
                <w:w w:val="99"/>
              </w:rPr>
              <w:t>(Note 20)</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(Note 26)</w:t>
            </w: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(Note 21)</w:t>
            </w:r>
          </w:p>
        </w:tc>
        <w:tc>
          <w:tcPr>
            <w:tcW w:w="860" w:type="dxa"/>
            <w:vAlign w:val="bottom"/>
            <w:gridSpan w:val="2"/>
          </w:tcPr>
          <w:p>
            <w:pPr>
              <w:jc w:val="center"/>
              <w:ind w:right="141"/>
              <w:spacing w:after="0"/>
              <w:rPr>
                <w:sz w:val="20"/>
                <w:szCs w:val="20"/>
                <w:color w:val="auto"/>
              </w:rPr>
            </w:pPr>
            <w:r>
              <w:rPr>
                <w:rFonts w:ascii="Times New Roman" w:cs="Times New Roman" w:eastAsia="Times New Roman" w:hAnsi="Times New Roman"/>
                <w:sz w:val="14"/>
                <w:szCs w:val="14"/>
                <w:color w:val="auto"/>
              </w:rPr>
              <w:t>(Note 22)</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January 1, 2021</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104,478</w:t>
            </w:r>
          </w:p>
        </w:tc>
        <w:tc>
          <w:tcPr>
            <w:tcW w:w="8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64,967</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325,320</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688,350</w:t>
            </w:r>
          </w:p>
        </w:tc>
        <w:tc>
          <w:tcPr>
            <w:tcW w:w="8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66,116</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1,249,231</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Changes from financing cash flows:</w:t>
            </w:r>
          </w:p>
        </w:tc>
        <w:tc>
          <w:tcPr>
            <w:tcW w:w="6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5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Proceeds from issuance of preferred shares and other financial</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instruments subject to redemption and other preferential rights</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2,683,290</w:t>
            </w:r>
          </w:p>
        </w:tc>
        <w:tc>
          <w:tcPr>
            <w:tcW w:w="86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2,683,290</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financial liabilities measured at FVTPL</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107,095</w:t>
            </w: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107,095</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of loans and borrowings</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(91,208)</w:t>
            </w:r>
          </w:p>
        </w:tc>
        <w:tc>
          <w:tcPr>
            <w:tcW w:w="8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(91,208)</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Interest of loans and borrowings paid</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(2,422)</w:t>
            </w:r>
          </w:p>
        </w:tc>
        <w:tc>
          <w:tcPr>
            <w:tcW w:w="8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(2,422)</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for put option liabilities</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(28,280)</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(28,280)</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Capital element of lease rentals paid</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(21,632)</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(21,632)</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element of lease rentals paid</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(3,147)</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(3,147)</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Total changes from financing cash flows</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(93,630)</w:t>
            </w:r>
          </w:p>
        </w:tc>
        <w:tc>
          <w:tcPr>
            <w:tcW w:w="22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(24,779</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107,095</w:t>
            </w:r>
          </w:p>
        </w:tc>
        <w:tc>
          <w:tcPr>
            <w:tcW w:w="220" w:type="dxa"/>
            <w:vAlign w:val="bottom"/>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2,683,290</w:t>
            </w:r>
          </w:p>
        </w:tc>
        <w:tc>
          <w:tcPr>
            <w:tcW w:w="2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(28,280</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2,643,696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Exchange adjustments</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(367)</w:t>
            </w:r>
          </w:p>
        </w:tc>
        <w:tc>
          <w:tcPr>
            <w:tcW w:w="8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(639)</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(7,027)</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(52,809)</w:t>
            </w:r>
          </w:p>
        </w:tc>
        <w:tc>
          <w:tcPr>
            <w:tcW w:w="86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(60,842)</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changes:</w:t>
            </w:r>
          </w:p>
        </w:tc>
        <w:tc>
          <w:tcPr>
            <w:tcW w:w="6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5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Increase in lease liabilities from entering into new leases during the</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year</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51,137</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51,137</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Increase in interest expenses</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2,422</w:t>
            </w:r>
          </w:p>
        </w:tc>
        <w:tc>
          <w:tcPr>
            <w:tcW w:w="8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3,147</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5,569</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the carrying amount of put option liabilities</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1,348</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1,348</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Government grant for PPP loan forgiveness</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(12,903)</w:t>
            </w:r>
          </w:p>
        </w:tc>
        <w:tc>
          <w:tcPr>
            <w:tcW w:w="8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(12,903)</w:t>
            </w:r>
          </w:p>
        </w:tc>
        <w:tc>
          <w:tcPr>
            <w:tcW w:w="0" w:type="dxa"/>
            <w:vAlign w:val="bottom"/>
          </w:tcPr>
          <w:p>
            <w:pPr>
              <w:spacing w:after="0"/>
              <w:rPr>
                <w:sz w:val="1"/>
                <w:szCs w:val="1"/>
                <w:color w:val="auto"/>
              </w:rPr>
            </w:pPr>
          </w:p>
        </w:tc>
      </w:tr>
      <w:tr>
        <w:trPr>
          <w:trHeight w:val="198"/>
        </w:trPr>
        <w:tc>
          <w:tcPr>
            <w:tcW w:w="5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Changes in the carrying amounts of preferred shares and other financial</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instruments subject to redemption and other preferential rights</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268,142</w:t>
            </w:r>
          </w:p>
        </w:tc>
        <w:tc>
          <w:tcPr>
            <w:tcW w:w="86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268,142</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Fair value changes of financial liabilities measured at FVTPL</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259,872</w:t>
            </w: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259,872</w:t>
            </w:r>
          </w:p>
        </w:tc>
        <w:tc>
          <w:tcPr>
            <w:tcW w:w="0" w:type="dxa"/>
            <w:vAlign w:val="bottom"/>
          </w:tcPr>
          <w:p>
            <w:pPr>
              <w:spacing w:after="0"/>
              <w:rPr>
                <w:sz w:val="1"/>
                <w:szCs w:val="1"/>
                <w:color w:val="auto"/>
              </w:rPr>
            </w:pPr>
          </w:p>
        </w:tc>
      </w:tr>
      <w:tr>
        <w:trPr>
          <w:trHeight w:val="198"/>
        </w:trPr>
        <w:tc>
          <w:tcPr>
            <w:tcW w:w="5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Conversion of convertible notes to convertible redeemable preferred</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(104,256)</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101,640</w:t>
            </w:r>
          </w:p>
        </w:tc>
        <w:tc>
          <w:tcPr>
            <w:tcW w:w="86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(2,616)</w:t>
            </w:r>
          </w:p>
        </w:tc>
        <w:tc>
          <w:tcPr>
            <w:tcW w:w="0" w:type="dxa"/>
            <w:vAlign w:val="bottom"/>
          </w:tcPr>
          <w:p>
            <w:pPr>
              <w:spacing w:after="0"/>
              <w:rPr>
                <w:sz w:val="1"/>
                <w:szCs w:val="1"/>
                <w:color w:val="auto"/>
              </w:rPr>
            </w:pPr>
          </w:p>
        </w:tc>
      </w:tr>
      <w:tr>
        <w:trPr>
          <w:trHeight w:val="198"/>
        </w:trPr>
        <w:tc>
          <w:tcPr>
            <w:tcW w:w="5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Exercise of warrants to subscribe for convertible redeemable preferred</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w:t>
            </w: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(506,647)</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102,023</w:t>
            </w:r>
          </w:p>
        </w:tc>
        <w:tc>
          <w:tcPr>
            <w:tcW w:w="8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(404,624)</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changes</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(10,481)</w:t>
            </w:r>
          </w:p>
        </w:tc>
        <w:tc>
          <w:tcPr>
            <w:tcW w:w="8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54,284</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(351,031)</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471,805</w:t>
            </w:r>
          </w:p>
        </w:tc>
        <w:tc>
          <w:tcPr>
            <w:tcW w:w="8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1,348</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165,925</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of December 31, 2021</w:t>
            </w:r>
          </w:p>
        </w:tc>
        <w:tc>
          <w:tcPr>
            <w:tcW w:w="6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93,833</w:t>
            </w:r>
          </w:p>
        </w:tc>
        <w:tc>
          <w:tcPr>
            <w:tcW w:w="2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74,357</w:t>
            </w:r>
          </w:p>
        </w:tc>
        <w:tc>
          <w:tcPr>
            <w:tcW w:w="22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3,790,636</w:t>
            </w:r>
          </w:p>
        </w:tc>
        <w:tc>
          <w:tcPr>
            <w:tcW w:w="2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39,184</w:t>
            </w:r>
          </w:p>
        </w:tc>
        <w:tc>
          <w:tcPr>
            <w:tcW w:w="2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3,998,010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280" w:type="dxa"/>
            <w:vAlign w:val="bottom"/>
          </w:tcPr>
          <w:p>
            <w:pPr>
              <w:spacing w:after="0"/>
              <w:rPr>
                <w:sz w:val="24"/>
                <w:szCs w:val="24"/>
                <w:color w:val="auto"/>
              </w:rPr>
            </w:pPr>
          </w:p>
        </w:tc>
        <w:tc>
          <w:tcPr>
            <w:tcW w:w="8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F-45</w:t>
            </w: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19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Total cash outflow for leases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Amounts included in the consolidated statements of cash flows for leases comprise the following:</w:t>
      </w:r>
    </w:p>
    <w:p>
      <w:pPr>
        <w:spacing w:after="0" w:line="246" w:lineRule="exact"/>
        <w:rPr>
          <w:sz w:val="20"/>
          <w:szCs w:val="20"/>
          <w:color w:val="auto"/>
        </w:rPr>
      </w:pPr>
    </w:p>
    <w:p>
      <w:pPr>
        <w:jc w:val="center"/>
        <w:ind w:left="6540"/>
        <w:spacing w:after="0"/>
        <w:rPr>
          <w:sz w:val="20"/>
          <w:szCs w:val="20"/>
          <w:color w:val="auto"/>
        </w:rPr>
      </w:pPr>
      <w:r>
        <w:rPr>
          <w:rFonts w:ascii="Times New Roman" w:cs="Times New Roman" w:eastAsia="Times New Roman" w:hAnsi="Times New Roman"/>
          <w:sz w:val="14"/>
          <w:szCs w:val="14"/>
          <w:i w:val="1"/>
          <w:iCs w:val="1"/>
          <w:color w:val="auto"/>
        </w:rPr>
        <w:t>For the year ended</w:t>
      </w:r>
    </w:p>
    <w:p>
      <w:pPr>
        <w:jc w:val="center"/>
        <w:ind w:left="6540"/>
        <w:spacing w:after="0"/>
        <w:rPr>
          <w:sz w:val="20"/>
          <w:szCs w:val="20"/>
          <w:color w:val="auto"/>
        </w:rPr>
      </w:pPr>
      <w:r>
        <w:rPr>
          <w:rFonts w:ascii="Times New Roman" w:cs="Times New Roman" w:eastAsia="Times New Roman" w:hAnsi="Times New Roman"/>
          <w:sz w:val="14"/>
          <w:szCs w:val="14"/>
          <w:i w:val="1"/>
          <w:iCs w:val="1"/>
          <w:color w:val="auto"/>
        </w:rPr>
        <w:t>December 31,</w:t>
      </w:r>
    </w:p>
    <w:tbl>
      <w:tblPr>
        <w:tblLayout w:type="fixed"/>
        <w:tblInd w:w="1440" w:type="dxa"/>
        <w:tblCellMar>
          <w:top w:w="0" w:type="dxa"/>
          <w:left w:w="0" w:type="dxa"/>
          <w:bottom w:w="0" w:type="dxa"/>
          <w:right w:w="0" w:type="dxa"/>
        </w:tblCellMar>
      </w:tblPr>
      <w:tr>
        <w:trPr>
          <w:trHeight w:val="119"/>
        </w:trPr>
        <w:tc>
          <w:tcPr>
            <w:tcW w:w="6600" w:type="dxa"/>
            <w:vAlign w:val="bottom"/>
          </w:tcPr>
          <w:p>
            <w:pPr>
              <w:spacing w:after="0"/>
              <w:rPr>
                <w:sz w:val="10"/>
                <w:szCs w:val="10"/>
                <w:color w:val="auto"/>
              </w:rPr>
            </w:pPr>
          </w:p>
        </w:tc>
        <w:tc>
          <w:tcPr>
            <w:tcW w:w="60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i w:val="1"/>
                <w:iCs w:val="1"/>
                <w:color w:val="auto"/>
              </w:rPr>
              <w:t>2020</w:t>
            </w:r>
          </w:p>
        </w:tc>
        <w:tc>
          <w:tcPr>
            <w:tcW w:w="4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i w:val="1"/>
                <w:iCs w:val="1"/>
                <w:color w:val="auto"/>
              </w:rPr>
              <w:t>2021</w:t>
            </w:r>
          </w:p>
        </w:tc>
        <w:tc>
          <w:tcPr>
            <w:tcW w:w="60" w:type="dxa"/>
            <w:vAlign w:val="bottom"/>
          </w:tcPr>
          <w:p>
            <w:pPr>
              <w:spacing w:after="0"/>
              <w:rPr>
                <w:sz w:val="10"/>
                <w:szCs w:val="10"/>
                <w:color w:val="auto"/>
              </w:rPr>
            </w:pPr>
          </w:p>
        </w:tc>
      </w:tr>
      <w:tr>
        <w:trPr>
          <w:trHeight w:val="171"/>
        </w:trPr>
        <w:tc>
          <w:tcPr>
            <w:tcW w:w="6600" w:type="dxa"/>
            <w:vAlign w:val="bottom"/>
          </w:tcPr>
          <w:p>
            <w:pPr>
              <w:spacing w:after="0"/>
              <w:rPr>
                <w:sz w:val="14"/>
                <w:szCs w:val="14"/>
                <w:color w:val="auto"/>
              </w:rPr>
            </w:pPr>
          </w:p>
        </w:tc>
        <w:tc>
          <w:tcPr>
            <w:tcW w:w="10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color w:val="auto"/>
              </w:rPr>
              <w:t>RMB’000</w:t>
            </w:r>
          </w:p>
        </w:tc>
        <w:tc>
          <w:tcPr>
            <w:tcW w:w="6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RMB’000</w:t>
            </w: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operating cash flows</w:t>
            </w:r>
          </w:p>
        </w:tc>
        <w:tc>
          <w:tcPr>
            <w:tcW w:w="10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329</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620</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Within financing cash flows</w:t>
            </w: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22,821</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24,779</w:t>
            </w:r>
          </w:p>
        </w:tc>
      </w:tr>
      <w:tr>
        <w:trPr>
          <w:trHeight w:val="223"/>
        </w:trPr>
        <w:tc>
          <w:tcPr>
            <w:tcW w:w="66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23,150</w:t>
            </w:r>
          </w:p>
        </w:tc>
        <w:tc>
          <w:tcPr>
            <w:tcW w:w="4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25,399</w:t>
            </w:r>
          </w:p>
        </w:tc>
        <w:tc>
          <w:tcPr>
            <w:tcW w:w="6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These amounts relate to the following:</w:t>
      </w:r>
    </w:p>
    <w:p>
      <w:pPr>
        <w:spacing w:after="0" w:line="246" w:lineRule="exact"/>
        <w:rPr>
          <w:sz w:val="20"/>
          <w:szCs w:val="20"/>
          <w:color w:val="auto"/>
        </w:rPr>
      </w:pPr>
    </w:p>
    <w:p>
      <w:pPr>
        <w:jc w:val="center"/>
        <w:ind w:left="6540"/>
        <w:spacing w:after="0"/>
        <w:rPr>
          <w:sz w:val="20"/>
          <w:szCs w:val="20"/>
          <w:color w:val="auto"/>
        </w:rPr>
      </w:pPr>
      <w:r>
        <w:rPr>
          <w:rFonts w:ascii="Times New Roman" w:cs="Times New Roman" w:eastAsia="Times New Roman" w:hAnsi="Times New Roman"/>
          <w:sz w:val="14"/>
          <w:szCs w:val="14"/>
          <w:i w:val="1"/>
          <w:iCs w:val="1"/>
          <w:color w:val="auto"/>
        </w:rPr>
        <w:t>For the year ended</w:t>
      </w:r>
    </w:p>
    <w:p>
      <w:pPr>
        <w:jc w:val="center"/>
        <w:ind w:left="6540"/>
        <w:spacing w:after="0"/>
        <w:rPr>
          <w:sz w:val="20"/>
          <w:szCs w:val="20"/>
          <w:color w:val="auto"/>
        </w:rPr>
      </w:pPr>
      <w:r>
        <w:rPr>
          <w:rFonts w:ascii="Times New Roman" w:cs="Times New Roman" w:eastAsia="Times New Roman" w:hAnsi="Times New Roman"/>
          <w:sz w:val="14"/>
          <w:szCs w:val="14"/>
          <w:i w:val="1"/>
          <w:iCs w:val="1"/>
          <w:color w:val="auto"/>
        </w:rPr>
        <w:t>December 31,</w:t>
      </w:r>
    </w:p>
    <w:tbl>
      <w:tblPr>
        <w:tblLayout w:type="fixed"/>
        <w:tblInd w:w="1440" w:type="dxa"/>
        <w:tblCellMar>
          <w:top w:w="0" w:type="dxa"/>
          <w:left w:w="0" w:type="dxa"/>
          <w:bottom w:w="0" w:type="dxa"/>
          <w:right w:w="0" w:type="dxa"/>
        </w:tblCellMar>
      </w:tblPr>
      <w:tr>
        <w:trPr>
          <w:trHeight w:val="119"/>
        </w:trPr>
        <w:tc>
          <w:tcPr>
            <w:tcW w:w="6600" w:type="dxa"/>
            <w:vAlign w:val="bottom"/>
          </w:tcPr>
          <w:p>
            <w:pPr>
              <w:spacing w:after="0"/>
              <w:rPr>
                <w:sz w:val="10"/>
                <w:szCs w:val="10"/>
                <w:color w:val="auto"/>
              </w:rPr>
            </w:pPr>
          </w:p>
        </w:tc>
        <w:tc>
          <w:tcPr>
            <w:tcW w:w="600" w:type="dxa"/>
            <w:vAlign w:val="bottom"/>
            <w:tcBorders>
              <w:top w:val="single" w:sz="8" w:color="auto"/>
            </w:tcBorders>
          </w:tcPr>
          <w:p>
            <w:pPr>
              <w:jc w:val="right"/>
              <w:ind w:right="84"/>
              <w:spacing w:after="0" w:line="119" w:lineRule="exact"/>
              <w:rPr>
                <w:sz w:val="20"/>
                <w:szCs w:val="20"/>
                <w:color w:val="auto"/>
              </w:rPr>
            </w:pPr>
            <w:r>
              <w:rPr>
                <w:rFonts w:ascii="Times New Roman" w:cs="Times New Roman" w:eastAsia="Times New Roman" w:hAnsi="Times New Roman"/>
                <w:sz w:val="13"/>
                <w:szCs w:val="13"/>
                <w:i w:val="1"/>
                <w:iCs w:val="1"/>
                <w:color w:val="auto"/>
              </w:rPr>
              <w:t>2020</w:t>
            </w:r>
          </w:p>
        </w:tc>
        <w:tc>
          <w:tcPr>
            <w:tcW w:w="4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84"/>
              <w:spacing w:after="0" w:line="119" w:lineRule="exact"/>
              <w:rPr>
                <w:sz w:val="20"/>
                <w:szCs w:val="20"/>
                <w:color w:val="auto"/>
              </w:rPr>
            </w:pPr>
            <w:r>
              <w:rPr>
                <w:rFonts w:ascii="Times New Roman" w:cs="Times New Roman" w:eastAsia="Times New Roman" w:hAnsi="Times New Roman"/>
                <w:sz w:val="13"/>
                <w:szCs w:val="13"/>
                <w:i w:val="1"/>
                <w:iCs w:val="1"/>
                <w:color w:val="auto"/>
              </w:rPr>
              <w:t>2021</w:t>
            </w:r>
          </w:p>
        </w:tc>
        <w:tc>
          <w:tcPr>
            <w:tcW w:w="60" w:type="dxa"/>
            <w:vAlign w:val="bottom"/>
          </w:tcPr>
          <w:p>
            <w:pPr>
              <w:spacing w:after="0"/>
              <w:rPr>
                <w:sz w:val="10"/>
                <w:szCs w:val="10"/>
                <w:color w:val="auto"/>
              </w:rPr>
            </w:pPr>
          </w:p>
        </w:tc>
      </w:tr>
      <w:tr>
        <w:trPr>
          <w:trHeight w:val="171"/>
        </w:trPr>
        <w:tc>
          <w:tcPr>
            <w:tcW w:w="6600" w:type="dxa"/>
            <w:vAlign w:val="bottom"/>
          </w:tcPr>
          <w:p>
            <w:pPr>
              <w:spacing w:after="0"/>
              <w:rPr>
                <w:sz w:val="14"/>
                <w:szCs w:val="14"/>
                <w:color w:val="auto"/>
              </w:rPr>
            </w:pPr>
          </w:p>
        </w:tc>
        <w:tc>
          <w:tcPr>
            <w:tcW w:w="10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color w:val="auto"/>
              </w:rPr>
              <w:t>RMB’000</w:t>
            </w:r>
          </w:p>
        </w:tc>
        <w:tc>
          <w:tcPr>
            <w:tcW w:w="6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RMB’000</w:t>
            </w: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rentals paid</w:t>
            </w:r>
          </w:p>
        </w:tc>
        <w:tc>
          <w:tcPr>
            <w:tcW w:w="10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23,150</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25,399</w:t>
            </w:r>
          </w:p>
        </w:tc>
      </w:tr>
      <w:tr>
        <w:trPr>
          <w:trHeight w:val="20"/>
        </w:trPr>
        <w:tc>
          <w:tcPr>
            <w:tcW w:w="66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6" w:lineRule="exact"/>
        <w:rPr>
          <w:sz w:val="20"/>
          <w:szCs w:val="20"/>
          <w:color w:val="auto"/>
        </w:rPr>
      </w:pPr>
    </w:p>
    <w:p>
      <w:pPr>
        <w:ind w:left="540" w:hanging="424"/>
        <w:spacing w:after="0"/>
        <w:tabs>
          <w:tab w:leader="none" w:pos="540" w:val="left"/>
        </w:tabs>
        <w:numPr>
          <w:ilvl w:val="0"/>
          <w:numId w:val="20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Non-cash transactions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Non-cash investing and financing transactions incurred for the years ended December 31, 2020 and 2021 mainly comprised the following:</w:t>
      </w:r>
    </w:p>
    <w:p>
      <w:pPr>
        <w:spacing w:after="0" w:line="131" w:lineRule="exact"/>
        <w:rPr>
          <w:sz w:val="20"/>
          <w:szCs w:val="20"/>
          <w:color w:val="auto"/>
        </w:rPr>
      </w:pPr>
    </w:p>
    <w:p>
      <w:pPr>
        <w:ind w:left="540" w:right="860" w:hanging="424"/>
        <w:spacing w:after="0" w:line="282" w:lineRule="auto"/>
        <w:tabs>
          <w:tab w:leader="none" w:pos="54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of right-of-use assets included in lease liabilities amounting to RMB11.8 million and RMB51.1 million for the years ended December 31, 2020 and 2021, respectively;</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 of treasury shares amounting to RMB19.4 million recognized as addition of share premium for the year ended December 31, 2021;</w:t>
      </w:r>
    </w:p>
    <w:p>
      <w:pPr>
        <w:spacing w:after="0" w:line="130" w:lineRule="exact"/>
        <w:rPr>
          <w:rFonts w:ascii="Times New Roman" w:cs="Times New Roman" w:eastAsia="Times New Roman" w:hAnsi="Times New Roman"/>
          <w:sz w:val="18"/>
          <w:szCs w:val="18"/>
          <w:color w:val="auto"/>
        </w:rPr>
      </w:pPr>
    </w:p>
    <w:p>
      <w:pPr>
        <w:ind w:left="540" w:right="460" w:hanging="424"/>
        <w:spacing w:after="0" w:line="282" w:lineRule="auto"/>
        <w:tabs>
          <w:tab w:leader="none" w:pos="54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of vested restricted share units amounting to RMB115.0 million recognized as reduction of share premium for the year ended December 31, 2020;</w:t>
      </w:r>
    </w:p>
    <w:p>
      <w:pPr>
        <w:spacing w:after="0" w:line="67" w:lineRule="exact"/>
        <w:rPr>
          <w:rFonts w:ascii="Times New Roman" w:cs="Times New Roman" w:eastAsia="Times New Roman" w:hAnsi="Times New Roman"/>
          <w:sz w:val="18"/>
          <w:szCs w:val="18"/>
          <w:color w:val="auto"/>
        </w:rPr>
      </w:pPr>
    </w:p>
    <w:p>
      <w:pPr>
        <w:ind w:left="540" w:right="100" w:hanging="424"/>
        <w:spacing w:after="0" w:line="282" w:lineRule="auto"/>
        <w:tabs>
          <w:tab w:leader="none" w:pos="54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of convertible notes to preferred shares amounting to RMB124.6 million and RMB104.3 million for the years ended December 31, 2020 and 2021, respectively;</w:t>
      </w:r>
    </w:p>
    <w:p>
      <w:pPr>
        <w:spacing w:after="0" w:line="67" w:lineRule="exact"/>
        <w:rPr>
          <w:rFonts w:ascii="Times New Roman" w:cs="Times New Roman" w:eastAsia="Times New Roman" w:hAnsi="Times New Roman"/>
          <w:sz w:val="18"/>
          <w:szCs w:val="18"/>
          <w:color w:val="auto"/>
        </w:rPr>
      </w:pPr>
    </w:p>
    <w:p>
      <w:pPr>
        <w:ind w:left="540" w:right="440" w:hanging="424"/>
        <w:spacing w:after="0" w:line="282" w:lineRule="auto"/>
        <w:tabs>
          <w:tab w:leader="none" w:pos="54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of warrants to subscribe for convertible redeemable preferred shares amounting to nil and RMB506.6 million for the years ended December 31, 2020 and 2021, respectively.</w:t>
      </w:r>
    </w:p>
    <w:p>
      <w:pPr>
        <w:spacing w:after="0" w:line="306"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20</w:t>
        <w:tab/>
        <w:t>Lease liabilities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shows the remaining contractual maturities of the Group’s lease liabilities at the end of the periods presented:</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14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760" w:type="dxa"/>
            <w:vAlign w:val="bottom"/>
            <w:gridSpan w:val="4"/>
          </w:tcPr>
          <w:p>
            <w:pPr>
              <w:ind w:left="280"/>
              <w:spacing w:after="0"/>
              <w:rPr>
                <w:sz w:val="20"/>
                <w:szCs w:val="20"/>
                <w:color w:val="auto"/>
              </w:rPr>
            </w:pPr>
            <w:r>
              <w:rPr>
                <w:rFonts w:ascii="Times New Roman" w:cs="Times New Roman" w:eastAsia="Times New Roman" w:hAnsi="Times New Roman"/>
                <w:sz w:val="14"/>
                <w:szCs w:val="14"/>
                <w:i w:val="1"/>
                <w:iCs w:val="1"/>
                <w:color w:val="auto"/>
              </w:rPr>
              <w:t>As of December 31,</w:t>
            </w:r>
          </w:p>
        </w:tc>
      </w:tr>
      <w:tr>
        <w:trPr>
          <w:trHeight w:val="119"/>
        </w:trPr>
        <w:tc>
          <w:tcPr>
            <w:tcW w:w="314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600" w:type="dxa"/>
            <w:vAlign w:val="bottom"/>
            <w:tcBorders>
              <w:top w:val="single" w:sz="8" w:color="auto"/>
            </w:tcBorders>
          </w:tcPr>
          <w:p>
            <w:pPr>
              <w:jc w:val="right"/>
              <w:ind w:right="80"/>
              <w:spacing w:after="0" w:line="119" w:lineRule="exact"/>
              <w:rPr>
                <w:sz w:val="20"/>
                <w:szCs w:val="20"/>
                <w:color w:val="auto"/>
              </w:rPr>
            </w:pPr>
            <w:r>
              <w:rPr>
                <w:rFonts w:ascii="Times New Roman" w:cs="Times New Roman" w:eastAsia="Times New Roman" w:hAnsi="Times New Roman"/>
                <w:sz w:val="13"/>
                <w:szCs w:val="13"/>
                <w:i w:val="1"/>
                <w:iCs w:val="1"/>
                <w:color w:val="auto"/>
              </w:rPr>
              <w:t>2020</w:t>
            </w:r>
          </w:p>
        </w:tc>
        <w:tc>
          <w:tcPr>
            <w:tcW w:w="4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76"/>
              <w:spacing w:after="0" w:line="119" w:lineRule="exact"/>
              <w:rPr>
                <w:sz w:val="20"/>
                <w:szCs w:val="20"/>
                <w:color w:val="auto"/>
              </w:rPr>
            </w:pPr>
            <w:r>
              <w:rPr>
                <w:rFonts w:ascii="Times New Roman" w:cs="Times New Roman" w:eastAsia="Times New Roman" w:hAnsi="Times New Roman"/>
                <w:sz w:val="13"/>
                <w:szCs w:val="13"/>
                <w:i w:val="1"/>
                <w:iCs w:val="1"/>
                <w:color w:val="auto"/>
              </w:rPr>
              <w:t>2021</w:t>
            </w:r>
          </w:p>
        </w:tc>
        <w:tc>
          <w:tcPr>
            <w:tcW w:w="60" w:type="dxa"/>
            <w:vAlign w:val="bottom"/>
          </w:tcPr>
          <w:p>
            <w:pPr>
              <w:spacing w:after="0"/>
              <w:rPr>
                <w:sz w:val="10"/>
                <w:szCs w:val="10"/>
                <w:color w:val="auto"/>
              </w:rPr>
            </w:pPr>
          </w:p>
        </w:tc>
      </w:tr>
      <w:tr>
        <w:trPr>
          <w:trHeight w:val="188"/>
        </w:trPr>
        <w:tc>
          <w:tcPr>
            <w:tcW w:w="314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0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color w:val="auto"/>
              </w:rPr>
              <w:t>RMB’000</w:t>
            </w:r>
          </w:p>
        </w:tc>
        <w:tc>
          <w:tcPr>
            <w:tcW w:w="6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RMB’000</w:t>
            </w:r>
          </w:p>
        </w:tc>
      </w:tr>
      <w:tr>
        <w:trPr>
          <w:trHeight w:val="91"/>
        </w:trPr>
        <w:tc>
          <w:tcPr>
            <w:tcW w:w="3140" w:type="dxa"/>
            <w:vAlign w:val="bottom"/>
          </w:tcPr>
          <w:p>
            <w:pPr>
              <w:spacing w:after="0"/>
              <w:rPr>
                <w:sz w:val="7"/>
                <w:szCs w:val="7"/>
                <w:color w:val="auto"/>
              </w:rPr>
            </w:pPr>
          </w:p>
        </w:tc>
        <w:tc>
          <w:tcPr>
            <w:tcW w:w="3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1 year</w:t>
            </w:r>
          </w:p>
        </w:tc>
        <w:tc>
          <w:tcPr>
            <w:tcW w:w="4540" w:type="dxa"/>
            <w:vAlign w:val="bottom"/>
            <w:gridSpan w:val="3"/>
            <w:shd w:val="clear" w:color="auto" w:fill="CCEEFF"/>
          </w:tcPr>
          <w:p>
            <w:pPr>
              <w:ind w:left="3580"/>
              <w:spacing w:after="0"/>
              <w:rPr>
                <w:sz w:val="20"/>
                <w:szCs w:val="20"/>
                <w:color w:val="auto"/>
              </w:rPr>
            </w:pPr>
            <w:r>
              <w:rPr>
                <w:rFonts w:ascii="Times New Roman" w:cs="Times New Roman" w:eastAsia="Times New Roman" w:hAnsi="Times New Roman"/>
                <w:sz w:val="18"/>
                <w:szCs w:val="18"/>
                <w:color w:val="auto"/>
              </w:rPr>
              <w:t>16,915</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32,537</w:t>
            </w:r>
          </w:p>
        </w:tc>
      </w:tr>
      <w:tr>
        <w:trPr>
          <w:trHeight w:val="223"/>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After 1 year but within 2 years</w:t>
            </w:r>
          </w:p>
        </w:tc>
        <w:tc>
          <w:tcPr>
            <w:tcW w:w="3460" w:type="dxa"/>
            <w:vAlign w:val="bottom"/>
          </w:tcPr>
          <w:p>
            <w:pPr>
              <w:spacing w:after="0"/>
              <w:rPr>
                <w:sz w:val="19"/>
                <w:szCs w:val="19"/>
                <w:color w:val="auto"/>
              </w:rPr>
            </w:pPr>
          </w:p>
        </w:tc>
        <w:tc>
          <w:tcPr>
            <w:tcW w:w="6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2"/>
              </w:rPr>
              <w:t>23,169</w:t>
            </w:r>
          </w:p>
        </w:tc>
        <w:tc>
          <w:tcPr>
            <w:tcW w:w="48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28,126</w:t>
            </w:r>
          </w:p>
        </w:tc>
        <w:tc>
          <w:tcPr>
            <w:tcW w:w="60" w:type="dxa"/>
            <w:vAlign w:val="bottom"/>
          </w:tcPr>
          <w:p>
            <w:pPr>
              <w:spacing w:after="0"/>
              <w:rPr>
                <w:sz w:val="19"/>
                <w:szCs w:val="19"/>
                <w:color w:val="auto"/>
              </w:rPr>
            </w:pP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After 2 years but within 5 years</w:t>
            </w:r>
          </w:p>
        </w:tc>
        <w:tc>
          <w:tcPr>
            <w:tcW w:w="4540" w:type="dxa"/>
            <w:vAlign w:val="bottom"/>
            <w:gridSpan w:val="3"/>
            <w:shd w:val="clear" w:color="auto" w:fill="CCEEFF"/>
          </w:tcPr>
          <w:p>
            <w:pPr>
              <w:ind w:left="3580"/>
              <w:spacing w:after="0"/>
              <w:rPr>
                <w:sz w:val="20"/>
                <w:szCs w:val="20"/>
                <w:color w:val="auto"/>
              </w:rPr>
            </w:pPr>
            <w:r>
              <w:rPr>
                <w:rFonts w:ascii="Times New Roman" w:cs="Times New Roman" w:eastAsia="Times New Roman" w:hAnsi="Times New Roman"/>
                <w:sz w:val="18"/>
                <w:szCs w:val="18"/>
                <w:color w:val="auto"/>
              </w:rPr>
              <w:t>24,883</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33,170</w:t>
            </w:r>
          </w:p>
        </w:tc>
      </w:tr>
      <w:tr>
        <w:trPr>
          <w:trHeight w:val="230"/>
        </w:trPr>
        <w:tc>
          <w:tcPr>
            <w:tcW w:w="314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60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2"/>
              </w:rPr>
              <w:t>48,052</w:t>
            </w:r>
          </w:p>
        </w:tc>
        <w:tc>
          <w:tcPr>
            <w:tcW w:w="48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61,296</w:t>
            </w:r>
          </w:p>
        </w:tc>
        <w:tc>
          <w:tcPr>
            <w:tcW w:w="60" w:type="dxa"/>
            <w:vAlign w:val="bottom"/>
          </w:tcPr>
          <w:p>
            <w:pPr>
              <w:spacing w:after="0"/>
              <w:rPr>
                <w:sz w:val="20"/>
                <w:szCs w:val="20"/>
                <w:color w:val="auto"/>
              </w:rPr>
            </w:pPr>
          </w:p>
        </w:tc>
      </w:tr>
      <w:tr>
        <w:trPr>
          <w:trHeight w:val="216"/>
        </w:trPr>
        <w:tc>
          <w:tcPr>
            <w:tcW w:w="314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64,967</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93,833</w:t>
            </w:r>
          </w:p>
        </w:tc>
      </w:tr>
      <w:tr>
        <w:trPr>
          <w:trHeight w:val="20"/>
        </w:trPr>
        <w:tc>
          <w:tcPr>
            <w:tcW w:w="31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3140" w:type="dxa"/>
            <w:vAlign w:val="bottom"/>
          </w:tcPr>
          <w:p>
            <w:pPr>
              <w:spacing w:after="0"/>
              <w:rPr>
                <w:sz w:val="24"/>
                <w:szCs w:val="24"/>
                <w:color w:val="auto"/>
              </w:rPr>
            </w:pPr>
          </w:p>
        </w:tc>
        <w:tc>
          <w:tcPr>
            <w:tcW w:w="4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F-46</w:t>
            </w: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940"/>
          </w:cols>
          <w:pgMar w:left="320" w:top="455" w:right="639" w:bottom="1440" w:gutter="0" w:footer="0" w:header="0"/>
        </w:sectPr>
      </w:pPr>
    </w:p>
    <w:bookmarkStart w:id="299" w:name="page300"/>
    <w:bookmarkEnd w:id="2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21</w:t>
        <w:tab/>
        <w:t>Preferred shares and other financial instruments subject to redemption and other preferential rights</w:t>
      </w:r>
    </w:p>
    <w:p>
      <w:pPr>
        <w:spacing w:after="0" w:line="250"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260" w:type="dxa"/>
            <w:vAlign w:val="bottom"/>
          </w:tcPr>
          <w:p>
            <w:pPr>
              <w:spacing w:after="0"/>
              <w:rPr>
                <w:sz w:val="15"/>
                <w:szCs w:val="15"/>
                <w:color w:val="auto"/>
              </w:rPr>
            </w:pPr>
          </w:p>
        </w:tc>
        <w:tc>
          <w:tcPr>
            <w:tcW w:w="2100" w:type="dxa"/>
            <w:vAlign w:val="bottom"/>
            <w:gridSpan w:val="4"/>
          </w:tcPr>
          <w:p>
            <w:pPr>
              <w:jc w:val="right"/>
              <w:ind w:right="520"/>
              <w:spacing w:after="0"/>
              <w:rPr>
                <w:sz w:val="20"/>
                <w:szCs w:val="20"/>
                <w:color w:val="auto"/>
              </w:rPr>
            </w:pPr>
            <w:r>
              <w:rPr>
                <w:rFonts w:ascii="Times New Roman" w:cs="Times New Roman" w:eastAsia="Times New Roman" w:hAnsi="Times New Roman"/>
                <w:sz w:val="14"/>
                <w:szCs w:val="14"/>
                <w:i w:val="1"/>
                <w:iCs w:val="1"/>
                <w:color w:val="auto"/>
              </w:rPr>
              <w:t>As of December 31,</w:t>
            </w:r>
          </w:p>
        </w:tc>
      </w:tr>
      <w:tr>
        <w:trPr>
          <w:trHeight w:val="119"/>
        </w:trPr>
        <w:tc>
          <w:tcPr>
            <w:tcW w:w="6260" w:type="dxa"/>
            <w:vAlign w:val="bottom"/>
          </w:tcPr>
          <w:p>
            <w:pPr>
              <w:spacing w:after="0"/>
              <w:rPr>
                <w:sz w:val="10"/>
                <w:szCs w:val="10"/>
                <w:color w:val="auto"/>
              </w:rPr>
            </w:pPr>
          </w:p>
        </w:tc>
        <w:tc>
          <w:tcPr>
            <w:tcW w:w="780" w:type="dxa"/>
            <w:vAlign w:val="bottom"/>
            <w:tcBorders>
              <w:top w:val="single" w:sz="8" w:color="auto"/>
            </w:tcBorders>
          </w:tcPr>
          <w:p>
            <w:pPr>
              <w:jc w:val="right"/>
              <w:ind w:right="160"/>
              <w:spacing w:after="0" w:line="119" w:lineRule="exact"/>
              <w:rPr>
                <w:sz w:val="20"/>
                <w:szCs w:val="20"/>
                <w:color w:val="auto"/>
              </w:rPr>
            </w:pPr>
            <w:r>
              <w:rPr>
                <w:rFonts w:ascii="Times New Roman" w:cs="Times New Roman" w:eastAsia="Times New Roman" w:hAnsi="Times New Roman"/>
                <w:sz w:val="13"/>
                <w:szCs w:val="13"/>
                <w:i w:val="1"/>
                <w:iCs w:val="1"/>
                <w:color w:val="auto"/>
              </w:rPr>
              <w:t>2020</w:t>
            </w:r>
          </w:p>
        </w:tc>
        <w:tc>
          <w:tcPr>
            <w:tcW w:w="2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238"/>
              <w:spacing w:after="0" w:line="119" w:lineRule="exact"/>
              <w:rPr>
                <w:sz w:val="20"/>
                <w:szCs w:val="20"/>
                <w:color w:val="auto"/>
              </w:rPr>
            </w:pPr>
            <w:r>
              <w:rPr>
                <w:rFonts w:ascii="Times New Roman" w:cs="Times New Roman" w:eastAsia="Times New Roman" w:hAnsi="Times New Roman"/>
                <w:sz w:val="13"/>
                <w:szCs w:val="13"/>
                <w:i w:val="1"/>
                <w:iCs w:val="1"/>
                <w:color w:val="auto"/>
              </w:rPr>
              <w:t>2021</w:t>
            </w:r>
          </w:p>
        </w:tc>
        <w:tc>
          <w:tcPr>
            <w:tcW w:w="80" w:type="dxa"/>
            <w:vAlign w:val="bottom"/>
          </w:tcPr>
          <w:p>
            <w:pPr>
              <w:spacing w:after="0"/>
              <w:rPr>
                <w:sz w:val="10"/>
                <w:szCs w:val="10"/>
                <w:color w:val="auto"/>
              </w:rPr>
            </w:pPr>
          </w:p>
        </w:tc>
      </w:tr>
      <w:tr>
        <w:trPr>
          <w:trHeight w:val="188"/>
        </w:trPr>
        <w:tc>
          <w:tcPr>
            <w:tcW w:w="626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RMB’000</w:t>
            </w:r>
          </w:p>
        </w:tc>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RMB’000</w:t>
            </w:r>
          </w:p>
        </w:tc>
      </w:tr>
      <w:tr>
        <w:trPr>
          <w:trHeight w:val="91"/>
        </w:trPr>
        <w:tc>
          <w:tcPr>
            <w:tcW w:w="6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8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financial instruments (Note (a))</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655,571</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752,120</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Convertible redeemable preferred shares (Note (b))</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32,779</w:t>
            </w:r>
          </w:p>
        </w:tc>
        <w:tc>
          <w:tcPr>
            <w:tcW w:w="2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3,038,516</w:t>
            </w:r>
          </w:p>
        </w:tc>
      </w:tr>
      <w:tr>
        <w:trPr>
          <w:trHeight w:val="27"/>
        </w:trPr>
        <w:tc>
          <w:tcPr>
            <w:tcW w:w="62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6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688,350</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3,790,636</w:t>
            </w:r>
          </w:p>
        </w:tc>
      </w:tr>
      <w:tr>
        <w:trPr>
          <w:trHeight w:val="20"/>
        </w:trPr>
        <w:tc>
          <w:tcPr>
            <w:tcW w:w="6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8" w:lineRule="exact"/>
        <w:rPr>
          <w:sz w:val="20"/>
          <w:szCs w:val="20"/>
          <w:color w:val="auto"/>
        </w:rPr>
      </w:pPr>
    </w:p>
    <w:p>
      <w:pPr>
        <w:ind w:left="540" w:hanging="424"/>
        <w:spacing w:after="0"/>
        <w:tabs>
          <w:tab w:leader="none" w:pos="540" w:val="left"/>
        </w:tabs>
        <w:numPr>
          <w:ilvl w:val="0"/>
          <w:numId w:val="20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financial instruments issued to investors</w:t>
      </w:r>
    </w:p>
    <w:p>
      <w:pPr>
        <w:spacing w:after="0" w:line="119"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The Group committed to issue convertible redeemable preferred shares to certain investors and received the consideration in full from the investors upfront.</w:t>
      </w:r>
    </w:p>
    <w:p>
      <w:pPr>
        <w:spacing w:after="0" w:line="162"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Please see the accounting policy in Note 2(q)(ii), the Group recognized such financial instruments issued to investors as financial liabilities and measured them at the present value of the redemption amounts in accordance with Note 2(q)(i). Any changes in the carrying amount of such financial instruments issued to investors were recorded in profit or loss as “changes in the carrying amounts of preferred shares and other financial instruments subject to redemption and other preferential rights”.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movement of such financial instruments issued to investors during the periods presented is set out as below:</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180" w:type="dxa"/>
            <w:vAlign w:val="bottom"/>
          </w:tcPr>
          <w:p>
            <w:pPr>
              <w:spacing w:after="0"/>
              <w:rPr>
                <w:sz w:val="13"/>
                <w:szCs w:val="13"/>
                <w:color w:val="auto"/>
              </w:rPr>
            </w:pPr>
          </w:p>
        </w:tc>
        <w:tc>
          <w:tcPr>
            <w:tcW w:w="218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i w:val="1"/>
                <w:iCs w:val="1"/>
                <w:color w:val="auto"/>
              </w:rPr>
              <w:t>For the year ended</w:t>
            </w:r>
          </w:p>
        </w:tc>
      </w:tr>
      <w:tr>
        <w:trPr>
          <w:trHeight w:val="173"/>
        </w:trPr>
        <w:tc>
          <w:tcPr>
            <w:tcW w:w="6180" w:type="dxa"/>
            <w:vAlign w:val="bottom"/>
          </w:tcPr>
          <w:p>
            <w:pPr>
              <w:spacing w:after="0"/>
              <w:rPr>
                <w:sz w:val="15"/>
                <w:szCs w:val="15"/>
                <w:color w:val="auto"/>
              </w:rPr>
            </w:pPr>
          </w:p>
        </w:tc>
        <w:tc>
          <w:tcPr>
            <w:tcW w:w="218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i w:val="1"/>
                <w:iCs w:val="1"/>
                <w:color w:val="auto"/>
              </w:rPr>
              <w:t>December 31,</w:t>
            </w:r>
          </w:p>
        </w:tc>
      </w:tr>
      <w:tr>
        <w:trPr>
          <w:trHeight w:val="119"/>
        </w:trPr>
        <w:tc>
          <w:tcPr>
            <w:tcW w:w="6180" w:type="dxa"/>
            <w:vAlign w:val="bottom"/>
          </w:tcPr>
          <w:p>
            <w:pPr>
              <w:spacing w:after="0"/>
              <w:rPr>
                <w:sz w:val="10"/>
                <w:szCs w:val="10"/>
                <w:color w:val="auto"/>
              </w:rPr>
            </w:pPr>
          </w:p>
        </w:tc>
        <w:tc>
          <w:tcPr>
            <w:tcW w:w="740" w:type="dxa"/>
            <w:vAlign w:val="bottom"/>
            <w:tcBorders>
              <w:top w:val="single" w:sz="8" w:color="auto"/>
            </w:tcBorders>
          </w:tcPr>
          <w:p>
            <w:pPr>
              <w:jc w:val="right"/>
              <w:ind w:right="138"/>
              <w:spacing w:after="0" w:line="119" w:lineRule="exact"/>
              <w:rPr>
                <w:sz w:val="20"/>
                <w:szCs w:val="20"/>
                <w:color w:val="auto"/>
              </w:rPr>
            </w:pPr>
            <w:r>
              <w:rPr>
                <w:rFonts w:ascii="Times New Roman" w:cs="Times New Roman" w:eastAsia="Times New Roman" w:hAnsi="Times New Roman"/>
                <w:sz w:val="13"/>
                <w:szCs w:val="13"/>
                <w:i w:val="1"/>
                <w:iCs w:val="1"/>
                <w:color w:val="auto"/>
              </w:rPr>
              <w:t>2020</w:t>
            </w:r>
          </w:p>
        </w:tc>
        <w:tc>
          <w:tcPr>
            <w:tcW w:w="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255"/>
              <w:spacing w:after="0" w:line="119" w:lineRule="exact"/>
              <w:rPr>
                <w:sz w:val="20"/>
                <w:szCs w:val="20"/>
                <w:color w:val="auto"/>
              </w:rPr>
            </w:pPr>
            <w:r>
              <w:rPr>
                <w:rFonts w:ascii="Times New Roman" w:cs="Times New Roman" w:eastAsia="Times New Roman" w:hAnsi="Times New Roman"/>
                <w:sz w:val="13"/>
                <w:szCs w:val="13"/>
                <w:i w:val="1"/>
                <w:iCs w:val="1"/>
                <w:color w:val="auto"/>
              </w:rPr>
              <w:t>2021</w:t>
            </w:r>
          </w:p>
        </w:tc>
        <w:tc>
          <w:tcPr>
            <w:tcW w:w="120" w:type="dxa"/>
            <w:vAlign w:val="bottom"/>
          </w:tcPr>
          <w:p>
            <w:pPr>
              <w:spacing w:after="0"/>
              <w:rPr>
                <w:sz w:val="10"/>
                <w:szCs w:val="10"/>
                <w:color w:val="auto"/>
              </w:rPr>
            </w:pPr>
          </w:p>
        </w:tc>
      </w:tr>
      <w:tr>
        <w:trPr>
          <w:trHeight w:val="171"/>
        </w:trPr>
        <w:tc>
          <w:tcPr>
            <w:tcW w:w="6180" w:type="dxa"/>
            <w:vAlign w:val="bottom"/>
          </w:tcPr>
          <w:p>
            <w:pPr>
              <w:spacing w:after="0"/>
              <w:rPr>
                <w:sz w:val="14"/>
                <w:szCs w:val="14"/>
                <w:color w:val="auto"/>
              </w:rPr>
            </w:pPr>
          </w:p>
        </w:tc>
        <w:tc>
          <w:tcPr>
            <w:tcW w:w="110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color w:val="auto"/>
              </w:rPr>
              <w:t>RMB’000</w:t>
            </w: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RMB’000</w:t>
            </w: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January 1</w:t>
            </w:r>
          </w:p>
        </w:tc>
        <w:tc>
          <w:tcPr>
            <w:tcW w:w="110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655,571</w:t>
            </w:r>
          </w:p>
        </w:tc>
      </w:tr>
      <w:tr>
        <w:trPr>
          <w:trHeight w:val="32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financial instruments</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653,550</w:t>
            </w:r>
          </w:p>
        </w:tc>
        <w:tc>
          <w:tcPr>
            <w:tcW w:w="340" w:type="dxa"/>
            <w:vAlign w:val="bottom"/>
          </w:tcPr>
          <w:p>
            <w:pPr>
              <w:spacing w:after="0"/>
              <w:rPr>
                <w:sz w:val="24"/>
                <w:szCs w:val="24"/>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1,644,810</w:t>
            </w: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convertible redeemable preferred shares according to the commitment</w:t>
            </w:r>
          </w:p>
        </w:tc>
        <w:tc>
          <w:tcPr>
            <w:tcW w:w="110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(1,638,047)</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Changes in the carrying amount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3,259</w:t>
            </w:r>
          </w:p>
        </w:tc>
        <w:tc>
          <w:tcPr>
            <w:tcW w:w="3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106,103</w:t>
            </w: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effect</w:t>
            </w:r>
          </w:p>
        </w:tc>
        <w:tc>
          <w:tcPr>
            <w:tcW w:w="11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(1,238)</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(16,317)</w:t>
            </w:r>
          </w:p>
        </w:tc>
      </w:tr>
      <w:tr>
        <w:trPr>
          <w:trHeight w:val="223"/>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655,571</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752,120</w:t>
            </w:r>
          </w:p>
        </w:tc>
        <w:tc>
          <w:tcPr>
            <w:tcW w:w="120" w:type="dxa"/>
            <w:vAlign w:val="bottom"/>
          </w:tcPr>
          <w:p>
            <w:pPr>
              <w:spacing w:after="0"/>
              <w:rPr>
                <w:sz w:val="19"/>
                <w:szCs w:val="19"/>
                <w:color w:val="auto"/>
              </w:rPr>
            </w:pPr>
          </w:p>
        </w:tc>
      </w:tr>
      <w:tr>
        <w:trPr>
          <w:trHeight w:val="20"/>
        </w:trPr>
        <w:tc>
          <w:tcPr>
            <w:tcW w:w="6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58" w:lineRule="exact"/>
        <w:rPr>
          <w:sz w:val="20"/>
          <w:szCs w:val="20"/>
          <w:color w:val="auto"/>
        </w:rPr>
      </w:pPr>
    </w:p>
    <w:p>
      <w:pPr>
        <w:ind w:left="540" w:hanging="424"/>
        <w:spacing w:after="0"/>
        <w:tabs>
          <w:tab w:leader="none" w:pos="540" w:val="left"/>
        </w:tabs>
        <w:numPr>
          <w:ilvl w:val="0"/>
          <w:numId w:val="20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Convertible redeemable preferred shares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summarizes the issuance of convertible redeemable preferred shares as of December 31, 2021:</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7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340" w:type="dxa"/>
            <w:vAlign w:val="bottom"/>
            <w:gridSpan w:val="3"/>
          </w:tcPr>
          <w:p>
            <w:pPr>
              <w:ind w:left="420"/>
              <w:spacing w:after="0"/>
              <w:rPr>
                <w:sz w:val="20"/>
                <w:szCs w:val="20"/>
                <w:color w:val="auto"/>
              </w:rPr>
            </w:pPr>
            <w:r>
              <w:rPr>
                <w:rFonts w:ascii="Times New Roman" w:cs="Times New Roman" w:eastAsia="Times New Roman" w:hAnsi="Times New Roman"/>
                <w:sz w:val="14"/>
                <w:szCs w:val="14"/>
                <w:i w:val="1"/>
                <w:iCs w:val="1"/>
                <w:color w:val="auto"/>
              </w:rPr>
              <w:t>As of December 31, 2021</w:t>
            </w:r>
          </w:p>
        </w:tc>
        <w:tc>
          <w:tcPr>
            <w:tcW w:w="0" w:type="dxa"/>
            <w:vAlign w:val="bottom"/>
          </w:tcPr>
          <w:p>
            <w:pPr>
              <w:spacing w:after="0"/>
              <w:rPr>
                <w:sz w:val="1"/>
                <w:szCs w:val="1"/>
                <w:color w:val="auto"/>
              </w:rPr>
            </w:pPr>
          </w:p>
        </w:tc>
      </w:tr>
      <w:tr>
        <w:trPr>
          <w:trHeight w:val="117"/>
        </w:trPr>
        <w:tc>
          <w:tcPr>
            <w:tcW w:w="27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24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i w:val="1"/>
                <w:iCs w:val="1"/>
                <w:color w:val="auto"/>
              </w:rPr>
              <w:t>Issued shares</w:t>
            </w:r>
          </w:p>
        </w:tc>
        <w:tc>
          <w:tcPr>
            <w:tcW w:w="1300" w:type="dxa"/>
            <w:vAlign w:val="bottom"/>
            <w:vMerge w:val="restart"/>
          </w:tcPr>
          <w:p>
            <w:pPr>
              <w:jc w:val="right"/>
              <w:ind w:right="57"/>
              <w:spacing w:after="0"/>
              <w:rPr>
                <w:sz w:val="20"/>
                <w:szCs w:val="20"/>
                <w:color w:val="auto"/>
              </w:rPr>
            </w:pPr>
            <w:r>
              <w:rPr>
                <w:rFonts w:ascii="Times New Roman" w:cs="Times New Roman" w:eastAsia="Times New Roman" w:hAnsi="Times New Roman"/>
                <w:sz w:val="14"/>
                <w:szCs w:val="14"/>
                <w:i w:val="1"/>
                <w:iCs w:val="1"/>
                <w:color w:val="auto"/>
              </w:rPr>
              <w:t>Initial redemption</w:t>
            </w:r>
          </w:p>
        </w:tc>
        <w:tc>
          <w:tcPr>
            <w:tcW w:w="1160" w:type="dxa"/>
            <w:vAlign w:val="bottom"/>
            <w:vMerge w:val="restart"/>
          </w:tcPr>
          <w:p>
            <w:pPr>
              <w:jc w:val="center"/>
              <w:ind w:right="38"/>
              <w:spacing w:after="0"/>
              <w:rPr>
                <w:sz w:val="20"/>
                <w:szCs w:val="20"/>
                <w:color w:val="auto"/>
              </w:rPr>
            </w:pPr>
            <w:r>
              <w:rPr>
                <w:rFonts w:ascii="Times New Roman" w:cs="Times New Roman" w:eastAsia="Times New Roman" w:hAnsi="Times New Roman"/>
                <w:sz w:val="14"/>
                <w:szCs w:val="14"/>
                <w:i w:val="1"/>
                <w:iCs w:val="1"/>
                <w:color w:val="auto"/>
                <w:w w:val="94"/>
              </w:rPr>
              <w:t>Total</w:t>
            </w:r>
          </w:p>
        </w:tc>
        <w:tc>
          <w:tcPr>
            <w:tcW w:w="1160" w:type="dxa"/>
            <w:vAlign w:val="bottom"/>
            <w:tcBorders>
              <w:top w:val="single" w:sz="8" w:color="auto"/>
            </w:tcBorders>
          </w:tcPr>
          <w:p>
            <w:pPr>
              <w:jc w:val="right"/>
              <w:ind w:right="380"/>
              <w:spacing w:after="0" w:line="118" w:lineRule="exact"/>
              <w:rPr>
                <w:sz w:val="20"/>
                <w:szCs w:val="20"/>
                <w:color w:val="auto"/>
              </w:rPr>
            </w:pPr>
            <w:r>
              <w:rPr>
                <w:rFonts w:ascii="Times New Roman" w:cs="Times New Roman" w:eastAsia="Times New Roman" w:hAnsi="Times New Roman"/>
                <w:sz w:val="13"/>
                <w:szCs w:val="13"/>
                <w:i w:val="1"/>
                <w:iCs w:val="1"/>
                <w:color w:val="auto"/>
              </w:rPr>
              <w:t>Shares</w:t>
            </w:r>
          </w:p>
        </w:tc>
        <w:tc>
          <w:tcPr>
            <w:tcW w:w="11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7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Series</w:t>
            </w:r>
          </w:p>
        </w:tc>
        <w:tc>
          <w:tcPr>
            <w:tcW w:w="2240" w:type="dxa"/>
            <w:vAlign w:val="bottom"/>
            <w:vMerge w:val="restart"/>
          </w:tcPr>
          <w:p>
            <w:pPr>
              <w:jc w:val="right"/>
              <w:ind w:right="532"/>
              <w:spacing w:after="0"/>
              <w:rPr>
                <w:sz w:val="20"/>
                <w:szCs w:val="20"/>
                <w:color w:val="auto"/>
              </w:rPr>
            </w:pPr>
            <w:r>
              <w:rPr>
                <w:rFonts w:ascii="Times New Roman" w:cs="Times New Roman" w:eastAsia="Times New Roman" w:hAnsi="Times New Roman"/>
                <w:sz w:val="14"/>
                <w:szCs w:val="14"/>
                <w:i w:val="1"/>
                <w:iCs w:val="1"/>
                <w:color w:val="auto"/>
              </w:rPr>
              <w:t>Issuance date</w:t>
            </w:r>
          </w:p>
        </w:tc>
        <w:tc>
          <w:tcPr>
            <w:tcW w:w="124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1160" w:type="dxa"/>
            <w:vAlign w:val="bottom"/>
          </w:tcPr>
          <w:p>
            <w:pPr>
              <w:jc w:val="right"/>
              <w:ind w:right="220"/>
              <w:spacing w:after="0" w:line="149" w:lineRule="exact"/>
              <w:rPr>
                <w:sz w:val="20"/>
                <w:szCs w:val="20"/>
                <w:color w:val="auto"/>
              </w:rPr>
            </w:pPr>
            <w:r>
              <w:rPr>
                <w:rFonts w:ascii="Times New Roman" w:cs="Times New Roman" w:eastAsia="Times New Roman" w:hAnsi="Times New Roman"/>
                <w:sz w:val="14"/>
                <w:szCs w:val="14"/>
                <w:i w:val="1"/>
                <w:iCs w:val="1"/>
                <w:color w:val="auto"/>
              </w:rPr>
              <w:t>outstanding</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i w:val="1"/>
                <w:iCs w:val="1"/>
                <w:color w:val="auto"/>
              </w:rPr>
              <w:t>Carrying amount</w:t>
            </w:r>
          </w:p>
        </w:tc>
        <w:tc>
          <w:tcPr>
            <w:tcW w:w="0" w:type="dxa"/>
            <w:vAlign w:val="bottom"/>
          </w:tcPr>
          <w:p>
            <w:pPr>
              <w:spacing w:after="0"/>
              <w:rPr>
                <w:sz w:val="1"/>
                <w:szCs w:val="1"/>
                <w:color w:val="auto"/>
              </w:rPr>
            </w:pPr>
          </w:p>
        </w:tc>
      </w:tr>
      <w:tr>
        <w:trPr>
          <w:trHeight w:val="150"/>
        </w:trPr>
        <w:tc>
          <w:tcPr>
            <w:tcW w:w="2740" w:type="dxa"/>
            <w:vAlign w:val="bottom"/>
            <w:vMerge w:val="continue"/>
          </w:tcPr>
          <w:p>
            <w:pPr>
              <w:spacing w:after="0"/>
              <w:rPr>
                <w:sz w:val="13"/>
                <w:szCs w:val="13"/>
                <w:color w:val="auto"/>
              </w:rPr>
            </w:pPr>
          </w:p>
        </w:tc>
        <w:tc>
          <w:tcPr>
            <w:tcW w:w="2240" w:type="dxa"/>
            <w:vAlign w:val="bottom"/>
            <w:vMerge w:val="continue"/>
          </w:tcPr>
          <w:p>
            <w:pPr>
              <w:spacing w:after="0"/>
              <w:rPr>
                <w:sz w:val="13"/>
                <w:szCs w:val="13"/>
                <w:color w:val="auto"/>
              </w:rPr>
            </w:pPr>
          </w:p>
        </w:tc>
        <w:tc>
          <w:tcPr>
            <w:tcW w:w="1240" w:type="dxa"/>
            <w:vAlign w:val="bottom"/>
          </w:tcPr>
          <w:p>
            <w:pPr>
              <w:jc w:val="right"/>
              <w:ind w:right="55"/>
              <w:spacing w:after="0" w:line="151" w:lineRule="exact"/>
              <w:rPr>
                <w:sz w:val="20"/>
                <w:szCs w:val="20"/>
                <w:color w:val="auto"/>
              </w:rPr>
            </w:pPr>
            <w:r>
              <w:rPr>
                <w:rFonts w:ascii="Times New Roman" w:cs="Times New Roman" w:eastAsia="Times New Roman" w:hAnsi="Times New Roman"/>
                <w:sz w:val="14"/>
                <w:szCs w:val="14"/>
                <w:i w:val="1"/>
                <w:iCs w:val="1"/>
                <w:color w:val="auto"/>
              </w:rPr>
              <w:t>(after share split)</w:t>
            </w:r>
          </w:p>
        </w:tc>
        <w:tc>
          <w:tcPr>
            <w:tcW w:w="1300" w:type="dxa"/>
            <w:vAlign w:val="bottom"/>
          </w:tcPr>
          <w:p>
            <w:pPr>
              <w:jc w:val="right"/>
              <w:ind w:right="137"/>
              <w:spacing w:after="0" w:line="151" w:lineRule="exact"/>
              <w:rPr>
                <w:sz w:val="20"/>
                <w:szCs w:val="20"/>
                <w:color w:val="auto"/>
              </w:rPr>
            </w:pPr>
            <w:r>
              <w:rPr>
                <w:rFonts w:ascii="Times New Roman" w:cs="Times New Roman" w:eastAsia="Times New Roman" w:hAnsi="Times New Roman"/>
                <w:sz w:val="14"/>
                <w:szCs w:val="14"/>
                <w:i w:val="1"/>
                <w:iCs w:val="1"/>
                <w:color w:val="auto"/>
              </w:rPr>
              <w:t>price per share</w:t>
            </w:r>
          </w:p>
        </w:tc>
        <w:tc>
          <w:tcPr>
            <w:tcW w:w="1160" w:type="dxa"/>
            <w:vAlign w:val="bottom"/>
          </w:tcPr>
          <w:p>
            <w:pPr>
              <w:jc w:val="center"/>
              <w:ind w:right="38"/>
              <w:spacing w:after="0" w:line="151" w:lineRule="exact"/>
              <w:rPr>
                <w:sz w:val="20"/>
                <w:szCs w:val="20"/>
                <w:color w:val="auto"/>
              </w:rPr>
            </w:pPr>
            <w:r>
              <w:rPr>
                <w:rFonts w:ascii="Times New Roman" w:cs="Times New Roman" w:eastAsia="Times New Roman" w:hAnsi="Times New Roman"/>
                <w:sz w:val="14"/>
                <w:szCs w:val="14"/>
                <w:i w:val="1"/>
                <w:iCs w:val="1"/>
                <w:color w:val="auto"/>
              </w:rPr>
              <w:t>consideration</w:t>
            </w:r>
          </w:p>
        </w:tc>
        <w:tc>
          <w:tcPr>
            <w:tcW w:w="1160" w:type="dxa"/>
            <w:vAlign w:val="bottom"/>
          </w:tcPr>
          <w:p>
            <w:pPr>
              <w:jc w:val="right"/>
              <w:ind w:right="60"/>
              <w:spacing w:after="0" w:line="151" w:lineRule="exact"/>
              <w:rPr>
                <w:sz w:val="20"/>
                <w:szCs w:val="20"/>
                <w:color w:val="auto"/>
              </w:rPr>
            </w:pPr>
            <w:r>
              <w:rPr>
                <w:rFonts w:ascii="Times New Roman" w:cs="Times New Roman" w:eastAsia="Times New Roman" w:hAnsi="Times New Roman"/>
                <w:sz w:val="14"/>
                <w:szCs w:val="14"/>
                <w:i w:val="1"/>
                <w:iCs w:val="1"/>
                <w:color w:val="auto"/>
              </w:rPr>
              <w:t>(after share split)</w:t>
            </w:r>
          </w:p>
        </w:tc>
        <w:tc>
          <w:tcPr>
            <w:tcW w:w="11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7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00" w:type="dxa"/>
            <w:vAlign w:val="bottom"/>
          </w:tcPr>
          <w:p>
            <w:pPr>
              <w:jc w:val="right"/>
              <w:ind w:right="437"/>
              <w:spacing w:after="0"/>
              <w:rPr>
                <w:sz w:val="20"/>
                <w:szCs w:val="20"/>
                <w:color w:val="auto"/>
              </w:rPr>
            </w:pPr>
            <w:r>
              <w:rPr>
                <w:rFonts w:ascii="Times New Roman" w:cs="Times New Roman" w:eastAsia="Times New Roman" w:hAnsi="Times New Roman"/>
                <w:sz w:val="14"/>
                <w:szCs w:val="14"/>
                <w:color w:val="auto"/>
              </w:rPr>
              <w:t>USD</w:t>
            </w:r>
          </w:p>
        </w:tc>
        <w:tc>
          <w:tcPr>
            <w:tcW w:w="1160" w:type="dxa"/>
            <w:vAlign w:val="bottom"/>
          </w:tcPr>
          <w:p>
            <w:pPr>
              <w:jc w:val="center"/>
              <w:ind w:right="38"/>
              <w:spacing w:after="0"/>
              <w:rPr>
                <w:sz w:val="20"/>
                <w:szCs w:val="20"/>
                <w:color w:val="auto"/>
              </w:rPr>
            </w:pPr>
            <w:r>
              <w:rPr>
                <w:rFonts w:ascii="Times New Roman" w:cs="Times New Roman" w:eastAsia="Times New Roman" w:hAnsi="Times New Roman"/>
                <w:sz w:val="14"/>
                <w:szCs w:val="14"/>
                <w:color w:val="auto"/>
              </w:rPr>
              <w:t>USD’000</w:t>
            </w:r>
          </w:p>
        </w:tc>
        <w:tc>
          <w:tcPr>
            <w:tcW w:w="116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RMB’000</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B-1 Preferred Shares</w:t>
            </w:r>
          </w:p>
        </w:tc>
        <w:tc>
          <w:tcPr>
            <w:tcW w:w="2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June 2021</w:t>
            </w:r>
          </w:p>
        </w:tc>
        <w:tc>
          <w:tcPr>
            <w:tcW w:w="1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66,247,450</w:t>
            </w:r>
          </w:p>
        </w:tc>
        <w:tc>
          <w:tcPr>
            <w:tcW w:w="13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1.51</w:t>
            </w:r>
          </w:p>
        </w:tc>
        <w:tc>
          <w:tcPr>
            <w:tcW w:w="116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100,000</w:t>
            </w:r>
          </w:p>
        </w:tc>
        <w:tc>
          <w:tcPr>
            <w:tcW w:w="11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66,247,450</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704,338</w:t>
            </w:r>
          </w:p>
        </w:tc>
        <w:tc>
          <w:tcPr>
            <w:tcW w:w="0" w:type="dxa"/>
            <w:vAlign w:val="bottom"/>
          </w:tcPr>
          <w:p>
            <w:pPr>
              <w:spacing w:after="0"/>
              <w:rPr>
                <w:sz w:val="1"/>
                <w:szCs w:val="1"/>
                <w:color w:val="auto"/>
              </w:rPr>
            </w:pPr>
          </w:p>
        </w:tc>
      </w:tr>
      <w:tr>
        <w:trPr>
          <w:trHeight w:val="198"/>
        </w:trPr>
        <w:tc>
          <w:tcPr>
            <w:tcW w:w="2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B-2 Preferred Shares</w:t>
            </w:r>
          </w:p>
        </w:tc>
        <w:tc>
          <w:tcPr>
            <w:tcW w:w="2240" w:type="dxa"/>
            <w:vAlign w:val="bottom"/>
          </w:tcPr>
          <w:p>
            <w:pPr>
              <w:jc w:val="right"/>
              <w:ind w:right="32"/>
              <w:spacing w:after="0" w:line="198" w:lineRule="exact"/>
              <w:rPr>
                <w:sz w:val="20"/>
                <w:szCs w:val="20"/>
                <w:color w:val="auto"/>
              </w:rPr>
            </w:pPr>
            <w:r>
              <w:rPr>
                <w:rFonts w:ascii="Times New Roman" w:cs="Times New Roman" w:eastAsia="Times New Roman" w:hAnsi="Times New Roman"/>
                <w:sz w:val="18"/>
                <w:szCs w:val="18"/>
                <w:color w:val="auto"/>
              </w:rPr>
              <w:t>December 2020 to</w:t>
            </w:r>
          </w:p>
        </w:tc>
        <w:tc>
          <w:tcPr>
            <w:tcW w:w="1240" w:type="dxa"/>
            <w:vAlign w:val="bottom"/>
          </w:tcPr>
          <w:p>
            <w:pPr>
              <w:spacing w:after="0"/>
              <w:rPr>
                <w:sz w:val="17"/>
                <w:szCs w:val="17"/>
                <w:color w:val="auto"/>
              </w:rPr>
            </w:pPr>
          </w:p>
        </w:tc>
        <w:tc>
          <w:tcPr>
            <w:tcW w:w="1300" w:type="dxa"/>
            <w:vAlign w:val="bottom"/>
          </w:tcPr>
          <w:p>
            <w:pPr>
              <w:jc w:val="right"/>
              <w:ind w:right="57"/>
              <w:spacing w:after="0" w:line="198" w:lineRule="exact"/>
              <w:rPr>
                <w:sz w:val="20"/>
                <w:szCs w:val="20"/>
                <w:color w:val="auto"/>
              </w:rPr>
            </w:pPr>
            <w:r>
              <w:rPr>
                <w:rFonts w:ascii="Times New Roman" w:cs="Times New Roman" w:eastAsia="Times New Roman" w:hAnsi="Times New Roman"/>
                <w:sz w:val="18"/>
                <w:szCs w:val="18"/>
                <w:color w:val="auto"/>
              </w:rPr>
              <w:t>1.48</w:t>
            </w: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40" w:type="dxa"/>
            <w:vAlign w:val="bottom"/>
          </w:tcPr>
          <w:p>
            <w:pPr>
              <w:spacing w:after="0"/>
              <w:rPr>
                <w:sz w:val="20"/>
                <w:szCs w:val="20"/>
                <w:color w:val="auto"/>
              </w:rPr>
            </w:pPr>
          </w:p>
        </w:tc>
        <w:tc>
          <w:tcPr>
            <w:tcW w:w="2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December 2021</w:t>
            </w:r>
          </w:p>
        </w:tc>
        <w:tc>
          <w:tcPr>
            <w:tcW w:w="12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13,964,530</w:t>
            </w:r>
          </w:p>
        </w:tc>
        <w:tc>
          <w:tcPr>
            <w:tcW w:w="130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to 3.49</w:t>
            </w:r>
          </w:p>
        </w:tc>
        <w:tc>
          <w:tcPr>
            <w:tcW w:w="1160" w:type="dxa"/>
            <w:vAlign w:val="bottom"/>
          </w:tcPr>
          <w:p>
            <w:pPr>
              <w:jc w:val="right"/>
              <w:ind w:right="158"/>
              <w:spacing w:after="0"/>
              <w:rPr>
                <w:sz w:val="20"/>
                <w:szCs w:val="20"/>
                <w:color w:val="auto"/>
              </w:rPr>
            </w:pPr>
            <w:r>
              <w:rPr>
                <w:rFonts w:ascii="Times New Roman" w:cs="Times New Roman" w:eastAsia="Times New Roman" w:hAnsi="Times New Roman"/>
                <w:sz w:val="18"/>
                <w:szCs w:val="18"/>
                <w:color w:val="auto"/>
              </w:rPr>
              <w:t>25,857</w:t>
            </w:r>
          </w:p>
        </w:tc>
        <w:tc>
          <w:tcPr>
            <w:tcW w:w="1160" w:type="dxa"/>
            <w:vAlign w:val="bottom"/>
          </w:tcPr>
          <w:p>
            <w:pPr>
              <w:jc w:val="right"/>
              <w:ind w:right="60"/>
              <w:spacing w:after="0"/>
              <w:rPr>
                <w:sz w:val="20"/>
                <w:szCs w:val="20"/>
                <w:color w:val="auto"/>
              </w:rPr>
            </w:pPr>
            <w:r>
              <w:rPr>
                <w:rFonts w:ascii="Times New Roman" w:cs="Times New Roman" w:eastAsia="Times New Roman" w:hAnsi="Times New Roman"/>
                <w:sz w:val="18"/>
                <w:szCs w:val="18"/>
                <w:color w:val="auto"/>
              </w:rPr>
              <w:t>13,964,530</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182,130</w:t>
            </w:r>
          </w:p>
        </w:tc>
        <w:tc>
          <w:tcPr>
            <w:tcW w:w="0" w:type="dxa"/>
            <w:vAlign w:val="bottom"/>
          </w:tcPr>
          <w:p>
            <w:pPr>
              <w:spacing w:after="0"/>
              <w:rPr>
                <w:sz w:val="1"/>
                <w:szCs w:val="1"/>
                <w:color w:val="auto"/>
              </w:rPr>
            </w:pPr>
          </w:p>
        </w:tc>
      </w:tr>
      <w:tr>
        <w:trPr>
          <w:trHeight w:val="198"/>
        </w:trPr>
        <w:tc>
          <w:tcPr>
            <w:tcW w:w="2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B-3 Preferred Shares</w:t>
            </w:r>
          </w:p>
        </w:tc>
        <w:tc>
          <w:tcPr>
            <w:tcW w:w="2240" w:type="dxa"/>
            <w:vAlign w:val="bottom"/>
            <w:shd w:val="clear" w:color="auto" w:fill="CCEEFF"/>
          </w:tcPr>
          <w:p>
            <w:pPr>
              <w:jc w:val="right"/>
              <w:ind w:right="32"/>
              <w:spacing w:after="0" w:line="198" w:lineRule="exact"/>
              <w:rPr>
                <w:sz w:val="20"/>
                <w:szCs w:val="20"/>
                <w:color w:val="auto"/>
              </w:rPr>
            </w:pPr>
            <w:r>
              <w:rPr>
                <w:rFonts w:ascii="Times New Roman" w:cs="Times New Roman" w:eastAsia="Times New Roman" w:hAnsi="Times New Roman"/>
                <w:sz w:val="18"/>
                <w:szCs w:val="18"/>
                <w:color w:val="auto"/>
              </w:rPr>
              <w:t>January 2021</w:t>
            </w:r>
          </w:p>
        </w:tc>
        <w:tc>
          <w:tcPr>
            <w:tcW w:w="1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40" w:type="dxa"/>
            <w:vAlign w:val="bottom"/>
            <w:shd w:val="clear" w:color="auto" w:fill="CCEEFF"/>
          </w:tcPr>
          <w:p>
            <w:pPr>
              <w:spacing w:after="0"/>
              <w:rPr>
                <w:sz w:val="20"/>
                <w:szCs w:val="20"/>
                <w:color w:val="auto"/>
              </w:rPr>
            </w:pPr>
          </w:p>
        </w:tc>
        <w:tc>
          <w:tcPr>
            <w:tcW w:w="2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to September 2021</w:t>
            </w:r>
          </w:p>
        </w:tc>
        <w:tc>
          <w:tcPr>
            <w:tcW w:w="1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23,441,410</w:t>
            </w:r>
          </w:p>
        </w:tc>
        <w:tc>
          <w:tcPr>
            <w:tcW w:w="13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1.96</w:t>
            </w:r>
          </w:p>
        </w:tc>
        <w:tc>
          <w:tcPr>
            <w:tcW w:w="116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46,000</w:t>
            </w:r>
          </w:p>
        </w:tc>
        <w:tc>
          <w:tcPr>
            <w:tcW w:w="11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23,441,410</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322,283</w:t>
            </w:r>
          </w:p>
        </w:tc>
        <w:tc>
          <w:tcPr>
            <w:tcW w:w="0" w:type="dxa"/>
            <w:vAlign w:val="bottom"/>
          </w:tcPr>
          <w:p>
            <w:pPr>
              <w:spacing w:after="0"/>
              <w:rPr>
                <w:sz w:val="1"/>
                <w:szCs w:val="1"/>
                <w:color w:val="auto"/>
              </w:rPr>
            </w:pPr>
          </w:p>
        </w:tc>
      </w:tr>
      <w:tr>
        <w:trPr>
          <w:trHeight w:val="198"/>
        </w:trPr>
        <w:tc>
          <w:tcPr>
            <w:tcW w:w="2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C-1 Preferred Shares</w:t>
            </w:r>
          </w:p>
        </w:tc>
        <w:tc>
          <w:tcPr>
            <w:tcW w:w="2240" w:type="dxa"/>
            <w:vAlign w:val="bottom"/>
          </w:tcPr>
          <w:p>
            <w:pPr>
              <w:jc w:val="right"/>
              <w:ind w:right="32"/>
              <w:spacing w:after="0" w:line="198" w:lineRule="exact"/>
              <w:rPr>
                <w:sz w:val="20"/>
                <w:szCs w:val="20"/>
                <w:color w:val="auto"/>
              </w:rPr>
            </w:pPr>
            <w:r>
              <w:rPr>
                <w:rFonts w:ascii="Times New Roman" w:cs="Times New Roman" w:eastAsia="Times New Roman" w:hAnsi="Times New Roman"/>
                <w:sz w:val="18"/>
                <w:szCs w:val="18"/>
                <w:color w:val="auto"/>
              </w:rPr>
              <w:t>May 2021</w:t>
            </w:r>
          </w:p>
        </w:tc>
        <w:tc>
          <w:tcPr>
            <w:tcW w:w="1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40" w:type="dxa"/>
            <w:vAlign w:val="bottom"/>
          </w:tcPr>
          <w:p>
            <w:pPr>
              <w:spacing w:after="0"/>
              <w:rPr>
                <w:sz w:val="20"/>
                <w:szCs w:val="20"/>
                <w:color w:val="auto"/>
              </w:rPr>
            </w:pPr>
          </w:p>
        </w:tc>
        <w:tc>
          <w:tcPr>
            <w:tcW w:w="2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to June 2021</w:t>
            </w:r>
          </w:p>
        </w:tc>
        <w:tc>
          <w:tcPr>
            <w:tcW w:w="12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71,387,327</w:t>
            </w:r>
          </w:p>
        </w:tc>
        <w:tc>
          <w:tcPr>
            <w:tcW w:w="130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3.81</w:t>
            </w:r>
          </w:p>
        </w:tc>
        <w:tc>
          <w:tcPr>
            <w:tcW w:w="1160" w:type="dxa"/>
            <w:vAlign w:val="bottom"/>
          </w:tcPr>
          <w:p>
            <w:pPr>
              <w:jc w:val="right"/>
              <w:ind w:right="158"/>
              <w:spacing w:after="0"/>
              <w:rPr>
                <w:sz w:val="20"/>
                <w:szCs w:val="20"/>
                <w:color w:val="auto"/>
              </w:rPr>
            </w:pPr>
            <w:r>
              <w:rPr>
                <w:rFonts w:ascii="Times New Roman" w:cs="Times New Roman" w:eastAsia="Times New Roman" w:hAnsi="Times New Roman"/>
                <w:sz w:val="18"/>
                <w:szCs w:val="18"/>
                <w:color w:val="auto"/>
              </w:rPr>
              <w:t>272,994</w:t>
            </w:r>
          </w:p>
        </w:tc>
        <w:tc>
          <w:tcPr>
            <w:tcW w:w="1160" w:type="dxa"/>
            <w:vAlign w:val="bottom"/>
          </w:tcPr>
          <w:p>
            <w:pPr>
              <w:jc w:val="right"/>
              <w:ind w:right="60"/>
              <w:spacing w:after="0"/>
              <w:rPr>
                <w:sz w:val="20"/>
                <w:szCs w:val="20"/>
                <w:color w:val="auto"/>
              </w:rPr>
            </w:pPr>
            <w:r>
              <w:rPr>
                <w:rFonts w:ascii="Times New Roman" w:cs="Times New Roman" w:eastAsia="Times New Roman" w:hAnsi="Times New Roman"/>
                <w:sz w:val="18"/>
                <w:szCs w:val="18"/>
                <w:color w:val="auto"/>
              </w:rPr>
              <w:t>71,387,327</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1,829,765</w:t>
            </w:r>
          </w:p>
        </w:tc>
        <w:tc>
          <w:tcPr>
            <w:tcW w:w="0" w:type="dxa"/>
            <w:vAlign w:val="bottom"/>
          </w:tcPr>
          <w:p>
            <w:pPr>
              <w:spacing w:after="0"/>
              <w:rPr>
                <w:sz w:val="1"/>
                <w:szCs w:val="1"/>
                <w:color w:val="auto"/>
              </w:rPr>
            </w:pPr>
          </w:p>
        </w:tc>
      </w:tr>
      <w:tr>
        <w:trPr>
          <w:trHeight w:val="365"/>
        </w:trPr>
        <w:tc>
          <w:tcPr>
            <w:tcW w:w="27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40" w:type="dxa"/>
            <w:vAlign w:val="bottom"/>
          </w:tcPr>
          <w:p>
            <w:pPr>
              <w:jc w:val="right"/>
              <w:ind w:right="455"/>
              <w:spacing w:after="0"/>
              <w:rPr>
                <w:sz w:val="20"/>
                <w:szCs w:val="20"/>
                <w:color w:val="auto"/>
              </w:rPr>
            </w:pPr>
            <w:r>
              <w:rPr>
                <w:rFonts w:ascii="Times New Roman" w:cs="Times New Roman" w:eastAsia="Times New Roman" w:hAnsi="Times New Roman"/>
                <w:sz w:val="18"/>
                <w:szCs w:val="18"/>
                <w:color w:val="auto"/>
              </w:rPr>
              <w:t>F-47</w:t>
            </w: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300" w:name="page301"/>
    <w:bookmarkEnd w:id="3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The Series B-1 Preferred Shares, Series B-2 Preferred Shares and Series B-3 Preferred Shares are collectively referred to as the “Series B convertible redeemable preferred shares” and Series C-1 Preferred Shares is referred to as the “Series C-1 convertible redeemable preferred shares”. All series of convertible redeemable preferred shares have the same par value of USD0.00001 per share. The redemption and other preferential rights of the convertible redeemable preferred shares are set forth below.</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Redemption Rights</w:t>
      </w:r>
    </w:p>
    <w:p>
      <w:pPr>
        <w:spacing w:after="0" w:line="121"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The Company is obliged to redeem all or part of the outstanding issued convertible redeemable preferred shares, at any time after the occurrence of specified contingent redemption events, including but not limited to change of control or the CEO of the Company.</w:t>
      </w:r>
    </w:p>
    <w:p>
      <w:pPr>
        <w:spacing w:after="0" w:line="162"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redemption amount payable for each convertible redeemable preferred shares upon the occurrence of any of the specified contingent events, will be an amount equal to 100% of the convertible redeemable preferred shares’ original issue price, plus all accrued but unpaid dividends thereon up to the date of redemption and simple interest on the original issue price at the rate of 10% per annum for Series B convertible redeemable preferred shares or 8% per annum for Series C-1 convertible redeemable preferred shares.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Conversion Rights</w:t>
      </w:r>
    </w:p>
    <w:p>
      <w:pPr>
        <w:spacing w:after="0" w:line="121"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Each convertible redeemable preferred share shall be convertible, at the option of the holder, at any time after the date of issuance of such preferred shares, without the payment of any additional consideration, into fully-paid and non-assessable ordinary shares according to a conversion ratio of 1:1 based on the original issuance price, subject to adjustments for dilution, including but not limited to issuing new shares under the original subscription price per share paid by the holders.</w:t>
      </w:r>
    </w:p>
    <w:p>
      <w:pPr>
        <w:spacing w:after="0" w:line="180" w:lineRule="exact"/>
        <w:rPr>
          <w:sz w:val="20"/>
          <w:szCs w:val="20"/>
          <w:color w:val="auto"/>
        </w:rPr>
      </w:pPr>
    </w:p>
    <w:p>
      <w:pPr>
        <w:jc w:val="both"/>
        <w:ind w:left="120" w:right="460"/>
        <w:spacing w:after="0" w:line="266" w:lineRule="auto"/>
        <w:rPr>
          <w:sz w:val="20"/>
          <w:szCs w:val="20"/>
          <w:color w:val="auto"/>
        </w:rPr>
      </w:pPr>
      <w:r>
        <w:rPr>
          <w:rFonts w:ascii="Times New Roman" w:cs="Times New Roman" w:eastAsia="Times New Roman" w:hAnsi="Times New Roman"/>
          <w:sz w:val="18"/>
          <w:szCs w:val="18"/>
          <w:color w:val="auto"/>
        </w:rPr>
        <w:t>All the outstanding convertible redeemable preferred shares shall automatically be converted into ordinary shares, at the applicable then-effective conversion price upon either of (a) the closing of a qualified initial public offering (“Qualified IPO”), or (b) the date or the occurrence of an event, specified by vote or written consent or agreement of the majority of all the preferred shares.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holders of convertible redeemable preferred shares shall be entitled to vote on all matters on which the holders of ordinary shares shall be entitled to vote on an ‘as-converted’ basis.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holders of redeemable preferred shares are entitled to receive dividends at a simple rate of 8% of the original issue price per annum for each convertible redeemable preferred share held by such holder, payable out of funds or assets when and as such funds or assets become legally available. The dividends shall be paid in the sequence of (i) Series C-1 convertible redeemable preferred shares; and (ii) Series B convertible redeemable preferred shares. After the dividends have been paid in full or declared to the holders of the convertible redeemable preferred shares, the holders of the convertible redeemable preferred shares and the ordinary shares shall be entitled to receive on a pro rata, as-converted basis any additional dividends that the Board of Directors may declare, set aside or pay. The dividends shall not be cumulative and shall be paid when, as and if declared by the Board of Directors. The Board of Directors has right to decide whether to declare the dividends or not.</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100"/>
          </w:cols>
          <w:pgMar w:left="320" w:top="455" w:right="479"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Presentation and classification</w:t>
      </w:r>
    </w:p>
    <w:p>
      <w:pPr>
        <w:spacing w:after="0" w:line="121"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The Group recognized the financial liabilities arising from the redemption obligations for the preferred shares at the present value of the redemption amounts, with the changes in the carrying amount recorded in the consolidated statements of profit or loss. The movements of these financial liabilities during the periods presented are set out as below:</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14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i w:val="1"/>
                <w:iCs w:val="1"/>
                <w:color w:val="auto"/>
              </w:rPr>
              <w:t>Series B-1</w:t>
            </w:r>
          </w:p>
        </w:tc>
        <w:tc>
          <w:tcPr>
            <w:tcW w:w="14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i w:val="1"/>
                <w:iCs w:val="1"/>
                <w:color w:val="auto"/>
              </w:rPr>
              <w:t>Series B-2</w:t>
            </w:r>
          </w:p>
        </w:tc>
        <w:tc>
          <w:tcPr>
            <w:tcW w:w="14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i w:val="1"/>
                <w:iCs w:val="1"/>
                <w:color w:val="auto"/>
              </w:rPr>
              <w:t>Series B-3</w:t>
            </w: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i w:val="1"/>
                <w:iCs w:val="1"/>
                <w:color w:val="auto"/>
              </w:rPr>
              <w:t>Series C-1</w:t>
            </w:r>
          </w:p>
        </w:tc>
        <w:tc>
          <w:tcPr>
            <w:tcW w:w="100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i w:val="1"/>
                <w:iCs w:val="1"/>
                <w:color w:val="auto"/>
              </w:rPr>
              <w:t>Total</w:t>
            </w:r>
          </w:p>
        </w:tc>
        <w:tc>
          <w:tcPr>
            <w:tcW w:w="0" w:type="dxa"/>
            <w:vAlign w:val="bottom"/>
          </w:tcPr>
          <w:p>
            <w:pPr>
              <w:spacing w:after="0"/>
              <w:rPr>
                <w:sz w:val="1"/>
                <w:szCs w:val="1"/>
                <w:color w:val="auto"/>
              </w:rPr>
            </w:pPr>
          </w:p>
        </w:tc>
      </w:tr>
      <w:tr>
        <w:trPr>
          <w:trHeight w:val="173"/>
        </w:trPr>
        <w:tc>
          <w:tcPr>
            <w:tcW w:w="4360" w:type="dxa"/>
            <w:vAlign w:val="bottom"/>
          </w:tcPr>
          <w:p>
            <w:pPr>
              <w:spacing w:after="0"/>
              <w:rPr>
                <w:sz w:val="15"/>
                <w:szCs w:val="15"/>
                <w:color w:val="auto"/>
              </w:rPr>
            </w:pPr>
          </w:p>
        </w:tc>
        <w:tc>
          <w:tcPr>
            <w:tcW w:w="14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i w:val="1"/>
                <w:iCs w:val="1"/>
                <w:color w:val="auto"/>
                <w:w w:val="99"/>
              </w:rPr>
              <w:t>Preferred Shares</w:t>
            </w:r>
          </w:p>
        </w:tc>
        <w:tc>
          <w:tcPr>
            <w:tcW w:w="14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i w:val="1"/>
                <w:iCs w:val="1"/>
                <w:color w:val="auto"/>
              </w:rPr>
              <w:t>Preferred Shares</w:t>
            </w:r>
          </w:p>
        </w:tc>
        <w:tc>
          <w:tcPr>
            <w:tcW w:w="14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i w:val="1"/>
                <w:iCs w:val="1"/>
                <w:color w:val="auto"/>
              </w:rPr>
              <w:t>Preferred Shares</w:t>
            </w: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i w:val="1"/>
                <w:iCs w:val="1"/>
                <w:color w:val="auto"/>
              </w:rPr>
              <w:t>Preferred Shares</w:t>
            </w: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9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480" w:type="dxa"/>
            <w:vAlign w:val="bottom"/>
          </w:tcPr>
          <w:p>
            <w:pPr>
              <w:spacing w:after="0"/>
              <w:rPr>
                <w:sz w:val="12"/>
                <w:szCs w:val="12"/>
                <w:color w:val="auto"/>
              </w:rPr>
            </w:pPr>
          </w:p>
        </w:tc>
        <w:tc>
          <w:tcPr>
            <w:tcW w:w="9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480" w:type="dxa"/>
            <w:vAlign w:val="bottom"/>
          </w:tcPr>
          <w:p>
            <w:pPr>
              <w:spacing w:after="0"/>
              <w:rPr>
                <w:sz w:val="12"/>
                <w:szCs w:val="12"/>
                <w:color w:val="auto"/>
              </w:rPr>
            </w:pPr>
          </w:p>
        </w:tc>
        <w:tc>
          <w:tcPr>
            <w:tcW w:w="9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480" w:type="dxa"/>
            <w:vAlign w:val="bottom"/>
          </w:tcPr>
          <w:p>
            <w:pPr>
              <w:spacing w:after="0"/>
              <w:rPr>
                <w:sz w:val="12"/>
                <w:szCs w:val="12"/>
                <w:color w:val="auto"/>
              </w:rPr>
            </w:pPr>
          </w:p>
        </w:tc>
        <w:tc>
          <w:tcPr>
            <w:tcW w:w="9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300" w:type="dxa"/>
            <w:vAlign w:val="bottom"/>
          </w:tcPr>
          <w:p>
            <w:pPr>
              <w:spacing w:after="0"/>
              <w:rPr>
                <w:sz w:val="12"/>
                <w:szCs w:val="12"/>
                <w:color w:val="auto"/>
              </w:rPr>
            </w:pPr>
          </w:p>
        </w:tc>
        <w:tc>
          <w:tcPr>
            <w:tcW w:w="780" w:type="dxa"/>
            <w:vAlign w:val="bottom"/>
            <w:tcBorders>
              <w:top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January 1, 2020</w:t>
            </w:r>
          </w:p>
        </w:tc>
        <w:tc>
          <w:tcPr>
            <w:tcW w:w="14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Conversion from convertible notes (Note 26(a))</w:t>
            </w:r>
          </w:p>
        </w:tc>
        <w:tc>
          <w:tcPr>
            <w:tcW w:w="14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34,666</w:t>
            </w:r>
          </w:p>
        </w:tc>
        <w:tc>
          <w:tcPr>
            <w:tcW w:w="14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34,666</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effect</w:t>
            </w:r>
          </w:p>
        </w:tc>
        <w:tc>
          <w:tcPr>
            <w:tcW w:w="14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(1,887)</w:t>
            </w:r>
          </w:p>
        </w:tc>
        <w:tc>
          <w:tcPr>
            <w:tcW w:w="14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(1,887)</w:t>
            </w: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of December 31, 2020</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32,779</w:t>
            </w:r>
          </w:p>
        </w:tc>
        <w:tc>
          <w:tcPr>
            <w:tcW w:w="480" w:type="dxa"/>
            <w:vAlign w:val="bottom"/>
          </w:tcPr>
          <w:p>
            <w:pPr>
              <w:spacing w:after="0"/>
              <w:rPr>
                <w:sz w:val="19"/>
                <w:szCs w:val="19"/>
                <w:color w:val="auto"/>
              </w:rPr>
            </w:pPr>
          </w:p>
        </w:tc>
        <w:tc>
          <w:tcPr>
            <w:tcW w:w="9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spacing w:after="0"/>
              <w:rPr>
                <w:sz w:val="19"/>
                <w:szCs w:val="19"/>
                <w:color w:val="auto"/>
              </w:rPr>
            </w:pPr>
          </w:p>
        </w:tc>
        <w:tc>
          <w:tcPr>
            <w:tcW w:w="9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32,779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new convertible redeemable preferred</w:t>
            </w:r>
          </w:p>
        </w:tc>
        <w:tc>
          <w:tcPr>
            <w:tcW w:w="9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w:t>
            </w:r>
          </w:p>
        </w:tc>
        <w:tc>
          <w:tcPr>
            <w:tcW w:w="14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38,176</w:t>
            </w:r>
          </w:p>
        </w:tc>
        <w:tc>
          <w:tcPr>
            <w:tcW w:w="14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199,997</w:t>
            </w: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800,307</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1,038,480</w:t>
            </w:r>
          </w:p>
        </w:tc>
        <w:tc>
          <w:tcPr>
            <w:tcW w:w="0" w:type="dxa"/>
            <w:vAlign w:val="bottom"/>
          </w:tcPr>
          <w:p>
            <w:pPr>
              <w:spacing w:after="0"/>
              <w:rPr>
                <w:sz w:val="1"/>
                <w:szCs w:val="1"/>
                <w:color w:val="auto"/>
              </w:rPr>
            </w:pPr>
          </w:p>
        </w:tc>
      </w:tr>
      <w:tr>
        <w:trPr>
          <w:trHeight w:val="198"/>
        </w:trPr>
        <w:tc>
          <w:tcPr>
            <w:tcW w:w="4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Changes in the carrying amount of convertible</w:t>
            </w: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redeemable preferred shares</w:t>
            </w:r>
          </w:p>
        </w:tc>
        <w:tc>
          <w:tcPr>
            <w:tcW w:w="14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34,766</w:t>
            </w:r>
          </w:p>
        </w:tc>
        <w:tc>
          <w:tcPr>
            <w:tcW w:w="14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12,070</w:t>
            </w:r>
          </w:p>
        </w:tc>
        <w:tc>
          <w:tcPr>
            <w:tcW w:w="14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24,096</w:t>
            </w: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91,107</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162,039</w:t>
            </w:r>
          </w:p>
        </w:tc>
        <w:tc>
          <w:tcPr>
            <w:tcW w:w="0" w:type="dxa"/>
            <w:vAlign w:val="bottom"/>
          </w:tcPr>
          <w:p>
            <w:pPr>
              <w:spacing w:after="0"/>
              <w:rPr>
                <w:sz w:val="1"/>
                <w:szCs w:val="1"/>
                <w:color w:val="auto"/>
              </w:rPr>
            </w:pPr>
          </w:p>
        </w:tc>
      </w:tr>
      <w:tr>
        <w:trPr>
          <w:trHeight w:val="198"/>
        </w:trPr>
        <w:tc>
          <w:tcPr>
            <w:tcW w:w="4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convertible redeemable preferred shares</w:t>
            </w:r>
          </w:p>
        </w:tc>
        <w:tc>
          <w:tcPr>
            <w:tcW w:w="9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according to the commitments</w:t>
            </w:r>
          </w:p>
        </w:tc>
        <w:tc>
          <w:tcPr>
            <w:tcW w:w="14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677,945</w:t>
            </w:r>
          </w:p>
        </w:tc>
        <w:tc>
          <w:tcPr>
            <w:tcW w:w="14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960,102</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1,638,047</w:t>
            </w:r>
          </w:p>
        </w:tc>
        <w:tc>
          <w:tcPr>
            <w:tcW w:w="0" w:type="dxa"/>
            <w:vAlign w:val="bottom"/>
          </w:tcPr>
          <w:p>
            <w:pPr>
              <w:spacing w:after="0"/>
              <w:rPr>
                <w:sz w:val="1"/>
                <w:szCs w:val="1"/>
                <w:color w:val="auto"/>
              </w:rPr>
            </w:pPr>
          </w:p>
        </w:tc>
      </w:tr>
      <w:tr>
        <w:trPr>
          <w:trHeight w:val="198"/>
        </w:trPr>
        <w:tc>
          <w:tcPr>
            <w:tcW w:w="4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Conversion of convertible notes to convertible</w:t>
            </w: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redeemable (Note 26(a))</w:t>
            </w:r>
          </w:p>
        </w:tc>
        <w:tc>
          <w:tcPr>
            <w:tcW w:w="14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101,640</w:t>
            </w:r>
          </w:p>
        </w:tc>
        <w:tc>
          <w:tcPr>
            <w:tcW w:w="14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101,640</w:t>
            </w:r>
          </w:p>
        </w:tc>
        <w:tc>
          <w:tcPr>
            <w:tcW w:w="0" w:type="dxa"/>
            <w:vAlign w:val="bottom"/>
          </w:tcPr>
          <w:p>
            <w:pPr>
              <w:spacing w:after="0"/>
              <w:rPr>
                <w:sz w:val="1"/>
                <w:szCs w:val="1"/>
                <w:color w:val="auto"/>
              </w:rPr>
            </w:pPr>
          </w:p>
        </w:tc>
      </w:tr>
      <w:tr>
        <w:trPr>
          <w:trHeight w:val="198"/>
        </w:trPr>
        <w:tc>
          <w:tcPr>
            <w:tcW w:w="4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Exercise of warrants to subscribe for convertible</w:t>
            </w:r>
          </w:p>
        </w:tc>
        <w:tc>
          <w:tcPr>
            <w:tcW w:w="9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redeemable preferred shares (Note 26(b))</w:t>
            </w:r>
          </w:p>
        </w:tc>
        <w:tc>
          <w:tcPr>
            <w:tcW w:w="14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102,023</w:t>
            </w: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102,023</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effect</w:t>
            </w:r>
          </w:p>
        </w:tc>
        <w:tc>
          <w:tcPr>
            <w:tcW w:w="14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(8,373)</w:t>
            </w:r>
          </w:p>
        </w:tc>
        <w:tc>
          <w:tcPr>
            <w:tcW w:w="14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(2,535)</w:t>
            </w:r>
          </w:p>
        </w:tc>
        <w:tc>
          <w:tcPr>
            <w:tcW w:w="14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(3,833)</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(21,751)</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(36,492)</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2021</w:t>
            </w:r>
          </w:p>
        </w:tc>
        <w:tc>
          <w:tcPr>
            <w:tcW w:w="14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704,338</w:t>
            </w:r>
          </w:p>
        </w:tc>
        <w:tc>
          <w:tcPr>
            <w:tcW w:w="14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182,130</w:t>
            </w:r>
          </w:p>
        </w:tc>
        <w:tc>
          <w:tcPr>
            <w:tcW w:w="14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322,283</w:t>
            </w: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1,829,765</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3,038,516</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22</w:t>
        <w:tab/>
        <w:t>Put option liabilities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July 2019, WeRide Hong Kong Ltd. (“WeRide HK”) and Guangzhou Jingqi entered into an agreement with two investors. Pursuant to the agreement,</w:t>
      </w:r>
    </w:p>
    <w:p>
      <w:pPr>
        <w:spacing w:after="0" w:line="27" w:lineRule="exact"/>
        <w:rPr>
          <w:sz w:val="20"/>
          <w:szCs w:val="20"/>
          <w:color w:val="auto"/>
        </w:rPr>
      </w:pPr>
    </w:p>
    <w:p>
      <w:pPr>
        <w:ind w:left="120" w:right="180" w:hanging="4"/>
        <w:spacing w:after="0" w:line="253" w:lineRule="auto"/>
        <w:tabs>
          <w:tab w:leader="none" w:pos="312"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WeRide HK, Guangzhou Jingqi and the investors together established a new company, Wenyuan Yuexing (Guangdong) Chuxing Technology Co., Ltd. (“Wenyuan Yuexing”) in which the Group has control; 2) the investors injected capital of RMB36.0 million and 28.8 million in exchange for 20% and 16% equity interest of Wenyuan Yuexing, respectively; and 3) the investors have the right to require the Group to repurchase all or a part of their equity interests in Wenyuan Yuexing and to require the Group to pay any shortfall if their investment return falls below 10% of the original injection amount, if Wenyuan Yuexing cannot complete an initial public offering before August 2025.</w:t>
      </w:r>
    </w:p>
    <w:p>
      <w:pPr>
        <w:spacing w:after="0" w:line="1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140"/>
          </w:cols>
          <w:pgMar w:left="320" w:top="455" w:right="439"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Since the Group is obligated to pay cash to the investors upon occurrence of certain events beyond the Group’s control, the put option liabilities were initially recognized at present value of redemption amount by the Group with reference to the present value of the estimated future cash outflows, and were accreted to redemption amount subsequently. The movements of the put option liabilities during the periods presented are set out as below:</w:t>
      </w:r>
    </w:p>
    <w:p>
      <w:pPr>
        <w:spacing w:after="0" w:line="196" w:lineRule="exact"/>
        <w:rPr>
          <w:sz w:val="20"/>
          <w:szCs w:val="20"/>
          <w:color w:val="auto"/>
        </w:rPr>
      </w:pPr>
    </w:p>
    <w:p>
      <w:pPr>
        <w:jc w:val="center"/>
        <w:ind w:left="6460"/>
        <w:spacing w:after="0"/>
        <w:rPr>
          <w:sz w:val="20"/>
          <w:szCs w:val="20"/>
          <w:color w:val="auto"/>
        </w:rPr>
      </w:pPr>
      <w:r>
        <w:rPr>
          <w:rFonts w:ascii="Times New Roman" w:cs="Times New Roman" w:eastAsia="Times New Roman" w:hAnsi="Times New Roman"/>
          <w:sz w:val="14"/>
          <w:szCs w:val="14"/>
          <w:i w:val="1"/>
          <w:iCs w:val="1"/>
          <w:color w:val="auto"/>
        </w:rPr>
        <w:t>For the year ended</w:t>
      </w:r>
    </w:p>
    <w:p>
      <w:pPr>
        <w:jc w:val="center"/>
        <w:ind w:left="6460"/>
        <w:spacing w:after="0"/>
        <w:rPr>
          <w:sz w:val="20"/>
          <w:szCs w:val="20"/>
          <w:color w:val="auto"/>
        </w:rPr>
      </w:pPr>
      <w:r>
        <w:rPr>
          <w:rFonts w:ascii="Times New Roman" w:cs="Times New Roman" w:eastAsia="Times New Roman" w:hAnsi="Times New Roman"/>
          <w:sz w:val="14"/>
          <w:szCs w:val="14"/>
          <w:i w:val="1"/>
          <w:iCs w:val="1"/>
          <w:color w:val="auto"/>
        </w:rPr>
        <w:t>December 31,</w:t>
      </w:r>
    </w:p>
    <w:tbl>
      <w:tblPr>
        <w:tblLayout w:type="fixed"/>
        <w:tblInd w:w="1440" w:type="dxa"/>
        <w:tblCellMar>
          <w:top w:w="0" w:type="dxa"/>
          <w:left w:w="0" w:type="dxa"/>
          <w:bottom w:w="0" w:type="dxa"/>
          <w:right w:w="0" w:type="dxa"/>
        </w:tblCellMar>
      </w:tblPr>
      <w:tr>
        <w:trPr>
          <w:trHeight w:val="119"/>
        </w:trPr>
        <w:tc>
          <w:tcPr>
            <w:tcW w:w="6600" w:type="dxa"/>
            <w:vAlign w:val="bottom"/>
          </w:tcPr>
          <w:p>
            <w:pPr>
              <w:spacing w:after="0"/>
              <w:rPr>
                <w:sz w:val="10"/>
                <w:szCs w:val="10"/>
                <w:color w:val="auto"/>
              </w:rPr>
            </w:pPr>
          </w:p>
        </w:tc>
        <w:tc>
          <w:tcPr>
            <w:tcW w:w="620" w:type="dxa"/>
            <w:vAlign w:val="bottom"/>
            <w:tcBorders>
              <w:top w:val="single" w:sz="8" w:color="auto"/>
            </w:tcBorders>
          </w:tcPr>
          <w:p>
            <w:pPr>
              <w:jc w:val="right"/>
              <w:ind w:right="77"/>
              <w:spacing w:after="0" w:line="119" w:lineRule="exact"/>
              <w:rPr>
                <w:sz w:val="20"/>
                <w:szCs w:val="20"/>
                <w:color w:val="auto"/>
              </w:rPr>
            </w:pPr>
            <w:r>
              <w:rPr>
                <w:rFonts w:ascii="Times New Roman" w:cs="Times New Roman" w:eastAsia="Times New Roman" w:hAnsi="Times New Roman"/>
                <w:sz w:val="13"/>
                <w:szCs w:val="13"/>
                <w:i w:val="1"/>
                <w:iCs w:val="1"/>
                <w:color w:val="auto"/>
              </w:rPr>
              <w:t>2020</w:t>
            </w:r>
          </w:p>
        </w:tc>
        <w:tc>
          <w:tcPr>
            <w:tcW w:w="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ind w:right="97"/>
              <w:spacing w:after="0" w:line="119" w:lineRule="exact"/>
              <w:rPr>
                <w:sz w:val="20"/>
                <w:szCs w:val="20"/>
                <w:color w:val="auto"/>
              </w:rPr>
            </w:pPr>
            <w:r>
              <w:rPr>
                <w:rFonts w:ascii="Times New Roman" w:cs="Times New Roman" w:eastAsia="Times New Roman" w:hAnsi="Times New Roman"/>
                <w:sz w:val="13"/>
                <w:szCs w:val="13"/>
                <w:i w:val="1"/>
                <w:iCs w:val="1"/>
                <w:color w:val="auto"/>
              </w:rPr>
              <w:t>2021</w:t>
            </w:r>
          </w:p>
        </w:tc>
        <w:tc>
          <w:tcPr>
            <w:tcW w:w="120" w:type="dxa"/>
            <w:vAlign w:val="bottom"/>
          </w:tcPr>
          <w:p>
            <w:pPr>
              <w:spacing w:after="0"/>
              <w:rPr>
                <w:sz w:val="10"/>
                <w:szCs w:val="10"/>
                <w:color w:val="auto"/>
              </w:rPr>
            </w:pPr>
          </w:p>
        </w:tc>
      </w:tr>
      <w:tr>
        <w:trPr>
          <w:trHeight w:val="171"/>
        </w:trPr>
        <w:tc>
          <w:tcPr>
            <w:tcW w:w="6600" w:type="dxa"/>
            <w:vAlign w:val="bottom"/>
          </w:tcPr>
          <w:p>
            <w:pPr>
              <w:spacing w:after="0"/>
              <w:rPr>
                <w:sz w:val="14"/>
                <w:szCs w:val="14"/>
                <w:color w:val="auto"/>
              </w:rPr>
            </w:pPr>
          </w:p>
        </w:tc>
        <w:tc>
          <w:tcPr>
            <w:tcW w:w="100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color w:val="auto"/>
              </w:rPr>
              <w:t>RMB’000</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RMB’000</w:t>
            </w: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January 1,</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65,071</w:t>
            </w: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66,116</w:t>
            </w:r>
          </w:p>
        </w:tc>
      </w:tr>
      <w:tr>
        <w:trPr>
          <w:trHeight w:val="32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Changes in carrying amount (Note 8)</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1,045</w:t>
            </w:r>
          </w:p>
        </w:tc>
        <w:tc>
          <w:tcPr>
            <w:tcW w:w="36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1,348</w:t>
            </w: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Redeemed by non-controlling shareholders (Note 19(c))*</w:t>
            </w:r>
          </w:p>
        </w:tc>
        <w:tc>
          <w:tcPr>
            <w:tcW w:w="10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(28,280)</w:t>
            </w:r>
          </w:p>
        </w:tc>
      </w:tr>
      <w:tr>
        <w:trPr>
          <w:trHeight w:val="223"/>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66,116</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39,184</w:t>
            </w:r>
          </w:p>
        </w:tc>
        <w:tc>
          <w:tcPr>
            <w:tcW w:w="12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right="160" w:hanging="424"/>
        <w:spacing w:after="0" w:line="282" w:lineRule="auto"/>
        <w:tabs>
          <w:tab w:leader="none" w:pos="54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negotiation among the Group and the shareholders of Wenyuan Yuexing, the Group agreed to redeem 15% equity interest of Wenyuan Yuexing from one of the investors in advance in 2021.</w:t>
      </w:r>
    </w:p>
    <w:p>
      <w:pPr>
        <w:spacing w:after="0" w:line="306"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23</w:t>
        <w:tab/>
        <w:t>Other non-current liabilities</w:t>
      </w:r>
    </w:p>
    <w:p>
      <w:pPr>
        <w:spacing w:after="0" w:line="250"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4"/>
          <w:szCs w:val="14"/>
          <w:i w:val="1"/>
          <w:iCs w:val="1"/>
          <w:color w:val="auto"/>
        </w:rPr>
        <w:t>As of December 31,</w:t>
      </w:r>
    </w:p>
    <w:p>
      <w:pPr>
        <w:spacing w:after="0" w:line="12" w:lineRule="exact"/>
        <w:rPr>
          <w:sz w:val="20"/>
          <w:szCs w:val="20"/>
          <w:color w:val="auto"/>
        </w:rPr>
      </w:pPr>
    </w:p>
    <w:tbl>
      <w:tblPr>
        <w:tblLayout w:type="fixed"/>
        <w:tblInd w:w="1440" w:type="dxa"/>
        <w:tblCellMar>
          <w:top w:w="0" w:type="dxa"/>
          <w:left w:w="0" w:type="dxa"/>
          <w:bottom w:w="0" w:type="dxa"/>
          <w:right w:w="0" w:type="dxa"/>
        </w:tblCellMar>
      </w:tblPr>
      <w:tr>
        <w:trPr>
          <w:trHeight w:val="119"/>
        </w:trPr>
        <w:tc>
          <w:tcPr>
            <w:tcW w:w="6420" w:type="dxa"/>
            <w:vAlign w:val="bottom"/>
          </w:tcPr>
          <w:p>
            <w:pPr>
              <w:spacing w:after="0"/>
              <w:rPr>
                <w:sz w:val="10"/>
                <w:szCs w:val="10"/>
                <w:color w:val="auto"/>
              </w:rPr>
            </w:pPr>
          </w:p>
        </w:tc>
        <w:tc>
          <w:tcPr>
            <w:tcW w:w="780" w:type="dxa"/>
            <w:vAlign w:val="bottom"/>
            <w:tcBorders>
              <w:top w:val="single" w:sz="8" w:color="auto"/>
            </w:tcBorders>
          </w:tcPr>
          <w:p>
            <w:pPr>
              <w:jc w:val="right"/>
              <w:ind w:right="164"/>
              <w:spacing w:after="0" w:line="119" w:lineRule="exact"/>
              <w:rPr>
                <w:sz w:val="20"/>
                <w:szCs w:val="20"/>
                <w:color w:val="auto"/>
              </w:rPr>
            </w:pPr>
            <w:r>
              <w:rPr>
                <w:rFonts w:ascii="Times New Roman" w:cs="Times New Roman" w:eastAsia="Times New Roman" w:hAnsi="Times New Roman"/>
                <w:sz w:val="13"/>
                <w:szCs w:val="13"/>
                <w:i w:val="1"/>
                <w:iCs w:val="1"/>
                <w:color w:val="auto"/>
              </w:rPr>
              <w:t>2020</w:t>
            </w:r>
          </w:p>
        </w:tc>
        <w:tc>
          <w:tcPr>
            <w:tcW w:w="3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184"/>
              <w:spacing w:after="0" w:line="119" w:lineRule="exact"/>
              <w:rPr>
                <w:sz w:val="20"/>
                <w:szCs w:val="20"/>
                <w:color w:val="auto"/>
              </w:rPr>
            </w:pPr>
            <w:r>
              <w:rPr>
                <w:rFonts w:ascii="Times New Roman" w:cs="Times New Roman" w:eastAsia="Times New Roman" w:hAnsi="Times New Roman"/>
                <w:sz w:val="13"/>
                <w:szCs w:val="13"/>
                <w:i w:val="1"/>
                <w:iCs w:val="1"/>
                <w:color w:val="auto"/>
              </w:rPr>
              <w:t>2021</w:t>
            </w:r>
          </w:p>
        </w:tc>
        <w:tc>
          <w:tcPr>
            <w:tcW w:w="60" w:type="dxa"/>
            <w:vAlign w:val="bottom"/>
          </w:tcPr>
          <w:p>
            <w:pPr>
              <w:spacing w:after="0"/>
              <w:rPr>
                <w:sz w:val="10"/>
                <w:szCs w:val="10"/>
                <w:color w:val="auto"/>
              </w:rPr>
            </w:pPr>
          </w:p>
        </w:tc>
      </w:tr>
      <w:tr>
        <w:trPr>
          <w:trHeight w:val="171"/>
        </w:trPr>
        <w:tc>
          <w:tcPr>
            <w:tcW w:w="642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RMB’000</w:t>
            </w: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RMB’000</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grants received with conditions</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138,630</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139,787</w:t>
            </w:r>
          </w:p>
        </w:tc>
      </w:tr>
      <w:tr>
        <w:trPr>
          <w:trHeight w:val="20"/>
        </w:trPr>
        <w:tc>
          <w:tcPr>
            <w:tcW w:w="64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140"/>
        <w:spacing w:after="0" w:line="289" w:lineRule="auto"/>
        <w:rPr>
          <w:sz w:val="20"/>
          <w:szCs w:val="20"/>
          <w:color w:val="auto"/>
        </w:rPr>
      </w:pPr>
      <w:r>
        <w:rPr>
          <w:rFonts w:ascii="Times New Roman" w:cs="Times New Roman" w:eastAsia="Times New Roman" w:hAnsi="Times New Roman"/>
          <w:sz w:val="17"/>
          <w:szCs w:val="17"/>
          <w:color w:val="auto"/>
        </w:rPr>
        <w:t>The Group was awarded grants from governments and conditional on the operation performance and tax contribution in a specified region for the year ending December 31, 2023. The government grants have been received and recognized as other non-current liabilities, which will be released to other income in the consolidated statements of profit or loss when the conditions attached for operation performance and tax contribution are satisfied.</w:t>
      </w:r>
    </w:p>
    <w:p>
      <w:pPr>
        <w:spacing w:after="0" w:line="302"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24</w:t>
            </w:r>
          </w:p>
        </w:tc>
        <w:tc>
          <w:tcPr>
            <w:tcW w:w="75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Trade and other payables, deposits received and accrued expenses</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186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i w:val="1"/>
                <w:iCs w:val="1"/>
                <w:color w:val="auto"/>
              </w:rPr>
              <w:t>As of December 31,</w:t>
            </w:r>
          </w:p>
        </w:tc>
        <w:tc>
          <w:tcPr>
            <w:tcW w:w="0" w:type="dxa"/>
            <w:vAlign w:val="bottom"/>
          </w:tcPr>
          <w:p>
            <w:pPr>
              <w:spacing w:after="0"/>
              <w:rPr>
                <w:sz w:val="1"/>
                <w:szCs w:val="1"/>
                <w:color w:val="auto"/>
              </w:rPr>
            </w:pPr>
          </w:p>
        </w:tc>
      </w:tr>
      <w:tr>
        <w:trPr>
          <w:trHeight w:val="119"/>
        </w:trPr>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500" w:type="dxa"/>
            <w:vAlign w:val="bottom"/>
          </w:tcPr>
          <w:p>
            <w:pPr>
              <w:spacing w:after="0"/>
              <w:rPr>
                <w:sz w:val="10"/>
                <w:szCs w:val="10"/>
                <w:color w:val="auto"/>
              </w:rPr>
            </w:pPr>
          </w:p>
        </w:tc>
        <w:tc>
          <w:tcPr>
            <w:tcW w:w="740" w:type="dxa"/>
            <w:vAlign w:val="bottom"/>
            <w:tcBorders>
              <w:top w:val="single" w:sz="8" w:color="auto"/>
            </w:tcBorders>
          </w:tcPr>
          <w:p>
            <w:pPr>
              <w:jc w:val="right"/>
              <w:ind w:right="135"/>
              <w:spacing w:after="0" w:line="119" w:lineRule="exact"/>
              <w:rPr>
                <w:sz w:val="20"/>
                <w:szCs w:val="20"/>
                <w:color w:val="auto"/>
              </w:rPr>
            </w:pPr>
            <w:r>
              <w:rPr>
                <w:rFonts w:ascii="Times New Roman" w:cs="Times New Roman" w:eastAsia="Times New Roman" w:hAnsi="Times New Roman"/>
                <w:sz w:val="13"/>
                <w:szCs w:val="13"/>
                <w:i w:val="1"/>
                <w:iCs w:val="1"/>
                <w:color w:val="auto"/>
              </w:rPr>
              <w:t>2020</w:t>
            </w:r>
          </w:p>
        </w:tc>
        <w:tc>
          <w:tcPr>
            <w:tcW w:w="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ind w:right="114"/>
              <w:spacing w:after="0" w:line="119" w:lineRule="exact"/>
              <w:rPr>
                <w:sz w:val="20"/>
                <w:szCs w:val="20"/>
                <w:color w:val="auto"/>
              </w:rPr>
            </w:pPr>
            <w:r>
              <w:rPr>
                <w:rFonts w:ascii="Times New Roman" w:cs="Times New Roman" w:eastAsia="Times New Roman" w:hAnsi="Times New Roman"/>
                <w:sz w:val="13"/>
                <w:szCs w:val="13"/>
                <w:i w:val="1"/>
                <w:iCs w:val="1"/>
                <w:color w:val="auto"/>
              </w:rPr>
              <w:t>2021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12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color w:val="auto"/>
              </w:rPr>
              <w:t>RMB’000</w:t>
            </w: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RMB’000</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11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18,839</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15,948</w:t>
            </w:r>
          </w:p>
        </w:tc>
        <w:tc>
          <w:tcPr>
            <w:tcW w:w="0" w:type="dxa"/>
            <w:vAlign w:val="bottom"/>
          </w:tcPr>
          <w:p>
            <w:pPr>
              <w:spacing w:after="0"/>
              <w:rPr>
                <w:sz w:val="1"/>
                <w:szCs w:val="1"/>
                <w:color w:val="auto"/>
              </w:rPr>
            </w:pPr>
          </w:p>
        </w:tc>
      </w:tr>
      <w:tr>
        <w:trPr>
          <w:trHeight w:val="324"/>
        </w:trPr>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Payables for cancellation of vested restricted share units (Note 28(b))</w:t>
            </w:r>
          </w:p>
        </w:tc>
        <w:tc>
          <w:tcPr>
            <w:tcW w:w="11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56,008</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 and social insurance</w:t>
            </w:r>
          </w:p>
        </w:tc>
        <w:tc>
          <w:tcPr>
            <w:tcW w:w="11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45,822</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51,170</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Payables for professional services</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6,563</w:t>
            </w:r>
          </w:p>
        </w:tc>
        <w:tc>
          <w:tcPr>
            <w:tcW w:w="3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2,286</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payable other than income taxes</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3,761</w:t>
            </w:r>
          </w:p>
        </w:tc>
        <w:tc>
          <w:tcPr>
            <w:tcW w:w="3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2,328</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9,006</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8,445</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payables, deposits received and accrued expenses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121,160</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64,229</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trade and payables, deposits received and accrued expenses</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500" w:type="dxa"/>
            <w:vAlign w:val="bottom"/>
            <w:vMerge w:val="continue"/>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139,999</w:t>
            </w:r>
          </w:p>
        </w:tc>
        <w:tc>
          <w:tcPr>
            <w:tcW w:w="2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As of December 31, 2020 and 2021, all of the balances of trade and other payables are expected to be settled or recognized as income within one year or are repayable on demand. The credit period granted by the suppliers is generally between 30 to 60 days.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080"/>
          </w:cols>
          <w:pgMar w:left="320" w:top="455" w:right="499"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Information about the Group’s exposure to currency and liquidity risks is included in Note 30.</w:t>
      </w:r>
    </w:p>
    <w:p>
      <w:pPr>
        <w:spacing w:after="0" w:line="370"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25</w:t>
        <w:tab/>
        <w:t>Loans and borrowings</w:t>
      </w:r>
    </w:p>
    <w:p>
      <w:pPr>
        <w:spacing w:after="0" w:line="250"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520" w:type="dxa"/>
            <w:vAlign w:val="bottom"/>
          </w:tcPr>
          <w:p>
            <w:pPr>
              <w:spacing w:after="0"/>
              <w:rPr>
                <w:sz w:val="15"/>
                <w:szCs w:val="15"/>
                <w:color w:val="auto"/>
              </w:rPr>
            </w:pPr>
          </w:p>
        </w:tc>
        <w:tc>
          <w:tcPr>
            <w:tcW w:w="1840" w:type="dxa"/>
            <w:vAlign w:val="bottom"/>
            <w:gridSpan w:val="5"/>
          </w:tcPr>
          <w:p>
            <w:pPr>
              <w:ind w:left="340"/>
              <w:spacing w:after="0"/>
              <w:rPr>
                <w:sz w:val="20"/>
                <w:szCs w:val="20"/>
                <w:color w:val="auto"/>
              </w:rPr>
            </w:pPr>
            <w:r>
              <w:rPr>
                <w:rFonts w:ascii="Times New Roman" w:cs="Times New Roman" w:eastAsia="Times New Roman" w:hAnsi="Times New Roman"/>
                <w:sz w:val="14"/>
                <w:szCs w:val="14"/>
                <w:i w:val="1"/>
                <w:iCs w:val="1"/>
                <w:color w:val="auto"/>
              </w:rPr>
              <w:t>As of December 31,</w:t>
            </w:r>
          </w:p>
        </w:tc>
      </w:tr>
      <w:tr>
        <w:trPr>
          <w:trHeight w:val="119"/>
        </w:trPr>
        <w:tc>
          <w:tcPr>
            <w:tcW w:w="6520" w:type="dxa"/>
            <w:vAlign w:val="bottom"/>
          </w:tcPr>
          <w:p>
            <w:pPr>
              <w:spacing w:after="0"/>
              <w:rPr>
                <w:sz w:val="10"/>
                <w:szCs w:val="10"/>
                <w:color w:val="auto"/>
              </w:rPr>
            </w:pPr>
          </w:p>
        </w:tc>
        <w:tc>
          <w:tcPr>
            <w:tcW w:w="640" w:type="dxa"/>
            <w:vAlign w:val="bottom"/>
            <w:tcBorders>
              <w:top w:val="single" w:sz="8" w:color="auto"/>
            </w:tcBorders>
          </w:tcPr>
          <w:p>
            <w:pPr>
              <w:jc w:val="right"/>
              <w:ind w:right="98"/>
              <w:spacing w:after="0" w:line="119" w:lineRule="exact"/>
              <w:rPr>
                <w:sz w:val="20"/>
                <w:szCs w:val="20"/>
                <w:color w:val="auto"/>
              </w:rPr>
            </w:pPr>
            <w:r>
              <w:rPr>
                <w:rFonts w:ascii="Times New Roman" w:cs="Times New Roman" w:eastAsia="Times New Roman" w:hAnsi="Times New Roman"/>
                <w:sz w:val="13"/>
                <w:szCs w:val="13"/>
                <w:i w:val="1"/>
                <w:iCs w:val="1"/>
                <w:color w:val="auto"/>
              </w:rPr>
              <w:t>2020</w:t>
            </w:r>
          </w:p>
        </w:tc>
        <w:tc>
          <w:tcPr>
            <w:tcW w:w="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77"/>
              <w:spacing w:after="0" w:line="119" w:lineRule="exact"/>
              <w:rPr>
                <w:sz w:val="20"/>
                <w:szCs w:val="20"/>
                <w:color w:val="auto"/>
              </w:rPr>
            </w:pPr>
            <w:r>
              <w:rPr>
                <w:rFonts w:ascii="Times New Roman" w:cs="Times New Roman" w:eastAsia="Times New Roman" w:hAnsi="Times New Roman"/>
                <w:sz w:val="13"/>
                <w:szCs w:val="13"/>
                <w:i w:val="1"/>
                <w:iCs w:val="1"/>
                <w:color w:val="auto"/>
              </w:rPr>
              <w:t>2021</w:t>
            </w:r>
          </w:p>
        </w:tc>
        <w:tc>
          <w:tcPr>
            <w:tcW w:w="40" w:type="dxa"/>
            <w:vAlign w:val="bottom"/>
          </w:tcPr>
          <w:p>
            <w:pPr>
              <w:spacing w:after="0"/>
              <w:rPr>
                <w:sz w:val="10"/>
                <w:szCs w:val="10"/>
                <w:color w:val="auto"/>
              </w:rPr>
            </w:pPr>
          </w:p>
        </w:tc>
      </w:tr>
      <w:tr>
        <w:trPr>
          <w:trHeight w:val="171"/>
        </w:trPr>
        <w:tc>
          <w:tcPr>
            <w:tcW w:w="6520" w:type="dxa"/>
            <w:vAlign w:val="bottom"/>
          </w:tcPr>
          <w:p>
            <w:pPr>
              <w:spacing w:after="0"/>
              <w:rPr>
                <w:sz w:val="14"/>
                <w:szCs w:val="14"/>
                <w:color w:val="auto"/>
              </w:rPr>
            </w:pPr>
          </w:p>
        </w:tc>
        <w:tc>
          <w:tcPr>
            <w:tcW w:w="120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color w:val="auto"/>
              </w:rPr>
              <w:t>RMB’000</w:t>
            </w:r>
          </w:p>
        </w:tc>
        <w:tc>
          <w:tcPr>
            <w:tcW w:w="6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RMB’000</w:t>
            </w: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loans</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Unsecured (Note (i))</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13,050</w:t>
            </w:r>
          </w:p>
        </w:tc>
        <w:tc>
          <w:tcPr>
            <w:tcW w:w="54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Guaranteed (Note (ii))</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42,491</w:t>
            </w:r>
          </w:p>
        </w:tc>
        <w:tc>
          <w:tcPr>
            <w:tcW w:w="5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Borrowing from a third party</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Unsecured (Note (iii))</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48,937</w:t>
            </w:r>
          </w:p>
        </w:tc>
        <w:tc>
          <w:tcPr>
            <w:tcW w:w="5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5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104,478</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r>
      <w:tr>
        <w:trPr>
          <w:trHeight w:val="20"/>
        </w:trPr>
        <w:tc>
          <w:tcPr>
            <w:tcW w:w="65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w:t>
      </w:r>
    </w:p>
    <w:p>
      <w:pPr>
        <w:spacing w:after="0" w:line="131" w:lineRule="exact"/>
        <w:rPr>
          <w:sz w:val="20"/>
          <w:szCs w:val="20"/>
          <w:color w:val="auto"/>
        </w:rPr>
      </w:pPr>
    </w:p>
    <w:p>
      <w:pPr>
        <w:ind w:left="540" w:hanging="424"/>
        <w:spacing w:after="0" w:line="256" w:lineRule="auto"/>
        <w:tabs>
          <w:tab w:leader="none" w:pos="54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2020, under the rules issued by the U.S. Small Business Administration (SBA) implementing the Paycheck Protection Program (“PPP”) under Division A, Title I of the Coronavirus Aid, Relief, and Economic Security Act (the “PPP Rule”), the subsidiary in the U.S. obtained unsecured bank loans with an aggregated amount of USD2.0 million (equivalent to RMB13.1 million) as of December 31, 2020. The loans bore an interest rate of 1% per annum with a term of 2 years and expired in May 2022. Under the PPP Rule, loan forgiveness was provided for documented payroll costs and covered rent payments and utilities that qualify SBA requirements. The Group is qualified for the loan forgiveness and the loan was waived as of December 31, 2021.</w:t>
      </w:r>
    </w:p>
    <w:p>
      <w:pPr>
        <w:spacing w:after="0" w:line="92" w:lineRule="exact"/>
        <w:rPr>
          <w:rFonts w:ascii="Times New Roman" w:cs="Times New Roman" w:eastAsia="Times New Roman" w:hAnsi="Times New Roman"/>
          <w:sz w:val="18"/>
          <w:szCs w:val="18"/>
          <w:color w:val="auto"/>
        </w:rPr>
      </w:pPr>
    </w:p>
    <w:p>
      <w:pPr>
        <w:ind w:left="540" w:right="40" w:hanging="424"/>
        <w:spacing w:after="0" w:line="256" w:lineRule="auto"/>
        <w:tabs>
          <w:tab w:leader="none" w:pos="54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2020, the subsidiary of the Group incorporated in the U.S. entered into a credit agreement with East West Bank (China) Limited with line of credit in the amount of USD15.0 million with a term of 18 months. To facilitate each borrowing, a RMB restricted cash of no less than 105% of the borrowing principal is required to be deposited to the bank. In July 2020, the U.S. subsidiary borrowed USD6.5 million (equivalent to RMB42.5 million) at an annual interest rate of 5% with a term of one year and certain deposits of RMB46.8 million were deposited with restricted use to the bank by Guangzhou Jingqi to facilitate the borrowing. As of December 31, 2021, the loan has been repaid and the related restricted cash was released correspondingly.</w:t>
      </w:r>
    </w:p>
    <w:p>
      <w:pPr>
        <w:spacing w:after="0" w:line="92" w:lineRule="exact"/>
        <w:rPr>
          <w:rFonts w:ascii="Times New Roman" w:cs="Times New Roman" w:eastAsia="Times New Roman" w:hAnsi="Times New Roman"/>
          <w:sz w:val="18"/>
          <w:szCs w:val="18"/>
          <w:color w:val="auto"/>
        </w:rPr>
      </w:pPr>
    </w:p>
    <w:p>
      <w:pPr>
        <w:ind w:left="540" w:right="80" w:hanging="424"/>
        <w:spacing w:after="0" w:line="282" w:lineRule="auto"/>
        <w:tabs>
          <w:tab w:leader="none" w:pos="54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2020, the Group entered into a borrowing agreement with a third party for a loan of USD2.5 million (equivalent to RMB16.3 million) at a simple interest rate of 8% per annum with a term of one year. In February 2021, the Group repaid the loan and interest to the third party.</w:t>
      </w:r>
    </w:p>
    <w:p>
      <w:pPr>
        <w:spacing w:after="0" w:line="53" w:lineRule="exact"/>
        <w:rPr>
          <w:rFonts w:ascii="Times New Roman" w:cs="Times New Roman" w:eastAsia="Times New Roman" w:hAnsi="Times New Roman"/>
          <w:sz w:val="18"/>
          <w:szCs w:val="18"/>
          <w:color w:val="auto"/>
        </w:rPr>
      </w:pPr>
    </w:p>
    <w:p>
      <w:pPr>
        <w:ind w:left="560" w:right="580"/>
        <w:spacing w:after="0" w:line="31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In September 2020, the Group entered into a borrowing agreement with a third party for a loan of USD5.0 million (equivalent to RMB32.6 million) at a simple interest rate of 1% with a term of one year. In June 2021, the Group repaid the loan and interest to the third party.</w:t>
      </w:r>
    </w:p>
    <w:p>
      <w:pPr>
        <w:spacing w:after="0" w:line="1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Information about the Group’s exposure to liquidity, interest rate and foreign currency risks is included in Note 30.</w:t>
      </w:r>
    </w:p>
    <w:p>
      <w:pPr>
        <w:spacing w:after="0" w:line="370"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26</w:t>
        <w:tab/>
        <w:t>Financial liabilities measured at FVTPL</w:t>
      </w:r>
    </w:p>
    <w:p>
      <w:pPr>
        <w:spacing w:after="0" w:line="250"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04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860" w:type="dxa"/>
            <w:vAlign w:val="bottom"/>
            <w:gridSpan w:val="4"/>
          </w:tcPr>
          <w:p>
            <w:pPr>
              <w:ind w:left="340"/>
              <w:spacing w:after="0"/>
              <w:rPr>
                <w:sz w:val="20"/>
                <w:szCs w:val="20"/>
                <w:color w:val="auto"/>
              </w:rPr>
            </w:pPr>
            <w:r>
              <w:rPr>
                <w:rFonts w:ascii="Times New Roman" w:cs="Times New Roman" w:eastAsia="Times New Roman" w:hAnsi="Times New Roman"/>
                <w:sz w:val="14"/>
                <w:szCs w:val="14"/>
                <w:i w:val="1"/>
                <w:iCs w:val="1"/>
                <w:color w:val="auto"/>
              </w:rPr>
              <w:t>As of December 31,</w:t>
            </w:r>
          </w:p>
        </w:tc>
      </w:tr>
      <w:tr>
        <w:trPr>
          <w:trHeight w:val="119"/>
        </w:trPr>
        <w:tc>
          <w:tcPr>
            <w:tcW w:w="304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740" w:type="dxa"/>
            <w:vAlign w:val="bottom"/>
            <w:tcBorders>
              <w:top w:val="single" w:sz="8" w:color="auto"/>
            </w:tcBorders>
          </w:tcPr>
          <w:p>
            <w:pPr>
              <w:jc w:val="right"/>
              <w:ind w:right="142"/>
              <w:spacing w:after="0" w:line="119" w:lineRule="exact"/>
              <w:rPr>
                <w:sz w:val="20"/>
                <w:szCs w:val="20"/>
                <w:color w:val="auto"/>
              </w:rPr>
            </w:pPr>
            <w:r>
              <w:rPr>
                <w:rFonts w:ascii="Times New Roman" w:cs="Times New Roman" w:eastAsia="Times New Roman" w:hAnsi="Times New Roman"/>
                <w:sz w:val="13"/>
                <w:szCs w:val="13"/>
                <w:i w:val="1"/>
                <w:iCs w:val="1"/>
                <w:color w:val="auto"/>
              </w:rPr>
              <w:t>2020</w:t>
            </w:r>
          </w:p>
        </w:tc>
        <w:tc>
          <w:tcPr>
            <w:tcW w:w="3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ind w:left="200"/>
              <w:spacing w:after="0" w:line="119" w:lineRule="exact"/>
              <w:rPr>
                <w:sz w:val="20"/>
                <w:szCs w:val="20"/>
                <w:color w:val="auto"/>
              </w:rPr>
            </w:pPr>
            <w:r>
              <w:rPr>
                <w:rFonts w:ascii="Times New Roman" w:cs="Times New Roman" w:eastAsia="Times New Roman" w:hAnsi="Times New Roman"/>
                <w:sz w:val="13"/>
                <w:szCs w:val="13"/>
                <w:i w:val="1"/>
                <w:iCs w:val="1"/>
                <w:color w:val="auto"/>
              </w:rPr>
              <w:t>2021</w:t>
            </w:r>
          </w:p>
        </w:tc>
        <w:tc>
          <w:tcPr>
            <w:tcW w:w="60" w:type="dxa"/>
            <w:vAlign w:val="bottom"/>
          </w:tcPr>
          <w:p>
            <w:pPr>
              <w:spacing w:after="0"/>
              <w:rPr>
                <w:sz w:val="10"/>
                <w:szCs w:val="10"/>
                <w:color w:val="auto"/>
              </w:rPr>
            </w:pPr>
          </w:p>
        </w:tc>
      </w:tr>
      <w:tr>
        <w:trPr>
          <w:trHeight w:val="171"/>
        </w:trPr>
        <w:tc>
          <w:tcPr>
            <w:tcW w:w="30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RMB’000</w:t>
            </w: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RMB’000</w:t>
            </w: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 (Note (a))</w:t>
            </w:r>
          </w:p>
        </w:tc>
        <w:tc>
          <w:tcPr>
            <w:tcW w:w="45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103,669</w:t>
            </w:r>
          </w:p>
        </w:tc>
        <w:tc>
          <w:tcPr>
            <w:tcW w:w="7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liabilities (Note (b))</w:t>
            </w:r>
          </w:p>
        </w:tc>
        <w:tc>
          <w:tcPr>
            <w:tcW w:w="34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221,651</w:t>
            </w:r>
          </w:p>
        </w:tc>
        <w:tc>
          <w:tcPr>
            <w:tcW w:w="380" w:type="dxa"/>
            <w:vAlign w:val="bottom"/>
          </w:tcPr>
          <w:p>
            <w:pPr>
              <w:spacing w:after="0"/>
              <w:rPr>
                <w:sz w:val="18"/>
                <w:szCs w:val="18"/>
                <w:color w:val="auto"/>
              </w:rPr>
            </w:pPr>
          </w:p>
        </w:tc>
        <w:tc>
          <w:tcPr>
            <w:tcW w:w="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74,357</w:t>
            </w:r>
          </w:p>
        </w:tc>
      </w:tr>
      <w:tr>
        <w:trPr>
          <w:trHeight w:val="27"/>
        </w:trPr>
        <w:tc>
          <w:tcPr>
            <w:tcW w:w="30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04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325,320</w:t>
            </w: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74,357</w:t>
            </w:r>
          </w:p>
        </w:tc>
      </w:tr>
      <w:tr>
        <w:trPr>
          <w:trHeight w:val="20"/>
        </w:trPr>
        <w:tc>
          <w:tcPr>
            <w:tcW w:w="30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3040" w:type="dxa"/>
            <w:vAlign w:val="bottom"/>
          </w:tcPr>
          <w:p>
            <w:pPr>
              <w:spacing w:after="0"/>
              <w:rPr>
                <w:sz w:val="24"/>
                <w:szCs w:val="24"/>
                <w:color w:val="auto"/>
              </w:rPr>
            </w:pPr>
          </w:p>
        </w:tc>
        <w:tc>
          <w:tcPr>
            <w:tcW w:w="458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F-51</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304" w:name="page305"/>
    <w:bookmarkEnd w:id="3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tabs>
          <w:tab w:leader="none" w:pos="54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Convertible Notes</w:t>
      </w:r>
    </w:p>
    <w:p>
      <w:pPr>
        <w:spacing w:after="0" w:line="117"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Certain holders of the preferred shares entered into convertible notes agreements to subscribe for the preferred shares before they completed the ODI procedures. The holders of the convertible notes have right to: 1) request the redemption of the notes; or 2) convert the notes to preferred shares upon obtaining the approval for the ODI. The convertible notes are measured at fair value through profit or loss in the consolidated statements of financial position.</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movement of convertible notes during the periods presented is set out as below:</w:t>
      </w:r>
    </w:p>
    <w:p>
      <w:pPr>
        <w:spacing w:after="0" w:line="246"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4"/>
          <w:szCs w:val="14"/>
          <w:i w:val="1"/>
          <w:iCs w:val="1"/>
          <w:color w:val="auto"/>
        </w:rPr>
        <w:t>For the year ended</w:t>
      </w:r>
    </w:p>
    <w:p>
      <w:pPr>
        <w:jc w:val="center"/>
        <w:ind w:left="6180"/>
        <w:spacing w:after="0"/>
        <w:rPr>
          <w:sz w:val="20"/>
          <w:szCs w:val="20"/>
          <w:color w:val="auto"/>
        </w:rPr>
      </w:pPr>
      <w:r>
        <w:rPr>
          <w:rFonts w:ascii="Times New Roman" w:cs="Times New Roman" w:eastAsia="Times New Roman" w:hAnsi="Times New Roman"/>
          <w:sz w:val="14"/>
          <w:szCs w:val="14"/>
          <w:i w:val="1"/>
          <w:iCs w:val="1"/>
          <w:color w:val="auto"/>
        </w:rPr>
        <w:t>December 31,</w:t>
      </w:r>
    </w:p>
    <w:tbl>
      <w:tblPr>
        <w:tblLayout w:type="fixed"/>
        <w:tblInd w:w="1440" w:type="dxa"/>
        <w:tblCellMar>
          <w:top w:w="0" w:type="dxa"/>
          <w:left w:w="0" w:type="dxa"/>
          <w:bottom w:w="0" w:type="dxa"/>
          <w:right w:w="0" w:type="dxa"/>
        </w:tblCellMar>
      </w:tblPr>
      <w:tr>
        <w:trPr>
          <w:trHeight w:val="119"/>
        </w:trPr>
        <w:tc>
          <w:tcPr>
            <w:tcW w:w="6340" w:type="dxa"/>
            <w:vAlign w:val="bottom"/>
          </w:tcPr>
          <w:p>
            <w:pPr>
              <w:spacing w:after="0"/>
              <w:rPr>
                <w:sz w:val="10"/>
                <w:szCs w:val="10"/>
                <w:color w:val="auto"/>
              </w:rPr>
            </w:pPr>
          </w:p>
        </w:tc>
        <w:tc>
          <w:tcPr>
            <w:tcW w:w="740" w:type="dxa"/>
            <w:vAlign w:val="bottom"/>
            <w:tcBorders>
              <w:top w:val="single" w:sz="8" w:color="auto"/>
            </w:tcBorders>
          </w:tcPr>
          <w:p>
            <w:pPr>
              <w:jc w:val="right"/>
              <w:ind w:right="133"/>
              <w:spacing w:after="0" w:line="119" w:lineRule="exact"/>
              <w:rPr>
                <w:sz w:val="20"/>
                <w:szCs w:val="20"/>
                <w:color w:val="auto"/>
              </w:rPr>
            </w:pPr>
            <w:r>
              <w:rPr>
                <w:rFonts w:ascii="Times New Roman" w:cs="Times New Roman" w:eastAsia="Times New Roman" w:hAnsi="Times New Roman"/>
                <w:sz w:val="13"/>
                <w:szCs w:val="13"/>
                <w:i w:val="1"/>
                <w:iCs w:val="1"/>
                <w:color w:val="auto"/>
              </w:rPr>
              <w:t>2020</w:t>
            </w:r>
          </w:p>
        </w:tc>
        <w:tc>
          <w:tcPr>
            <w:tcW w:w="3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173"/>
              <w:spacing w:after="0" w:line="119" w:lineRule="exact"/>
              <w:rPr>
                <w:sz w:val="20"/>
                <w:szCs w:val="20"/>
                <w:color w:val="auto"/>
              </w:rPr>
            </w:pPr>
            <w:r>
              <w:rPr>
                <w:rFonts w:ascii="Times New Roman" w:cs="Times New Roman" w:eastAsia="Times New Roman" w:hAnsi="Times New Roman"/>
                <w:sz w:val="13"/>
                <w:szCs w:val="13"/>
                <w:i w:val="1"/>
                <w:iCs w:val="1"/>
                <w:color w:val="auto"/>
              </w:rPr>
              <w:t>2021</w:t>
            </w:r>
          </w:p>
        </w:tc>
        <w:tc>
          <w:tcPr>
            <w:tcW w:w="120" w:type="dxa"/>
            <w:vAlign w:val="bottom"/>
          </w:tcPr>
          <w:p>
            <w:pPr>
              <w:spacing w:after="0"/>
              <w:rPr>
                <w:sz w:val="10"/>
                <w:szCs w:val="10"/>
                <w:color w:val="auto"/>
              </w:rPr>
            </w:pPr>
          </w:p>
        </w:tc>
      </w:tr>
      <w:tr>
        <w:trPr>
          <w:trHeight w:val="171"/>
        </w:trPr>
        <w:tc>
          <w:tcPr>
            <w:tcW w:w="634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RMB’000</w:t>
            </w: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RMB’000</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January 1</w:t>
            </w: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80,443</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103,669</w:t>
            </w:r>
          </w:p>
        </w:tc>
      </w:tr>
      <w:tr>
        <w:trPr>
          <w:trHeight w:val="324"/>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convertible notes</w:t>
            </w: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140,261</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to convertible redeemable preferred shares</w:t>
            </w: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 Convertible redeemable preferred shares (Note 21(b))</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(34,666)</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(101,640)</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Other reserve (Note 27(b)(iv))</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(534)</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(2,616)</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Conversion to non-redeemable preferred shares</w:t>
            </w: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Series Seed-1 Convertible Preferred Shares</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 Series Seed-2 Convertible Preferred Shares</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Share premium</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(41,195)</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 Other reserve (Note 27(b)(iv))</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(48,169)</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changes</w:t>
            </w: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12,742</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4,236</w:t>
            </w:r>
          </w:p>
        </w:tc>
      </w:tr>
      <w:tr>
        <w:trPr>
          <w:trHeight w:val="223"/>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effect</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(5,211)</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(3,649)</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December 31</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103,669</w:t>
            </w:r>
          </w:p>
        </w:tc>
        <w:tc>
          <w:tcPr>
            <w:tcW w:w="360" w:type="dxa"/>
            <w:vAlign w:val="bottom"/>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r>
      <w:tr>
        <w:trPr>
          <w:trHeight w:val="20"/>
        </w:trPr>
        <w:tc>
          <w:tcPr>
            <w:tcW w:w="63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60" w:lineRule="exact"/>
        <w:rPr>
          <w:sz w:val="20"/>
          <w:szCs w:val="20"/>
          <w:color w:val="auto"/>
        </w:rPr>
      </w:pPr>
    </w:p>
    <w:p>
      <w:pPr>
        <w:ind w:left="540" w:hanging="424"/>
        <w:spacing w:after="0"/>
        <w:tabs>
          <w:tab w:leader="none" w:pos="54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 liabilities</w:t>
      </w:r>
    </w:p>
    <w:p>
      <w:pPr>
        <w:spacing w:after="0" w:line="117"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The Group granted warrants to certain investors under which the investors have the rights to subscribe for the Company’s preferred shares at a predetermined price during a specific period. Such warrants are classified as financial liabilities measured at FVTPL.</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movement of warrant liabilities during the periods presented is set out as below:</w:t>
      </w:r>
    </w:p>
    <w:p>
      <w:pPr>
        <w:spacing w:after="0" w:line="246"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4"/>
          <w:szCs w:val="14"/>
          <w:i w:val="1"/>
          <w:iCs w:val="1"/>
          <w:color w:val="auto"/>
        </w:rPr>
        <w:t>For the year ended</w:t>
      </w:r>
    </w:p>
    <w:p>
      <w:pPr>
        <w:jc w:val="center"/>
        <w:ind w:left="6180"/>
        <w:spacing w:after="0"/>
        <w:rPr>
          <w:sz w:val="20"/>
          <w:szCs w:val="20"/>
          <w:color w:val="auto"/>
        </w:rPr>
      </w:pPr>
      <w:r>
        <w:rPr>
          <w:rFonts w:ascii="Times New Roman" w:cs="Times New Roman" w:eastAsia="Times New Roman" w:hAnsi="Times New Roman"/>
          <w:sz w:val="14"/>
          <w:szCs w:val="14"/>
          <w:i w:val="1"/>
          <w:iCs w:val="1"/>
          <w:color w:val="auto"/>
        </w:rPr>
        <w:t>December 31,</w:t>
      </w:r>
    </w:p>
    <w:tbl>
      <w:tblPr>
        <w:tblLayout w:type="fixed"/>
        <w:tblInd w:w="1440" w:type="dxa"/>
        <w:tblCellMar>
          <w:top w:w="0" w:type="dxa"/>
          <w:left w:w="0" w:type="dxa"/>
          <w:bottom w:w="0" w:type="dxa"/>
          <w:right w:w="0" w:type="dxa"/>
        </w:tblCellMar>
      </w:tblPr>
      <w:tr>
        <w:trPr>
          <w:trHeight w:val="119"/>
        </w:trPr>
        <w:tc>
          <w:tcPr>
            <w:tcW w:w="6340" w:type="dxa"/>
            <w:vAlign w:val="bottom"/>
          </w:tcPr>
          <w:p>
            <w:pPr>
              <w:spacing w:after="0"/>
              <w:rPr>
                <w:sz w:val="10"/>
                <w:szCs w:val="10"/>
                <w:color w:val="auto"/>
              </w:rPr>
            </w:pPr>
          </w:p>
        </w:tc>
        <w:tc>
          <w:tcPr>
            <w:tcW w:w="740" w:type="dxa"/>
            <w:vAlign w:val="bottom"/>
            <w:tcBorders>
              <w:top w:val="single" w:sz="8" w:color="auto"/>
            </w:tcBorders>
          </w:tcPr>
          <w:p>
            <w:pPr>
              <w:jc w:val="right"/>
              <w:ind w:right="134"/>
              <w:spacing w:after="0" w:line="119" w:lineRule="exact"/>
              <w:rPr>
                <w:sz w:val="20"/>
                <w:szCs w:val="20"/>
                <w:color w:val="auto"/>
              </w:rPr>
            </w:pPr>
            <w:r>
              <w:rPr>
                <w:rFonts w:ascii="Times New Roman" w:cs="Times New Roman" w:eastAsia="Times New Roman" w:hAnsi="Times New Roman"/>
                <w:sz w:val="13"/>
                <w:szCs w:val="13"/>
                <w:i w:val="1"/>
                <w:iCs w:val="1"/>
                <w:color w:val="auto"/>
              </w:rPr>
              <w:t>2020</w:t>
            </w:r>
          </w:p>
        </w:tc>
        <w:tc>
          <w:tcPr>
            <w:tcW w:w="3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174"/>
              <w:spacing w:after="0" w:line="119" w:lineRule="exact"/>
              <w:rPr>
                <w:sz w:val="20"/>
                <w:szCs w:val="20"/>
                <w:color w:val="auto"/>
              </w:rPr>
            </w:pPr>
            <w:r>
              <w:rPr>
                <w:rFonts w:ascii="Times New Roman" w:cs="Times New Roman" w:eastAsia="Times New Roman" w:hAnsi="Times New Roman"/>
                <w:sz w:val="13"/>
                <w:szCs w:val="13"/>
                <w:i w:val="1"/>
                <w:iCs w:val="1"/>
                <w:color w:val="auto"/>
              </w:rPr>
              <w:t>2021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34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RMB’000</w:t>
            </w: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RMB’000</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January 1</w:t>
            </w: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23,518</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221,651</w:t>
            </w:r>
          </w:p>
        </w:tc>
        <w:tc>
          <w:tcPr>
            <w:tcW w:w="0" w:type="dxa"/>
            <w:vAlign w:val="bottom"/>
          </w:tcPr>
          <w:p>
            <w:pPr>
              <w:spacing w:after="0"/>
              <w:rPr>
                <w:sz w:val="1"/>
                <w:szCs w:val="1"/>
                <w:color w:val="auto"/>
              </w:rPr>
            </w:pPr>
          </w:p>
        </w:tc>
      </w:tr>
      <w:tr>
        <w:trPr>
          <w:trHeight w:val="324"/>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warrant liabilities (Note(i))</w:t>
            </w: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107,095</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Inducement charges (Note(i))</w:t>
            </w: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211,016</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Fair value changes</w:t>
            </w: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134</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255,636</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 by the investors to subscribe for convertible redeemable preferred shares</w:t>
            </w: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 Convertible redeemable preferred shares (Note 21(b))</w:t>
            </w: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(102,023)</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Other reserve (Note 27(b)(iv))</w:t>
            </w: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(404,624)</w:t>
            </w:r>
          </w:p>
        </w:tc>
        <w:tc>
          <w:tcPr>
            <w:tcW w:w="0" w:type="dxa"/>
            <w:vAlign w:val="bottom"/>
          </w:tcPr>
          <w:p>
            <w:pPr>
              <w:spacing w:after="0"/>
              <w:rPr>
                <w:sz w:val="1"/>
                <w:szCs w:val="1"/>
                <w:color w:val="auto"/>
              </w:rPr>
            </w:pPr>
          </w:p>
        </w:tc>
      </w:tr>
      <w:tr>
        <w:trPr>
          <w:trHeight w:val="223"/>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effect</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(13,017)</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(3,378)</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December 31</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221,651</w:t>
            </w:r>
          </w:p>
        </w:tc>
        <w:tc>
          <w:tcPr>
            <w:tcW w:w="360" w:type="dxa"/>
            <w:vAlign w:val="bottom"/>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ind w:left="4020"/>
              <w:spacing w:after="0"/>
              <w:rPr>
                <w:sz w:val="20"/>
                <w:szCs w:val="20"/>
                <w:color w:val="auto"/>
              </w:rPr>
            </w:pPr>
            <w:r>
              <w:rPr>
                <w:rFonts w:ascii="Times New Roman" w:cs="Times New Roman" w:eastAsia="Times New Roman" w:hAnsi="Times New Roman"/>
                <w:sz w:val="18"/>
                <w:szCs w:val="18"/>
                <w:color w:val="auto"/>
              </w:rPr>
              <w:t>F-52</w:t>
            </w: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34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320" w:top="455" w:right="719" w:bottom="1440" w:gutter="0" w:footer="0" w:header="0"/>
        </w:sectPr>
      </w:pPr>
    </w:p>
    <w:bookmarkStart w:id="305" w:name="page306"/>
    <w:bookmarkEnd w:id="3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60" w:hanging="424"/>
        <w:spacing w:after="0" w:line="261" w:lineRule="auto"/>
        <w:tabs>
          <w:tab w:leader="none" w:pos="54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2020, certain warrants were granted to certain preferred shares’ investor without additional consideration, when the Company issued convertible redeemable preferred shares to this investor. Under the warrants, this investor has the right to subscribe for more preferred shares at a predetermined price with certain discounts during a specific period. The initial fair value of these warrants is treated as an inducement charge for the financing activities.</w:t>
      </w:r>
    </w:p>
    <w:p>
      <w:pPr>
        <w:spacing w:after="0" w:line="18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Group has engaged an independent valuation firm to evaluate the fair value of the convertible notes and warrants utilizing the binomial option-pricing model, which involves significant assumptions including the risk-free interest rate, the expected volatility, expected dividend yield and expected term. The warrant liabilities are remeasured at the end of each period presented utilizing the binomial option-pricing model with the following assumptions:</w:t>
      </w:r>
    </w:p>
    <w:p>
      <w:pPr>
        <w:spacing w:after="0" w:line="200"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380" w:type="dxa"/>
            <w:vAlign w:val="bottom"/>
          </w:tcPr>
          <w:p>
            <w:pPr>
              <w:spacing w:after="0"/>
              <w:rPr>
                <w:sz w:val="15"/>
                <w:szCs w:val="15"/>
                <w:color w:val="auto"/>
              </w:rPr>
            </w:pPr>
          </w:p>
        </w:tc>
        <w:tc>
          <w:tcPr>
            <w:tcW w:w="2980" w:type="dxa"/>
            <w:vAlign w:val="bottom"/>
            <w:gridSpan w:val="3"/>
          </w:tcPr>
          <w:p>
            <w:pPr>
              <w:jc w:val="right"/>
              <w:ind w:right="1020"/>
              <w:spacing w:after="0"/>
              <w:rPr>
                <w:sz w:val="20"/>
                <w:szCs w:val="20"/>
                <w:color w:val="auto"/>
              </w:rPr>
            </w:pPr>
            <w:r>
              <w:rPr>
                <w:rFonts w:ascii="Times New Roman" w:cs="Times New Roman" w:eastAsia="Times New Roman" w:hAnsi="Times New Roman"/>
                <w:sz w:val="14"/>
                <w:szCs w:val="14"/>
                <w:i w:val="1"/>
                <w:iCs w:val="1"/>
                <w:color w:val="auto"/>
              </w:rPr>
              <w:t>As of December 31,</w:t>
            </w:r>
          </w:p>
        </w:tc>
      </w:tr>
      <w:tr>
        <w:trPr>
          <w:trHeight w:val="142"/>
        </w:trPr>
        <w:tc>
          <w:tcPr>
            <w:tcW w:w="5380" w:type="dxa"/>
            <w:vAlign w:val="bottom"/>
          </w:tcPr>
          <w:p>
            <w:pPr>
              <w:spacing w:after="0"/>
              <w:rPr>
                <w:sz w:val="12"/>
                <w:szCs w:val="12"/>
                <w:color w:val="auto"/>
              </w:rPr>
            </w:pPr>
          </w:p>
        </w:tc>
        <w:tc>
          <w:tcPr>
            <w:tcW w:w="1500" w:type="dxa"/>
            <w:vAlign w:val="bottom"/>
            <w:tcBorders>
              <w:top w:val="single" w:sz="8" w:color="auto"/>
            </w:tcBorders>
          </w:tcPr>
          <w:p>
            <w:pPr>
              <w:jc w:val="right"/>
              <w:ind w:right="736"/>
              <w:spacing w:after="0" w:line="142" w:lineRule="exact"/>
              <w:rPr>
                <w:sz w:val="20"/>
                <w:szCs w:val="20"/>
                <w:color w:val="auto"/>
              </w:rPr>
            </w:pPr>
            <w:r>
              <w:rPr>
                <w:rFonts w:ascii="Times New Roman" w:cs="Times New Roman" w:eastAsia="Times New Roman" w:hAnsi="Times New Roman"/>
                <w:sz w:val="14"/>
                <w:szCs w:val="14"/>
                <w:i w:val="1"/>
                <w:iCs w:val="1"/>
                <w:color w:val="auto"/>
              </w:rPr>
              <w:t>2020</w:t>
            </w:r>
          </w:p>
        </w:tc>
        <w:tc>
          <w:tcPr>
            <w:tcW w:w="1280" w:type="dxa"/>
            <w:vAlign w:val="bottom"/>
            <w:tcBorders>
              <w:top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i w:val="1"/>
                <w:iCs w:val="1"/>
                <w:color w:val="auto"/>
              </w:rPr>
              <w:t>2021</w:t>
            </w:r>
          </w:p>
        </w:tc>
        <w:tc>
          <w:tcPr>
            <w:tcW w:w="200" w:type="dxa"/>
            <w:vAlign w:val="bottom"/>
          </w:tcPr>
          <w:p>
            <w:pPr>
              <w:spacing w:after="0"/>
              <w:rPr>
                <w:sz w:val="12"/>
                <w:szCs w:val="12"/>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50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50.2%</w:t>
            </w:r>
          </w:p>
        </w:tc>
        <w:tc>
          <w:tcPr>
            <w:tcW w:w="1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57.6%</w:t>
            </w: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(per annum)</w:t>
            </w:r>
          </w:p>
        </w:tc>
        <w:tc>
          <w:tcPr>
            <w:tcW w:w="150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0.5%</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50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0%</w:t>
            </w:r>
          </w:p>
        </w:tc>
        <w:tc>
          <w:tcPr>
            <w:tcW w:w="1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r>
      <w:tr>
        <w:trPr>
          <w:trHeight w:val="234"/>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1500" w:type="dxa"/>
            <w:vAlign w:val="bottom"/>
          </w:tcPr>
          <w:p>
            <w:pPr>
              <w:jc w:val="right"/>
              <w:ind w:right="336"/>
              <w:spacing w:after="0"/>
              <w:rPr>
                <w:sz w:val="20"/>
                <w:szCs w:val="20"/>
                <w:color w:val="auto"/>
              </w:rPr>
            </w:pPr>
            <w:r>
              <w:rPr>
                <w:rFonts w:ascii="Times New Roman" w:cs="Times New Roman" w:eastAsia="Times New Roman" w:hAnsi="Times New Roman"/>
                <w:sz w:val="18"/>
                <w:szCs w:val="18"/>
                <w:color w:val="auto"/>
              </w:rPr>
              <w:t>3.0 - 5.0 years</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2.0 - 4.0 years</w:t>
            </w:r>
          </w:p>
        </w:tc>
      </w:tr>
    </w:tbl>
    <w:p>
      <w:pPr>
        <w:spacing w:after="0" w:line="179" w:lineRule="exact"/>
        <w:rPr>
          <w:sz w:val="20"/>
          <w:szCs w:val="20"/>
          <w:color w:val="auto"/>
        </w:rPr>
      </w:pPr>
    </w:p>
    <w:p>
      <w:pPr>
        <w:ind w:left="120" w:right="300"/>
        <w:spacing w:after="0" w:line="261" w:lineRule="auto"/>
        <w:rPr>
          <w:sz w:val="20"/>
          <w:szCs w:val="20"/>
          <w:color w:val="auto"/>
        </w:rPr>
      </w:pPr>
      <w:r>
        <w:rPr>
          <w:rFonts w:ascii="Times New Roman" w:cs="Times New Roman" w:eastAsia="Times New Roman" w:hAnsi="Times New Roman"/>
          <w:sz w:val="18"/>
          <w:szCs w:val="18"/>
          <w:color w:val="auto"/>
        </w:rPr>
        <w:t>The risk-free interest rate was based on the U.S. Treasury rate for the expected remaining life of the convertible notes and warrants. The expected volatility was estimated based on the historical volatility of comparable peer public companies with a time horizon close to the expected term of the Company’s convertible notes and warrants. Expected dividend yield is zero as the Company does not anticipate any dividend payments in the foreseeable future. Expected term is the remaining life of the convertible notes and warrants.</w:t>
      </w:r>
    </w:p>
    <w:p>
      <w:pPr>
        <w:spacing w:after="0" w:line="324"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27</w:t>
        <w:tab/>
        <w:t>Capital and reserves</w:t>
      </w:r>
    </w:p>
    <w:p>
      <w:pPr>
        <w:spacing w:after="0" w:line="131"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(a)</w:t>
        <w:tab/>
        <w:t>Share capital and share premium</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Authorized:</w:t>
      </w:r>
    </w:p>
    <w:p>
      <w:pPr>
        <w:spacing w:after="0" w:line="237"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1620" w:type="dxa"/>
            <w:vAlign w:val="bottom"/>
            <w:gridSpan w:val="2"/>
            <w:vMerge w:val="restart"/>
          </w:tcPr>
          <w:p>
            <w:pPr>
              <w:jc w:val="right"/>
              <w:ind w:right="740"/>
              <w:spacing w:after="0"/>
              <w:rPr>
                <w:sz w:val="20"/>
                <w:szCs w:val="20"/>
                <w:color w:val="auto"/>
              </w:rPr>
            </w:pPr>
            <w:r>
              <w:rPr>
                <w:rFonts w:ascii="Times New Roman" w:cs="Times New Roman" w:eastAsia="Times New Roman" w:hAnsi="Times New Roman"/>
                <w:sz w:val="14"/>
                <w:szCs w:val="14"/>
                <w:i w:val="1"/>
                <w:iCs w:val="1"/>
                <w:color w:val="auto"/>
              </w:rPr>
              <w:t>Number of</w:t>
            </w:r>
          </w:p>
        </w:tc>
        <w:tc>
          <w:tcPr>
            <w:tcW w:w="144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i w:val="1"/>
                <w:iCs w:val="1"/>
                <w:color w:val="auto"/>
              </w:rPr>
              <w:t>Number of</w:t>
            </w: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i w:val="1"/>
                <w:iCs w:val="1"/>
                <w:color w:val="auto"/>
              </w:rPr>
              <w:t>Number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44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i w:val="1"/>
                <w:iCs w:val="1"/>
                <w:color w:val="auto"/>
              </w:rPr>
              <w:t>non-redeemable</w:t>
            </w:r>
          </w:p>
        </w:tc>
        <w:tc>
          <w:tcPr>
            <w:tcW w:w="15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i w:val="1"/>
                <w:iCs w:val="1"/>
                <w:color w:val="auto"/>
              </w:rPr>
              <w:t>convertible redeemable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62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i w:val="1"/>
                <w:iCs w:val="1"/>
                <w:color w:val="auto"/>
              </w:rPr>
              <w:t>ordinary shares</w:t>
            </w:r>
          </w:p>
        </w:tc>
        <w:tc>
          <w:tcPr>
            <w:tcW w:w="14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i w:val="1"/>
                <w:iCs w:val="1"/>
                <w:color w:val="auto"/>
                <w:w w:val="98"/>
              </w:rPr>
              <w:t>preferred shares</w:t>
            </w: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i w:val="1"/>
                <w:iCs w:val="1"/>
                <w:color w:val="auto"/>
              </w:rPr>
              <w:t>preferred shares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January 1, 2020 (Note (i))</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645,942,860</w:t>
            </w:r>
          </w:p>
        </w:tc>
        <w:tc>
          <w:tcPr>
            <w:tcW w:w="4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230,662,940</w:t>
            </w:r>
          </w:p>
        </w:tc>
        <w:tc>
          <w:tcPr>
            <w:tcW w:w="46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4,142,350,730</w:t>
            </w:r>
          </w:p>
        </w:tc>
        <w:tc>
          <w:tcPr>
            <w:tcW w:w="48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Cancellation</w:t>
            </w:r>
          </w:p>
        </w:tc>
        <w:tc>
          <w:tcPr>
            <w:tcW w:w="16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(18,956,530)</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Re-designation upon issuance of convertible redeemable</w:t>
            </w: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preferred shares</w:t>
            </w:r>
          </w:p>
        </w:tc>
        <w:tc>
          <w:tcPr>
            <w:tcW w:w="16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(178,563,960)</w:t>
            </w:r>
          </w:p>
        </w:tc>
        <w:tc>
          <w:tcPr>
            <w:tcW w:w="14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178,563,960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December 31, 2020 (Note (ii))</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4,609,729,630</w:t>
            </w:r>
          </w:p>
        </w:tc>
        <w:tc>
          <w:tcPr>
            <w:tcW w:w="48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211,706,410</w:t>
            </w:r>
          </w:p>
        </w:tc>
        <w:tc>
          <w:tcPr>
            <w:tcW w:w="460" w:type="dxa"/>
            <w:vAlign w:val="bottom"/>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178,563,960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Re-designation upon issuance of preferred shares</w:t>
            </w:r>
          </w:p>
        </w:tc>
        <w:tc>
          <w:tcPr>
            <w:tcW w:w="16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(191,554,519)</w:t>
            </w:r>
          </w:p>
        </w:tc>
        <w:tc>
          <w:tcPr>
            <w:tcW w:w="14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(1,084,600)</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192,639,119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December 31, 2021 (Note (iii))</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4,418,175,111</w:t>
            </w:r>
          </w:p>
        </w:tc>
        <w:tc>
          <w:tcPr>
            <w:tcW w:w="480" w:type="dxa"/>
            <w:vAlign w:val="bottom"/>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210,621,810</w:t>
            </w:r>
          </w:p>
        </w:tc>
        <w:tc>
          <w:tcPr>
            <w:tcW w:w="460" w:type="dxa"/>
            <w:vAlign w:val="bottom"/>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371,203,079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hanging="424"/>
        <w:spacing w:after="0" w:line="258" w:lineRule="auto"/>
        <w:tabs>
          <w:tab w:leader="none" w:pos="54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2019, the authorized capital of the Company was USD8,766 or i) 645,942,860 (being retroactively adjusted to reflect the effect of the share split) ordinary shares, including 30 (being retroactively adjusted to reflect the effect of the share split) Golden Shares; ii) 65,403,460 (being retroactively adjusted to reflect the effect of the share split) Series Seed-1 Preferred Shares; iii) 52,959,930 (being retroactively adjusted to reflect the effect of the share split) Series Seed-2 Preferred Shares; and iv) 112,299,550 (being retroactively adjusted to reflect the effect of the share split) Series A Preferred Shares.</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F-53</w:t>
      </w:r>
    </w:p>
    <w:p>
      <w:pPr>
        <w:sectPr>
          <w:pgSz w:w="11900" w:h="16838" w:orient="portrait"/>
          <w:cols w:equalWidth="0" w:num="1">
            <w:col w:w="11060"/>
          </w:cols>
          <w:pgMar w:left="320" w:top="455" w:right="519" w:bottom="1440" w:gutter="0" w:footer="0" w:header="0"/>
        </w:sectPr>
      </w:pPr>
    </w:p>
    <w:bookmarkStart w:id="306" w:name="page307"/>
    <w:bookmarkEnd w:id="3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100"/>
        <w:spacing w:after="0" w:line="266" w:lineRule="auto"/>
        <w:rPr>
          <w:sz w:val="20"/>
          <w:szCs w:val="20"/>
          <w:color w:val="auto"/>
        </w:rPr>
      </w:pPr>
      <w:r>
        <w:rPr>
          <w:rFonts w:ascii="Times New Roman" w:cs="Times New Roman" w:eastAsia="Times New Roman" w:hAnsi="Times New Roman"/>
          <w:sz w:val="18"/>
          <w:szCs w:val="18"/>
          <w:color w:val="auto"/>
        </w:rPr>
        <w:t>Each member of Golden Share shall be entitled to 7,200,000 votes in respect of each Golden Share held by such member (as adjusted for share splits, share dividends, combinations, recapitalizations and similar events with respect to the ordinary shares or the Golden Shares). Series Seed-1 Preferred Shares, Series Seed-2 Preferred Shares and Series A Preferred Shares are collectively referred to as non-redeemable preferred shares.</w:t>
      </w:r>
    </w:p>
    <w:p>
      <w:pPr>
        <w:spacing w:after="0" w:line="81" w:lineRule="exact"/>
        <w:rPr>
          <w:sz w:val="20"/>
          <w:szCs w:val="20"/>
          <w:color w:val="auto"/>
        </w:rPr>
      </w:pPr>
    </w:p>
    <w:p>
      <w:pPr>
        <w:ind w:left="540" w:right="100" w:hanging="424"/>
        <w:spacing w:after="0" w:line="255" w:lineRule="auto"/>
        <w:tabs>
          <w:tab w:leader="none" w:pos="54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2020, the authorized capital of the Company was USD50,000 or i) 4,609,729,630 (being retroactively adjusted to reflect the effect of the share split) ordinary shares, including 50 (being retroactively adjusted to reflect the effect of the share split) Golden Shares; ii) 211,706,410 (being retroactively adjusted to reflect the effect of the share split) non-redeemable preferred shares, consisting of 65,403,460 (being retroactively adjusted to reflect the effect of the share split) Series Seed-1 Preferred Shares, 52,959,930 (being retroactively adjusted to reflect the effect of the share split) Series Seed-2 Preferred Shares and 93,343,020 (being retroactively adjusted to reflect the effect of the share split) Series A Preferred Shares; and iii) 178,563,960 (being retroactively adjusted to reflect the effect of the share split) convertible redeemable preferred shares.</w:t>
      </w:r>
    </w:p>
    <w:p>
      <w:pPr>
        <w:spacing w:after="0" w:line="94" w:lineRule="exact"/>
        <w:rPr>
          <w:rFonts w:ascii="Times New Roman" w:cs="Times New Roman" w:eastAsia="Times New Roman" w:hAnsi="Times New Roman"/>
          <w:sz w:val="18"/>
          <w:szCs w:val="18"/>
          <w:color w:val="auto"/>
        </w:rPr>
      </w:pPr>
    </w:p>
    <w:p>
      <w:pPr>
        <w:ind w:left="540" w:right="400" w:hanging="424"/>
        <w:spacing w:after="0" w:line="282" w:lineRule="auto"/>
        <w:tabs>
          <w:tab w:leader="none" w:pos="54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April 14, 2021, the Board of Directors of the Company approved a 1:10 share split. Upon the share split, the total number of authorized shares increased from 500,000,000 to 5,000,000,000.</w:t>
      </w:r>
    </w:p>
    <w:p>
      <w:pPr>
        <w:spacing w:after="0" w:line="53" w:lineRule="exact"/>
        <w:rPr>
          <w:rFonts w:ascii="Times New Roman" w:cs="Times New Roman" w:eastAsia="Times New Roman" w:hAnsi="Times New Roman"/>
          <w:sz w:val="18"/>
          <w:szCs w:val="18"/>
          <w:color w:val="auto"/>
        </w:rPr>
      </w:pPr>
    </w:p>
    <w:p>
      <w:pPr>
        <w:ind w:left="560" w:right="4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2021, the authorized capital of the Company was USD50,000 or i) 4,418,175,111 ordinary shares, including 50 Golden Shares; ii) 210,621,810 non-redeemable preferred shares, consisting of 64,318,860 Series Seed-1 Preferred Shares, 52,959,930 Series Seed-2 Preferred Shares and 93,343,020 Series A Preferred Shares; and iii) 371,203,079 convertible redeemable preferred shares.</w:t>
      </w:r>
    </w:p>
    <w:p>
      <w:pPr>
        <w:spacing w:after="0" w:line="279"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Issued:</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1560" w:type="dxa"/>
            <w:vAlign w:val="bottom"/>
            <w:gridSpan w:val="2"/>
            <w:vMerge w:val="restart"/>
          </w:tcPr>
          <w:p>
            <w:pPr>
              <w:jc w:val="right"/>
              <w:ind w:right="780"/>
              <w:spacing w:after="0"/>
              <w:rPr>
                <w:sz w:val="20"/>
                <w:szCs w:val="20"/>
                <w:color w:val="auto"/>
              </w:rPr>
            </w:pPr>
            <w:r>
              <w:rPr>
                <w:rFonts w:ascii="Times New Roman" w:cs="Times New Roman" w:eastAsia="Times New Roman" w:hAnsi="Times New Roman"/>
                <w:sz w:val="14"/>
                <w:szCs w:val="14"/>
                <w:i w:val="1"/>
                <w:iCs w:val="1"/>
                <w:color w:val="auto"/>
              </w:rPr>
              <w:t>Number of</w:t>
            </w:r>
          </w:p>
        </w:tc>
        <w:tc>
          <w:tcPr>
            <w:tcW w:w="142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i w:val="1"/>
                <w:iCs w:val="1"/>
                <w:color w:val="auto"/>
              </w:rPr>
              <w:t>Share Capital</w:t>
            </w:r>
          </w:p>
        </w:tc>
        <w:tc>
          <w:tcPr>
            <w:tcW w:w="152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i w:val="1"/>
                <w:iCs w:val="1"/>
                <w:color w:val="auto"/>
              </w:rPr>
              <w:t>Number of</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i w:val="1"/>
                <w:iCs w:val="1"/>
                <w:color w:val="auto"/>
              </w:rPr>
              <w:t>Share capital of</w:t>
            </w: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42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i w:val="1"/>
                <w:iCs w:val="1"/>
                <w:color w:val="auto"/>
              </w:rPr>
              <w:t>of ordinary</w:t>
            </w:r>
          </w:p>
        </w:tc>
        <w:tc>
          <w:tcPr>
            <w:tcW w:w="152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i w:val="1"/>
                <w:iCs w:val="1"/>
                <w:color w:val="auto"/>
              </w:rPr>
              <w:t>non-redeemable</w:t>
            </w:r>
          </w:p>
        </w:tc>
        <w:tc>
          <w:tcPr>
            <w:tcW w:w="10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i w:val="1"/>
                <w:iCs w:val="1"/>
                <w:color w:val="auto"/>
              </w:rPr>
              <w:t>non-redeemable</w:t>
            </w:r>
          </w:p>
        </w:tc>
        <w:tc>
          <w:tcPr>
            <w:tcW w:w="0" w:type="dxa"/>
            <w:vAlign w:val="bottom"/>
          </w:tcPr>
          <w:p>
            <w:pPr>
              <w:spacing w:after="0"/>
              <w:rPr>
                <w:sz w:val="1"/>
                <w:szCs w:val="1"/>
                <w:color w:val="auto"/>
              </w:rPr>
            </w:pPr>
          </w:p>
        </w:tc>
      </w:tr>
      <w:tr>
        <w:trPr>
          <w:trHeight w:val="173"/>
        </w:trPr>
        <w:tc>
          <w:tcPr>
            <w:tcW w:w="5520" w:type="dxa"/>
            <w:vAlign w:val="bottom"/>
          </w:tcPr>
          <w:p>
            <w:pPr>
              <w:spacing w:after="0"/>
              <w:rPr>
                <w:sz w:val="15"/>
                <w:szCs w:val="15"/>
                <w:color w:val="auto"/>
              </w:rPr>
            </w:pPr>
          </w:p>
        </w:tc>
        <w:tc>
          <w:tcPr>
            <w:tcW w:w="15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i w:val="1"/>
                <w:iCs w:val="1"/>
                <w:color w:val="auto"/>
              </w:rPr>
              <w:t>ordinary shares</w:t>
            </w:r>
          </w:p>
        </w:tc>
        <w:tc>
          <w:tcPr>
            <w:tcW w:w="142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i w:val="1"/>
                <w:iCs w:val="1"/>
                <w:color w:val="auto"/>
              </w:rPr>
              <w:t>shares</w:t>
            </w:r>
          </w:p>
        </w:tc>
        <w:tc>
          <w:tcPr>
            <w:tcW w:w="152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i w:val="1"/>
                <w:iCs w:val="1"/>
                <w:color w:val="auto"/>
                <w:w w:val="98"/>
              </w:rPr>
              <w:t>preferred shares</w:t>
            </w:r>
          </w:p>
        </w:tc>
        <w:tc>
          <w:tcPr>
            <w:tcW w:w="10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i w:val="1"/>
                <w:iCs w:val="1"/>
                <w:color w:val="auto"/>
              </w:rPr>
              <w:t>preferred shares</w:t>
            </w:r>
          </w:p>
        </w:tc>
        <w:tc>
          <w:tcPr>
            <w:tcW w:w="0" w:type="dxa"/>
            <w:vAlign w:val="bottom"/>
          </w:tcPr>
          <w:p>
            <w:pPr>
              <w:spacing w:after="0"/>
              <w:rPr>
                <w:sz w:val="1"/>
                <w:szCs w:val="1"/>
                <w:color w:val="auto"/>
              </w:rPr>
            </w:pPr>
          </w:p>
        </w:tc>
      </w:tr>
      <w:tr>
        <w:trPr>
          <w:trHeight w:val="209"/>
        </w:trPr>
        <w:tc>
          <w:tcPr>
            <w:tcW w:w="55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RMB’000</w:t>
            </w:r>
          </w:p>
        </w:tc>
        <w:tc>
          <w:tcPr>
            <w:tcW w:w="6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RMB’000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January 1, 2020</w:t>
            </w:r>
          </w:p>
        </w:tc>
        <w:tc>
          <w:tcPr>
            <w:tcW w:w="15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83,095,570</w:t>
            </w:r>
          </w:p>
        </w:tc>
        <w:tc>
          <w:tcPr>
            <w:tcW w:w="14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6</w:t>
            </w:r>
          </w:p>
        </w:tc>
        <w:tc>
          <w:tcPr>
            <w:tcW w:w="15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188,841,400</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new shares (Note (v))</w:t>
            </w:r>
          </w:p>
        </w:tc>
        <w:tc>
          <w:tcPr>
            <w:tcW w:w="15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38,163,710</w:t>
            </w:r>
          </w:p>
        </w:tc>
        <w:tc>
          <w:tcPr>
            <w:tcW w:w="14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w:t>
            </w:r>
          </w:p>
        </w:tc>
        <w:tc>
          <w:tcPr>
            <w:tcW w:w="15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12,348,460</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and cancellation of ordinary shares (Note (v))</w:t>
            </w:r>
          </w:p>
        </w:tc>
        <w:tc>
          <w:tcPr>
            <w:tcW w:w="15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(18,194,370)</w:t>
            </w:r>
          </w:p>
        </w:tc>
        <w:tc>
          <w:tcPr>
            <w:tcW w:w="14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w:t>
            </w:r>
          </w:p>
        </w:tc>
        <w:tc>
          <w:tcPr>
            <w:tcW w:w="15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of December 31, 2020</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103,064,910</w:t>
            </w:r>
          </w:p>
        </w:tc>
        <w:tc>
          <w:tcPr>
            <w:tcW w:w="60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201,189,860</w:t>
            </w:r>
          </w:p>
        </w:tc>
        <w:tc>
          <w:tcPr>
            <w:tcW w:w="56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new shares (Note (vi))</w:t>
            </w:r>
          </w:p>
        </w:tc>
        <w:tc>
          <w:tcPr>
            <w:tcW w:w="15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6,624,740</w:t>
            </w:r>
          </w:p>
        </w:tc>
        <w:tc>
          <w:tcPr>
            <w:tcW w:w="14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4,481,950</w:t>
            </w:r>
          </w:p>
        </w:tc>
        <w:tc>
          <w:tcPr>
            <w:tcW w:w="1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Cancellation of existing ordinary shares (Note (vi))</w:t>
            </w:r>
          </w:p>
        </w:tc>
        <w:tc>
          <w:tcPr>
            <w:tcW w:w="15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(2,839,180)</w:t>
            </w:r>
          </w:p>
        </w:tc>
        <w:tc>
          <w:tcPr>
            <w:tcW w:w="14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2021</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106,850,470</w:t>
            </w:r>
          </w:p>
        </w:tc>
        <w:tc>
          <w:tcPr>
            <w:tcW w:w="60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0" w:type="dxa"/>
            <w:vAlign w:val="bottom"/>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205,671,810</w:t>
            </w:r>
          </w:p>
        </w:tc>
        <w:tc>
          <w:tcPr>
            <w:tcW w:w="560" w:type="dxa"/>
            <w:vAlign w:val="bottom"/>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right="140" w:hanging="424"/>
        <w:spacing w:after="0" w:line="258" w:lineRule="auto"/>
        <w:tabs>
          <w:tab w:leader="none" w:pos="54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2019, the Company issued 83,095,570 (being retroactively adjusted to reflect the effect of the share split) ordinary shares, including 30 (being retroactively adjusted to reflect the effect of the share split) Golden Shares and 188,841,400 (being retroactively adjusted to reflect the effect of the share split) non-redeemable preferred shares, consisting of 59,635,260 (being retroactively adjusted to reflect the effect of the share split) Series Seed-1 Preferred Shares, 46,379,670 (being retroactively adjusted to reflect the effect of the share split) Series Seed-2 Preferred Shares and 82,826,470 (being retroactively adjusted to reflect the effect of the share split) Series A Preferred Shares.</w:t>
      </w:r>
    </w:p>
    <w:p>
      <w:pPr>
        <w:spacing w:after="0" w:line="88" w:lineRule="exact"/>
        <w:rPr>
          <w:rFonts w:ascii="Times New Roman" w:cs="Times New Roman" w:eastAsia="Times New Roman" w:hAnsi="Times New Roman"/>
          <w:sz w:val="18"/>
          <w:szCs w:val="18"/>
          <w:color w:val="auto"/>
        </w:rPr>
      </w:pPr>
    </w:p>
    <w:p>
      <w:pPr>
        <w:jc w:val="both"/>
        <w:ind w:left="540" w:right="440" w:hanging="424"/>
        <w:spacing w:after="0" w:line="261" w:lineRule="auto"/>
        <w:tabs>
          <w:tab w:leader="none" w:pos="54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2020, the Company: 1) issued 38,163,710 (being retroactively adjusted to reflect the effect of the share split) ordinary shares, including 30 (being retroactively adjusted to reflect the effect of the share split) Golden Shares with nil consideration and 38,163,680 (being retroactively adjusted to reflect the effect of the share split) shares registered for the vested restricted share units; 2) issued 5,768,200 (being retroactively adjusted to reflect the effect of the share split) Series Seed-1 Preferred Shares and 6,580,260 (being</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F-54</w:t>
      </w:r>
    </w:p>
    <w:p>
      <w:pPr>
        <w:sectPr>
          <w:pgSz w:w="11900" w:h="16838" w:orient="portrait"/>
          <w:cols w:equalWidth="0" w:num="1">
            <w:col w:w="11140"/>
          </w:cols>
          <w:pgMar w:left="320" w:top="455" w:right="439" w:bottom="1440" w:gutter="0" w:footer="0" w:header="0"/>
        </w:sectPr>
      </w:pPr>
    </w:p>
    <w:bookmarkStart w:id="307" w:name="page308"/>
    <w:bookmarkEnd w:id="3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140"/>
        <w:spacing w:after="0" w:line="261" w:lineRule="auto"/>
        <w:rPr>
          <w:sz w:val="20"/>
          <w:szCs w:val="20"/>
          <w:color w:val="auto"/>
        </w:rPr>
      </w:pPr>
      <w:r>
        <w:rPr>
          <w:rFonts w:ascii="Times New Roman" w:cs="Times New Roman" w:eastAsia="Times New Roman" w:hAnsi="Times New Roman"/>
          <w:sz w:val="18"/>
          <w:szCs w:val="18"/>
          <w:color w:val="auto"/>
        </w:rPr>
        <w:t>retroactively adjusted to reflect the effect of the share split) Series Seed-2 Preferred Shares issued to the holders of convertible notes to exercise the conversion right; 3) repurchased and cancelled 18,194,370 (being retroactively adjusted to reflect the effect of the share split) ordinary shares with total consideration of RMB116.4 million, including 10 (being retroactively adjusted to reflect the effect of the share split) Golden Share for nil consideration.</w:t>
      </w:r>
    </w:p>
    <w:p>
      <w:pPr>
        <w:spacing w:after="0" w:line="85" w:lineRule="exact"/>
        <w:rPr>
          <w:sz w:val="20"/>
          <w:szCs w:val="20"/>
          <w:color w:val="auto"/>
        </w:rPr>
      </w:pPr>
    </w:p>
    <w:p>
      <w:pPr>
        <w:ind w:left="540" w:right="40" w:hanging="424"/>
        <w:spacing w:after="0" w:line="261" w:lineRule="auto"/>
        <w:tabs>
          <w:tab w:leader="none" w:pos="54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2021, the Company: 1) issued 6,624,740 ordinary shares with consideration of USD7.0 million (equivalent to RMB45.2 million) and 4,481,950 Series A Preferred Shares with consideration of USD4.5 million (equivalent to RMB28.8 million); and 2) repurchased 2,839,180 ordinary shares (being adjusted to reflect the effect of the share split) with consideration of USD3.0 million (equivalent to RMB19.4 million) and recorded the shares repurchased as treasury shares. The Company then cancelled these treasury shares.</w:t>
      </w:r>
    </w:p>
    <w:p>
      <w:pPr>
        <w:spacing w:after="0" w:line="324" w:lineRule="exact"/>
        <w:rPr>
          <w:sz w:val="20"/>
          <w:szCs w:val="20"/>
          <w:color w:val="auto"/>
        </w:rPr>
      </w:pPr>
    </w:p>
    <w:p>
      <w:pPr>
        <w:ind w:left="540" w:hanging="424"/>
        <w:spacing w:after="0"/>
        <w:tabs>
          <w:tab w:leader="none" w:pos="540" w:val="left"/>
        </w:tabs>
        <w:numPr>
          <w:ilvl w:val="0"/>
          <w:numId w:val="2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Nature and purpose of reserves</w:t>
      </w:r>
    </w:p>
    <w:p>
      <w:pPr>
        <w:spacing w:after="0" w:line="135" w:lineRule="exact"/>
        <w:rPr>
          <w:sz w:val="20"/>
          <w:szCs w:val="20"/>
          <w:color w:val="auto"/>
        </w:rPr>
      </w:pPr>
    </w:p>
    <w:p>
      <w:pPr>
        <w:ind w:left="540" w:hanging="424"/>
        <w:spacing w:after="0"/>
        <w:tabs>
          <w:tab w:leader="none" w:pos="54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compensation reserve</w:t>
      </w:r>
    </w:p>
    <w:p>
      <w:pPr>
        <w:spacing w:after="0" w:line="117" w:lineRule="exact"/>
        <w:rPr>
          <w:sz w:val="20"/>
          <w:szCs w:val="20"/>
          <w:color w:val="auto"/>
        </w:rPr>
      </w:pPr>
    </w:p>
    <w:p>
      <w:pPr>
        <w:ind w:left="120" w:right="400"/>
        <w:spacing w:after="0" w:line="266" w:lineRule="auto"/>
        <w:rPr>
          <w:sz w:val="20"/>
          <w:szCs w:val="20"/>
          <w:color w:val="auto"/>
        </w:rPr>
      </w:pPr>
      <w:r>
        <w:rPr>
          <w:rFonts w:ascii="Times New Roman" w:cs="Times New Roman" w:eastAsia="Times New Roman" w:hAnsi="Times New Roman"/>
          <w:sz w:val="18"/>
          <w:szCs w:val="18"/>
          <w:color w:val="auto"/>
        </w:rPr>
        <w:t>The share-based compensation reserve represents the portion of the grant date fair value of share options or restricted share units granted to the key management officers, employees and nonemployees that has been recognized in accordance with the accounting policy adopted for share-based compensation in Note 2(u)(iii).</w:t>
      </w:r>
    </w:p>
    <w:p>
      <w:pPr>
        <w:spacing w:after="0" w:line="324" w:lineRule="exact"/>
        <w:rPr>
          <w:sz w:val="20"/>
          <w:szCs w:val="20"/>
          <w:color w:val="auto"/>
        </w:rPr>
      </w:pPr>
    </w:p>
    <w:p>
      <w:pPr>
        <w:ind w:left="540" w:hanging="424"/>
        <w:spacing w:after="0"/>
        <w:tabs>
          <w:tab w:leader="none" w:pos="54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Translation reserve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exchange reserve comprises all foreign exchange differences arising from the translation of the financial statements of foreign operations.</w:t>
      </w:r>
    </w:p>
    <w:p>
      <w:pPr>
        <w:spacing w:after="0" w:line="374"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color w:val="auto"/>
        </w:rPr>
        <w:t>(iii)</w:t>
        <w:tab/>
        <w:t>Fair value reserve</w:t>
      </w:r>
    </w:p>
    <w:p>
      <w:pPr>
        <w:spacing w:after="0" w:line="117"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fair value reserve comprises the cumulative net changes in the fair value of equity investment designated at FVOCI under IFRS 9 that are held at the end of the periods presented (see Note 2(g)(ii)).</w:t>
      </w:r>
    </w:p>
    <w:p>
      <w:pPr>
        <w:spacing w:after="0" w:line="310"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color w:val="auto"/>
        </w:rPr>
        <w:t>(iv)</w:t>
        <w:tab/>
        <w:t>Other reserves</w:t>
      </w:r>
    </w:p>
    <w:p>
      <w:pPr>
        <w:spacing w:after="0" w:line="117"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Other reserves represent the differences arising from the conversion/exercise of convertible notes and warrant liabilities measured at FVTPL to preferred shares which are measured at present value of redemption amounts.</w:t>
      </w:r>
    </w:p>
    <w:p>
      <w:pPr>
        <w:spacing w:after="0" w:line="306" w:lineRule="exact"/>
        <w:rPr>
          <w:sz w:val="20"/>
          <w:szCs w:val="20"/>
          <w:color w:val="auto"/>
        </w:rPr>
      </w:pPr>
    </w:p>
    <w:p>
      <w:pPr>
        <w:ind w:left="540" w:hanging="424"/>
        <w:spacing w:after="0"/>
        <w:tabs>
          <w:tab w:leader="none" w:pos="540" w:val="left"/>
        </w:tabs>
        <w:numPr>
          <w:ilvl w:val="0"/>
          <w:numId w:val="21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Treasury shares</w:t>
      </w:r>
    </w:p>
    <w:p>
      <w:pPr>
        <w:spacing w:after="0" w:line="12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The Board of Directors of the Company authorized share repurchase of: 1) 3,000,000 ordinary shares with consideration of USD6.5 million (equivalent to RMB42.2 million) in April 2021; 2) 1,084,600 and 2,668,360 Series Seed-1 Preferred Shares with consideration of USD2.4 million (equivalent to RMB15.3 million) and USD7.7 million (equivalent to RMB49.6 million) in June and July 2021, respectively. These shares were recorded at their historical purchase prices and reserved as treasury shares.</w:t>
      </w:r>
    </w:p>
    <w:p>
      <w:pPr>
        <w:spacing w:after="0" w:line="180"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In December 2021, the Company sold 882,382 treasury shares of Series Seed-1 Preferred Shares with consideration of USD3.1 million (equivalent to RMB19.9 million).</w:t>
      </w:r>
    </w:p>
    <w:p>
      <w:pPr>
        <w:spacing w:after="0" w:line="306" w:lineRule="exact"/>
        <w:rPr>
          <w:sz w:val="20"/>
          <w:szCs w:val="20"/>
          <w:color w:val="auto"/>
        </w:rPr>
      </w:pPr>
    </w:p>
    <w:p>
      <w:pPr>
        <w:ind w:left="540" w:hanging="424"/>
        <w:spacing w:after="0"/>
        <w:tabs>
          <w:tab w:leader="none" w:pos="540" w:val="left"/>
        </w:tabs>
        <w:numPr>
          <w:ilvl w:val="0"/>
          <w:numId w:val="21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Capital risk management</w:t>
      </w:r>
    </w:p>
    <w:p>
      <w:pPr>
        <w:spacing w:after="0" w:line="121"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The Group defines “capital” as including all components of equity, convertible redeemable preferred shares, and other financial instruments subject to redemption and other preferential rights. The Group’s policy is to maintain a strong capital base to maintain investors, creditors and market confidence and to sustain future development of</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F-55</w:t>
      </w:r>
    </w:p>
    <w:p>
      <w:pPr>
        <w:sectPr>
          <w:pgSz w:w="11900" w:h="16838" w:orient="portrait"/>
          <w:cols w:equalWidth="0" w:num="1">
            <w:col w:w="11120"/>
          </w:cols>
          <w:pgMar w:left="320" w:top="455" w:right="459" w:bottom="1440" w:gutter="0" w:footer="0" w:header="0"/>
        </w:sectPr>
      </w:pPr>
    </w:p>
    <w:bookmarkStart w:id="308" w:name="page309"/>
    <w:bookmarkEnd w:id="3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the business. There were no changes in the Group’s approach to capital management during the periods presented. The Group is not subject to any externally imposed capital requirements.</w:t>
      </w:r>
    </w:p>
    <w:p>
      <w:pPr>
        <w:spacing w:after="0" w:line="306"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28</w:t>
        <w:tab/>
        <w:t>Share-based payment arrangements</w:t>
      </w:r>
    </w:p>
    <w:p>
      <w:pPr>
        <w:spacing w:after="0" w:line="121" w:lineRule="exact"/>
        <w:rPr>
          <w:sz w:val="20"/>
          <w:szCs w:val="20"/>
          <w:color w:val="auto"/>
        </w:rPr>
      </w:pPr>
    </w:p>
    <w:p>
      <w:pPr>
        <w:ind w:left="120" w:right="480"/>
        <w:spacing w:after="0" w:line="266" w:lineRule="auto"/>
        <w:rPr>
          <w:sz w:val="20"/>
          <w:szCs w:val="20"/>
          <w:color w:val="auto"/>
        </w:rPr>
      </w:pPr>
      <w:r>
        <w:rPr>
          <w:rFonts w:ascii="Times New Roman" w:cs="Times New Roman" w:eastAsia="Times New Roman" w:hAnsi="Times New Roman"/>
          <w:sz w:val="18"/>
          <w:szCs w:val="18"/>
          <w:color w:val="auto"/>
        </w:rPr>
        <w:t>In June 2018, the Board of Directors of the Company approved and adopted the 2018 Share Plan, under which the Company reserves 312,854,000 shares (being retrospectively adjusted to reflect the effect of the share split) to grant share options or restricted share units for officers, directors, employees and nonemployees.</w:t>
      </w:r>
    </w:p>
    <w:p>
      <w:pPr>
        <w:spacing w:after="0" w:line="320" w:lineRule="exact"/>
        <w:rPr>
          <w:sz w:val="20"/>
          <w:szCs w:val="20"/>
          <w:color w:val="auto"/>
        </w:rPr>
      </w:pPr>
    </w:p>
    <w:p>
      <w:pPr>
        <w:ind w:left="540" w:hanging="424"/>
        <w:spacing w:after="0"/>
        <w:tabs>
          <w:tab w:leader="none" w:pos="540" w:val="left"/>
        </w:tabs>
        <w:numPr>
          <w:ilvl w:val="0"/>
          <w:numId w:val="21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Share options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 options granted under the 2018 Share Plan are generally subject to a time-based requirement of up to four-year service schedule.</w:t>
      </w:r>
    </w:p>
    <w:p>
      <w:pPr>
        <w:spacing w:after="0" w:line="225"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Under the 2018 Share Plan, 13,012,430 and 38,159,520 share options (being retrospectively adjusted to reflect the effect of the share split) were granted to officers, employees and nonemployees for the years ended December 31, 2020 and 2021, respectively. Share options were granted with exercise prices ranging from USD0.5 to USD1.0. All the share options granted under the 2018 Share Plan have a contractual term of ten years.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 option activities for the years ended December 31, 2020 and 2021 were summarized as follows: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4040" w:type="dxa"/>
            <w:vAlign w:val="bottom"/>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3"/>
          </w:tcPr>
          <w:p>
            <w:pPr>
              <w:jc w:val="right"/>
              <w:ind w:right="418"/>
              <w:spacing w:after="0"/>
              <w:rPr>
                <w:sz w:val="20"/>
                <w:szCs w:val="20"/>
                <w:color w:val="auto"/>
              </w:rPr>
            </w:pPr>
            <w:r>
              <w:rPr>
                <w:rFonts w:ascii="Times New Roman" w:cs="Times New Roman" w:eastAsia="Times New Roman" w:hAnsi="Times New Roman"/>
                <w:sz w:val="14"/>
                <w:szCs w:val="14"/>
                <w:i w:val="1"/>
                <w:iCs w:val="1"/>
                <w:color w:val="auto"/>
              </w:rPr>
              <w:t>For the year ended December 31,</w:t>
            </w:r>
          </w:p>
        </w:tc>
        <w:tc>
          <w:tcPr>
            <w:tcW w:w="6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040" w:type="dxa"/>
            <w:vAlign w:val="bottom"/>
          </w:tcPr>
          <w:p>
            <w:pPr>
              <w:spacing w:after="0"/>
              <w:rPr>
                <w:sz w:val="12"/>
                <w:szCs w:val="12"/>
                <w:color w:val="auto"/>
              </w:rPr>
            </w:pPr>
          </w:p>
        </w:tc>
        <w:tc>
          <w:tcPr>
            <w:tcW w:w="1740" w:type="dxa"/>
            <w:vAlign w:val="bottom"/>
            <w:tcBorders>
              <w:bottom w:val="single" w:sz="8" w:color="auto"/>
            </w:tcBorders>
          </w:tcPr>
          <w:p>
            <w:pPr>
              <w:jc w:val="right"/>
              <w:ind w:right="220"/>
              <w:spacing w:after="0" w:line="142" w:lineRule="exact"/>
              <w:rPr>
                <w:sz w:val="20"/>
                <w:szCs w:val="20"/>
                <w:color w:val="auto"/>
              </w:rPr>
            </w:pPr>
            <w:r>
              <w:rPr>
                <w:rFonts w:ascii="Times New Roman" w:cs="Times New Roman" w:eastAsia="Times New Roman" w:hAnsi="Times New Roman"/>
                <w:sz w:val="14"/>
                <w:szCs w:val="14"/>
                <w:i w:val="1"/>
                <w:iCs w:val="1"/>
                <w:color w:val="auto"/>
              </w:rPr>
              <w:t>2020</w:t>
            </w:r>
          </w:p>
        </w:tc>
        <w:tc>
          <w:tcPr>
            <w:tcW w:w="860" w:type="dxa"/>
            <w:vAlign w:val="bottom"/>
            <w:tcBorders>
              <w:bottom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i w:val="1"/>
                <w:iCs w:val="1"/>
                <w:color w:val="auto"/>
              </w:rPr>
              <w:t>2021</w:t>
            </w:r>
          </w:p>
        </w:tc>
        <w:tc>
          <w:tcPr>
            <w:tcW w:w="8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17"/>
        </w:trPr>
        <w:tc>
          <w:tcPr>
            <w:tcW w:w="4040" w:type="dxa"/>
            <w:vAlign w:val="bottom"/>
          </w:tcPr>
          <w:p>
            <w:pPr>
              <w:spacing w:after="0"/>
              <w:rPr>
                <w:sz w:val="10"/>
                <w:szCs w:val="10"/>
                <w:color w:val="auto"/>
              </w:rPr>
            </w:pPr>
          </w:p>
        </w:tc>
        <w:tc>
          <w:tcPr>
            <w:tcW w:w="1740" w:type="dxa"/>
            <w:vAlign w:val="bottom"/>
          </w:tcPr>
          <w:p>
            <w:pPr>
              <w:jc w:val="right"/>
              <w:ind w:right="620"/>
              <w:spacing w:after="0" w:line="118" w:lineRule="exact"/>
              <w:rPr>
                <w:sz w:val="20"/>
                <w:szCs w:val="20"/>
                <w:color w:val="auto"/>
              </w:rPr>
            </w:pPr>
            <w:r>
              <w:rPr>
                <w:rFonts w:ascii="Times New Roman" w:cs="Times New Roman" w:eastAsia="Times New Roman" w:hAnsi="Times New Roman"/>
                <w:sz w:val="13"/>
                <w:szCs w:val="13"/>
                <w:i w:val="1"/>
                <w:iCs w:val="1"/>
                <w:color w:val="auto"/>
              </w:rPr>
              <w:t>Weighted average</w:t>
            </w:r>
          </w:p>
        </w:tc>
        <w:tc>
          <w:tcPr>
            <w:tcW w:w="860" w:type="dxa"/>
            <w:vAlign w:val="bottom"/>
          </w:tcPr>
          <w:p>
            <w:pPr>
              <w:jc w:val="right"/>
              <w:ind w:right="37"/>
              <w:spacing w:after="0" w:line="118" w:lineRule="exact"/>
              <w:rPr>
                <w:sz w:val="20"/>
                <w:szCs w:val="20"/>
                <w:color w:val="auto"/>
              </w:rPr>
            </w:pPr>
            <w:r>
              <w:rPr>
                <w:rFonts w:ascii="Times New Roman" w:cs="Times New Roman" w:eastAsia="Times New Roman" w:hAnsi="Times New Roman"/>
                <w:sz w:val="13"/>
                <w:szCs w:val="13"/>
                <w:i w:val="1"/>
                <w:iCs w:val="1"/>
                <w:color w:val="auto"/>
              </w:rPr>
              <w:t>Number of</w:t>
            </w:r>
          </w:p>
        </w:tc>
        <w:tc>
          <w:tcPr>
            <w:tcW w:w="760" w:type="dxa"/>
            <w:vAlign w:val="bottom"/>
          </w:tcPr>
          <w:p>
            <w:pPr>
              <w:spacing w:after="0"/>
              <w:rPr>
                <w:sz w:val="10"/>
                <w:szCs w:val="10"/>
                <w:color w:val="auto"/>
              </w:rPr>
            </w:pPr>
          </w:p>
        </w:tc>
        <w:tc>
          <w:tcPr>
            <w:tcW w:w="11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i w:val="1"/>
                <w:iCs w:val="1"/>
                <w:color w:val="auto"/>
              </w:rPr>
              <w:t>Weighted average</w:t>
            </w:r>
          </w:p>
        </w:tc>
        <w:tc>
          <w:tcPr>
            <w:tcW w:w="660" w:type="dxa"/>
            <w:vAlign w:val="bottom"/>
          </w:tcPr>
          <w:p>
            <w:pPr>
              <w:spacing w:after="0"/>
              <w:rPr>
                <w:sz w:val="10"/>
                <w:szCs w:val="10"/>
                <w:color w:val="auto"/>
              </w:rPr>
            </w:pPr>
          </w:p>
        </w:tc>
        <w:tc>
          <w:tcPr>
            <w:tcW w:w="860" w:type="dxa"/>
            <w:vAlign w:val="bottom"/>
          </w:tcPr>
          <w:p>
            <w:pPr>
              <w:jc w:val="right"/>
              <w:ind w:right="40"/>
              <w:spacing w:after="0" w:line="118" w:lineRule="exact"/>
              <w:rPr>
                <w:sz w:val="20"/>
                <w:szCs w:val="20"/>
                <w:color w:val="auto"/>
              </w:rPr>
            </w:pPr>
            <w:r>
              <w:rPr>
                <w:rFonts w:ascii="Times New Roman" w:cs="Times New Roman" w:eastAsia="Times New Roman" w:hAnsi="Times New Roman"/>
                <w:sz w:val="13"/>
                <w:szCs w:val="13"/>
                <w:i w:val="1"/>
                <w:iCs w:val="1"/>
                <w:color w:val="auto"/>
              </w:rPr>
              <w:t>Number of</w:t>
            </w:r>
          </w:p>
        </w:tc>
        <w:tc>
          <w:tcPr>
            <w:tcW w:w="100" w:type="dxa"/>
            <w:vAlign w:val="bottom"/>
          </w:tcPr>
          <w:p>
            <w:pPr>
              <w:spacing w:after="0"/>
              <w:rPr>
                <w:sz w:val="10"/>
                <w:szCs w:val="10"/>
                <w:color w:val="auto"/>
              </w:rPr>
            </w:pPr>
          </w:p>
        </w:tc>
      </w:tr>
      <w:tr>
        <w:trPr>
          <w:trHeight w:val="151"/>
        </w:trPr>
        <w:tc>
          <w:tcPr>
            <w:tcW w:w="4040" w:type="dxa"/>
            <w:vAlign w:val="bottom"/>
          </w:tcPr>
          <w:p>
            <w:pPr>
              <w:spacing w:after="0"/>
              <w:rPr>
                <w:sz w:val="13"/>
                <w:szCs w:val="13"/>
                <w:color w:val="auto"/>
              </w:rPr>
            </w:pPr>
          </w:p>
        </w:tc>
        <w:tc>
          <w:tcPr>
            <w:tcW w:w="1740" w:type="dxa"/>
            <w:vAlign w:val="bottom"/>
          </w:tcPr>
          <w:p>
            <w:pPr>
              <w:jc w:val="right"/>
              <w:ind w:right="740"/>
              <w:spacing w:after="0" w:line="151" w:lineRule="exact"/>
              <w:rPr>
                <w:sz w:val="20"/>
                <w:szCs w:val="20"/>
                <w:color w:val="auto"/>
              </w:rPr>
            </w:pPr>
            <w:r>
              <w:rPr>
                <w:rFonts w:ascii="Times New Roman" w:cs="Times New Roman" w:eastAsia="Times New Roman" w:hAnsi="Times New Roman"/>
                <w:sz w:val="14"/>
                <w:szCs w:val="14"/>
                <w:i w:val="1"/>
                <w:iCs w:val="1"/>
                <w:color w:val="auto"/>
              </w:rPr>
              <w:t>exercise price</w:t>
            </w:r>
          </w:p>
        </w:tc>
        <w:tc>
          <w:tcPr>
            <w:tcW w:w="1620" w:type="dxa"/>
            <w:vAlign w:val="bottom"/>
            <w:gridSpan w:val="2"/>
          </w:tcPr>
          <w:p>
            <w:pPr>
              <w:jc w:val="right"/>
              <w:ind w:right="980"/>
              <w:spacing w:after="0" w:line="151" w:lineRule="exact"/>
              <w:rPr>
                <w:sz w:val="20"/>
                <w:szCs w:val="20"/>
                <w:color w:val="auto"/>
              </w:rPr>
            </w:pPr>
            <w:r>
              <w:rPr>
                <w:rFonts w:ascii="Times New Roman" w:cs="Times New Roman" w:eastAsia="Times New Roman" w:hAnsi="Times New Roman"/>
                <w:sz w:val="14"/>
                <w:szCs w:val="14"/>
                <w:i w:val="1"/>
                <w:iCs w:val="1"/>
                <w:color w:val="auto"/>
              </w:rPr>
              <w:t>options</w:t>
            </w:r>
          </w:p>
        </w:tc>
        <w:tc>
          <w:tcPr>
            <w:tcW w:w="1100" w:type="dxa"/>
            <w:vAlign w:val="bottom"/>
          </w:tcPr>
          <w:p>
            <w:pPr>
              <w:jc w:val="right"/>
              <w:ind w:right="98"/>
              <w:spacing w:after="0" w:line="151" w:lineRule="exact"/>
              <w:rPr>
                <w:sz w:val="20"/>
                <w:szCs w:val="20"/>
                <w:color w:val="auto"/>
              </w:rPr>
            </w:pPr>
            <w:r>
              <w:rPr>
                <w:rFonts w:ascii="Times New Roman" w:cs="Times New Roman" w:eastAsia="Times New Roman" w:hAnsi="Times New Roman"/>
                <w:sz w:val="14"/>
                <w:szCs w:val="14"/>
                <w:i w:val="1"/>
                <w:iCs w:val="1"/>
                <w:color w:val="auto"/>
              </w:rPr>
              <w:t>exercise price</w:t>
            </w:r>
          </w:p>
        </w:tc>
        <w:tc>
          <w:tcPr>
            <w:tcW w:w="660" w:type="dxa"/>
            <w:vAlign w:val="bottom"/>
          </w:tcPr>
          <w:p>
            <w:pPr>
              <w:spacing w:after="0"/>
              <w:rPr>
                <w:sz w:val="13"/>
                <w:szCs w:val="13"/>
                <w:color w:val="auto"/>
              </w:rPr>
            </w:pPr>
          </w:p>
        </w:tc>
        <w:tc>
          <w:tcPr>
            <w:tcW w:w="960" w:type="dxa"/>
            <w:vAlign w:val="bottom"/>
            <w:gridSpan w:val="2"/>
          </w:tcPr>
          <w:p>
            <w:pPr>
              <w:jc w:val="right"/>
              <w:ind w:right="320"/>
              <w:spacing w:after="0" w:line="151" w:lineRule="exact"/>
              <w:rPr>
                <w:sz w:val="20"/>
                <w:szCs w:val="20"/>
                <w:color w:val="auto"/>
              </w:rPr>
            </w:pPr>
            <w:r>
              <w:rPr>
                <w:rFonts w:ascii="Times New Roman" w:cs="Times New Roman" w:eastAsia="Times New Roman" w:hAnsi="Times New Roman"/>
                <w:sz w:val="14"/>
                <w:szCs w:val="14"/>
                <w:i w:val="1"/>
                <w:iCs w:val="1"/>
                <w:color w:val="auto"/>
              </w:rPr>
              <w:t>options</w:t>
            </w:r>
          </w:p>
        </w:tc>
      </w:tr>
      <w:tr>
        <w:trPr>
          <w:trHeight w:val="171"/>
        </w:trPr>
        <w:tc>
          <w:tcPr>
            <w:tcW w:w="4040" w:type="dxa"/>
            <w:vAlign w:val="bottom"/>
          </w:tcPr>
          <w:p>
            <w:pPr>
              <w:spacing w:after="0"/>
              <w:rPr>
                <w:sz w:val="14"/>
                <w:szCs w:val="14"/>
                <w:color w:val="auto"/>
              </w:rPr>
            </w:pPr>
          </w:p>
        </w:tc>
        <w:tc>
          <w:tcPr>
            <w:tcW w:w="1740" w:type="dxa"/>
            <w:vAlign w:val="bottom"/>
          </w:tcPr>
          <w:p>
            <w:pPr>
              <w:jc w:val="right"/>
              <w:ind w:right="1000"/>
              <w:spacing w:after="0"/>
              <w:rPr>
                <w:sz w:val="20"/>
                <w:szCs w:val="20"/>
                <w:color w:val="auto"/>
              </w:rPr>
            </w:pPr>
            <w:r>
              <w:rPr>
                <w:rFonts w:ascii="Times New Roman" w:cs="Times New Roman" w:eastAsia="Times New Roman" w:hAnsi="Times New Roman"/>
                <w:sz w:val="14"/>
                <w:szCs w:val="14"/>
                <w:color w:val="auto"/>
              </w:rPr>
              <w:t>USD</w:t>
            </w: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jc w:val="right"/>
              <w:ind w:right="358"/>
              <w:spacing w:after="0"/>
              <w:rPr>
                <w:sz w:val="20"/>
                <w:szCs w:val="20"/>
                <w:color w:val="auto"/>
              </w:rPr>
            </w:pPr>
            <w:r>
              <w:rPr>
                <w:rFonts w:ascii="Times New Roman" w:cs="Times New Roman" w:eastAsia="Times New Roman" w:hAnsi="Times New Roman"/>
                <w:sz w:val="14"/>
                <w:szCs w:val="14"/>
                <w:color w:val="auto"/>
              </w:rPr>
              <w:t>USD</w:t>
            </w: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January 1</w:t>
            </w:r>
          </w:p>
        </w:tc>
        <w:tc>
          <w:tcPr>
            <w:tcW w:w="1740" w:type="dxa"/>
            <w:vAlign w:val="bottom"/>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0.5</w:t>
            </w:r>
          </w:p>
        </w:tc>
        <w:tc>
          <w:tcPr>
            <w:tcW w:w="16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6,894,230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16,858,820</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740" w:type="dxa"/>
            <w:vAlign w:val="bottom"/>
          </w:tcPr>
          <w:p>
            <w:pPr>
              <w:jc w:val="right"/>
              <w:ind w:right="620"/>
              <w:spacing w:after="0"/>
              <w:rPr>
                <w:sz w:val="20"/>
                <w:szCs w:val="20"/>
                <w:color w:val="auto"/>
              </w:rPr>
            </w:pPr>
            <w:r>
              <w:rPr>
                <w:rFonts w:ascii="Times New Roman" w:cs="Times New Roman" w:eastAsia="Times New Roman" w:hAnsi="Times New Roman"/>
                <w:sz w:val="18"/>
                <w:szCs w:val="18"/>
                <w:color w:val="auto"/>
              </w:rPr>
              <w:t>0.5</w:t>
            </w:r>
          </w:p>
        </w:tc>
        <w:tc>
          <w:tcPr>
            <w:tcW w:w="16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13,012,430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6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38,159,520</w:t>
            </w: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740" w:type="dxa"/>
            <w:vAlign w:val="bottom"/>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0.5</w:t>
            </w:r>
          </w:p>
        </w:tc>
        <w:tc>
          <w:tcPr>
            <w:tcW w:w="16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(3,047,840)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(1,454,330)</w:t>
            </w:r>
          </w:p>
        </w:tc>
      </w:tr>
      <w:tr>
        <w:trPr>
          <w:trHeight w:val="223"/>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as of December 31</w:t>
            </w:r>
          </w:p>
        </w:tc>
        <w:tc>
          <w:tcPr>
            <w:tcW w:w="1740" w:type="dxa"/>
            <w:vAlign w:val="bottom"/>
          </w:tcPr>
          <w:p>
            <w:pPr>
              <w:jc w:val="right"/>
              <w:ind w:right="620"/>
              <w:spacing w:after="0"/>
              <w:rPr>
                <w:sz w:val="20"/>
                <w:szCs w:val="20"/>
                <w:color w:val="auto"/>
              </w:rPr>
            </w:pPr>
            <w:r>
              <w:rPr>
                <w:rFonts w:ascii="Times New Roman" w:cs="Times New Roman" w:eastAsia="Times New Roman" w:hAnsi="Times New Roman"/>
                <w:sz w:val="18"/>
                <w:szCs w:val="18"/>
                <w:color w:val="auto"/>
              </w:rPr>
              <w:t>0.5</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16,858,820</w:t>
            </w:r>
          </w:p>
        </w:tc>
        <w:tc>
          <w:tcPr>
            <w:tcW w:w="7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6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53,564,010</w:t>
            </w:r>
          </w:p>
        </w:tc>
        <w:tc>
          <w:tcPr>
            <w:tcW w:w="100" w:type="dxa"/>
            <w:vAlign w:val="bottom"/>
          </w:tcPr>
          <w:p>
            <w:pPr>
              <w:spacing w:after="0"/>
              <w:rPr>
                <w:sz w:val="19"/>
                <w:szCs w:val="19"/>
                <w:color w:val="auto"/>
              </w:rPr>
            </w:pPr>
          </w:p>
        </w:tc>
      </w:tr>
      <w:tr>
        <w:trPr>
          <w:trHeight w:val="20"/>
        </w:trPr>
        <w:tc>
          <w:tcPr>
            <w:tcW w:w="40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as of December 31</w:t>
            </w:r>
          </w:p>
        </w:tc>
        <w:tc>
          <w:tcPr>
            <w:tcW w:w="17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0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300"/>
        <w:spacing w:after="0" w:line="266" w:lineRule="auto"/>
        <w:rPr>
          <w:sz w:val="20"/>
          <w:szCs w:val="20"/>
          <w:color w:val="auto"/>
        </w:rPr>
      </w:pPr>
      <w:r>
        <w:rPr>
          <w:rFonts w:ascii="Times New Roman" w:cs="Times New Roman" w:eastAsia="Times New Roman" w:hAnsi="Times New Roman"/>
          <w:sz w:val="18"/>
          <w:szCs w:val="18"/>
          <w:color w:val="auto"/>
        </w:rPr>
        <w:t>The weighted average grant date fair value of the share options granted for the years ended December 31, 2020 and 2021 were USD0.5 and USD1.2, respectively. The aggregated fair value of the share options at the grant date for the years ended December 31, 2020 and 2021 were USD7.5 million (equivalent to RMB51.6 million) and USD56.1 million (equivalent to RMB361.9 million), respectively.</w:t>
      </w:r>
    </w:p>
    <w:p>
      <w:pPr>
        <w:spacing w:after="0" w:line="176" w:lineRule="exact"/>
        <w:rPr>
          <w:sz w:val="20"/>
          <w:szCs w:val="20"/>
          <w:color w:val="auto"/>
        </w:rPr>
      </w:pPr>
    </w:p>
    <w:p>
      <w:pPr>
        <w:ind w:left="120" w:right="840"/>
        <w:spacing w:after="0" w:line="282" w:lineRule="auto"/>
        <w:rPr>
          <w:sz w:val="20"/>
          <w:szCs w:val="20"/>
          <w:color w:val="auto"/>
        </w:rPr>
      </w:pPr>
      <w:r>
        <w:rPr>
          <w:rFonts w:ascii="Times New Roman" w:cs="Times New Roman" w:eastAsia="Times New Roman" w:hAnsi="Times New Roman"/>
          <w:sz w:val="18"/>
          <w:szCs w:val="18"/>
          <w:color w:val="auto"/>
        </w:rPr>
        <w:t>The share options outstanding as of December 31, 2020 and 2021 had weighted average remaining contractual life of 8.0 years and 9.1 years, respectively.</w:t>
      </w:r>
    </w:p>
    <w:p>
      <w:pPr>
        <w:spacing w:after="0" w:line="306" w:lineRule="exact"/>
        <w:rPr>
          <w:sz w:val="20"/>
          <w:szCs w:val="20"/>
          <w:color w:val="auto"/>
        </w:rPr>
      </w:pPr>
    </w:p>
    <w:p>
      <w:pPr>
        <w:ind w:left="540" w:hanging="424"/>
        <w:spacing w:after="0"/>
        <w:tabs>
          <w:tab w:leader="none" w:pos="540" w:val="left"/>
        </w:tabs>
        <w:numPr>
          <w:ilvl w:val="0"/>
          <w:numId w:val="22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Restricted share units</w:t>
      </w:r>
    </w:p>
    <w:p>
      <w:pPr>
        <w:spacing w:after="0" w:line="121"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Restricted share units granted under the 2018 Share Plan have a contractual term of seven years with varying time-based requirement of service period up to four years and/or a requirement of the closing of a Qualified IPO of the Company. No cash consideration is required of the recipient in connection with the grant of restricted share units.</w:t>
      </w:r>
    </w:p>
    <w:p>
      <w:pPr>
        <w:spacing w:after="0" w:line="176"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completion of the Company’s Qualified IPO is considered a non-market performance condition. Service and non-market performance conditions are not taken into account when determining the grant date fair value of restricted share units, but the likelihood of the conditions being met is assessed as part of the Group’s best estimate of the number of restricted share units that will ultimately vest.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F-56</w:t>
      </w:r>
    </w:p>
    <w:p>
      <w:pPr>
        <w:sectPr>
          <w:pgSz w:w="11900" w:h="16838" w:orient="portrait"/>
          <w:cols w:equalWidth="0" w:num="1">
            <w:col w:w="11120"/>
          </w:cols>
          <w:pgMar w:left="320" w:top="455" w:right="459" w:bottom="1440" w:gutter="0" w:footer="0" w:header="0"/>
        </w:sectPr>
      </w:pPr>
    </w:p>
    <w:bookmarkStart w:id="309" w:name="page310"/>
    <w:bookmarkEnd w:id="3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That is, the actual length of vesting period of the restricted share units is subject to a Qualified IPO condition. The Group considered that, for certain granted restricted share units, a Qualified IPO was probable to incur after the required service period and recognized the share compensation expenses over the estimated actual vesting period, which is based on an estimate of when a Qualified IPO will incur.</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Restricted share units activities for the years ended December 31, 2020 and 2021 were summarized as follows: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580" w:type="dxa"/>
            <w:vAlign w:val="bottom"/>
          </w:tcPr>
          <w:p>
            <w:pPr>
              <w:spacing w:after="0"/>
              <w:rPr>
                <w:sz w:val="15"/>
                <w:szCs w:val="15"/>
                <w:color w:val="auto"/>
              </w:rPr>
            </w:pPr>
          </w:p>
        </w:tc>
        <w:tc>
          <w:tcPr>
            <w:tcW w:w="278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i w:val="1"/>
                <w:iCs w:val="1"/>
                <w:color w:val="auto"/>
              </w:rPr>
              <w:t>For the year ended December 31,</w:t>
            </w:r>
          </w:p>
        </w:tc>
        <w:tc>
          <w:tcPr>
            <w:tcW w:w="0" w:type="dxa"/>
            <w:vAlign w:val="bottom"/>
          </w:tcPr>
          <w:p>
            <w:pPr>
              <w:spacing w:after="0"/>
              <w:rPr>
                <w:sz w:val="1"/>
                <w:szCs w:val="1"/>
                <w:color w:val="auto"/>
              </w:rPr>
            </w:pPr>
          </w:p>
        </w:tc>
      </w:tr>
      <w:tr>
        <w:trPr>
          <w:trHeight w:val="117"/>
        </w:trPr>
        <w:tc>
          <w:tcPr>
            <w:tcW w:w="5580" w:type="dxa"/>
            <w:vAlign w:val="bottom"/>
          </w:tcPr>
          <w:p>
            <w:pPr>
              <w:spacing w:after="0"/>
              <w:rPr>
                <w:sz w:val="10"/>
                <w:szCs w:val="10"/>
                <w:color w:val="auto"/>
              </w:rPr>
            </w:pPr>
          </w:p>
        </w:tc>
        <w:tc>
          <w:tcPr>
            <w:tcW w:w="11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i w:val="1"/>
                <w:iCs w:val="1"/>
                <w:color w:val="auto"/>
              </w:rPr>
              <w:t>2020</w:t>
            </w:r>
          </w:p>
        </w:tc>
        <w:tc>
          <w:tcPr>
            <w:tcW w:w="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i w:val="1"/>
                <w:iCs w:val="1"/>
                <w:color w:val="auto"/>
              </w:rPr>
              <w:t>2021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580" w:type="dxa"/>
            <w:vAlign w:val="bottom"/>
          </w:tcPr>
          <w:p>
            <w:pPr>
              <w:spacing w:after="0"/>
              <w:rPr>
                <w:sz w:val="12"/>
                <w:szCs w:val="12"/>
                <w:color w:val="auto"/>
              </w:rPr>
            </w:pPr>
          </w:p>
        </w:tc>
        <w:tc>
          <w:tcPr>
            <w:tcW w:w="150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i w:val="1"/>
                <w:iCs w:val="1"/>
                <w:color w:val="auto"/>
              </w:rPr>
              <w:t>Number of</w:t>
            </w:r>
          </w:p>
        </w:tc>
        <w:tc>
          <w:tcPr>
            <w:tcW w:w="12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i w:val="1"/>
                <w:iCs w:val="1"/>
                <w:color w:val="auto"/>
              </w:rPr>
              <w:t>Number of</w:t>
            </w:r>
          </w:p>
        </w:tc>
        <w:tc>
          <w:tcPr>
            <w:tcW w:w="0" w:type="dxa"/>
            <w:vAlign w:val="bottom"/>
          </w:tcPr>
          <w:p>
            <w:pPr>
              <w:spacing w:after="0"/>
              <w:rPr>
                <w:sz w:val="1"/>
                <w:szCs w:val="1"/>
                <w:color w:val="auto"/>
              </w:rPr>
            </w:pPr>
          </w:p>
        </w:tc>
      </w:tr>
      <w:tr>
        <w:trPr>
          <w:trHeight w:val="148"/>
        </w:trPr>
        <w:tc>
          <w:tcPr>
            <w:tcW w:w="5580" w:type="dxa"/>
            <w:vAlign w:val="bottom"/>
          </w:tcPr>
          <w:p>
            <w:pPr>
              <w:spacing w:after="0"/>
              <w:rPr>
                <w:sz w:val="12"/>
                <w:szCs w:val="12"/>
                <w:color w:val="auto"/>
              </w:rPr>
            </w:pPr>
          </w:p>
        </w:tc>
        <w:tc>
          <w:tcPr>
            <w:tcW w:w="150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i w:val="1"/>
                <w:iCs w:val="1"/>
                <w:color w:val="auto"/>
              </w:rPr>
              <w:t>restricted share</w:t>
            </w:r>
          </w:p>
        </w:tc>
        <w:tc>
          <w:tcPr>
            <w:tcW w:w="12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i w:val="1"/>
                <w:iCs w:val="1"/>
                <w:color w:val="auto"/>
                <w:w w:val="99"/>
              </w:rPr>
              <w:t>restricted share</w:t>
            </w:r>
          </w:p>
        </w:tc>
        <w:tc>
          <w:tcPr>
            <w:tcW w:w="0" w:type="dxa"/>
            <w:vAlign w:val="bottom"/>
          </w:tcPr>
          <w:p>
            <w:pPr>
              <w:spacing w:after="0"/>
              <w:rPr>
                <w:sz w:val="1"/>
                <w:szCs w:val="1"/>
                <w:color w:val="auto"/>
              </w:rPr>
            </w:pPr>
          </w:p>
        </w:tc>
      </w:tr>
      <w:tr>
        <w:trPr>
          <w:trHeight w:val="173"/>
        </w:trPr>
        <w:tc>
          <w:tcPr>
            <w:tcW w:w="5580" w:type="dxa"/>
            <w:vAlign w:val="bottom"/>
          </w:tcPr>
          <w:p>
            <w:pPr>
              <w:spacing w:after="0"/>
              <w:rPr>
                <w:sz w:val="15"/>
                <w:szCs w:val="15"/>
                <w:color w:val="auto"/>
              </w:rPr>
            </w:pPr>
          </w:p>
        </w:tc>
        <w:tc>
          <w:tcPr>
            <w:tcW w:w="150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i w:val="1"/>
                <w:iCs w:val="1"/>
                <w:color w:val="auto"/>
              </w:rPr>
              <w:t>units</w:t>
            </w: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i w:val="1"/>
                <w:iCs w:val="1"/>
                <w:color w:val="auto"/>
              </w:rPr>
              <w:t>units</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January 1</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244,577,310</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195,039,210</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165,050</w:t>
            </w:r>
          </w:p>
        </w:tc>
        <w:tc>
          <w:tcPr>
            <w:tcW w:w="3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(3,301,620)</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(469,720)</w:t>
            </w: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(46,401,530)</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195,039,210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194,569,490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Vested as of December 31</w:t>
            </w:r>
          </w:p>
        </w:tc>
        <w:tc>
          <w:tcPr>
            <w:tcW w:w="1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80" w:type="dxa"/>
            <w:vAlign w:val="bottom"/>
            <w:vMerge w:val="continue"/>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125,994,150</w:t>
            </w:r>
          </w:p>
        </w:tc>
        <w:tc>
          <w:tcPr>
            <w:tcW w:w="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125,994,150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right="200" w:hanging="424"/>
        <w:spacing w:after="0" w:line="261" w:lineRule="auto"/>
        <w:tabs>
          <w:tab w:leader="none" w:pos="54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2020, the Board of Directors of the Company approved the acceleration of the vesting of 46,401,530 restricted share units by waiving the performance condition of the completion of the Company’s Qualified IPO, and the Company repurchased all the vested restricted share units from the employees with total compensation of USD16.9 million (equivalent to RMB116.4 million), which was recognized in share-based payment expenses for the year ended December 31, 2020.</w:t>
      </w:r>
    </w:p>
    <w:p>
      <w:pPr>
        <w:spacing w:after="0" w:line="180"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 of restricted share units granted for the year ended December 31, 2020 was USD0.9. The aggregated fair value of restricted share units granted for the year ended December 31, 2020 was USD1.1 million (equivalent to RMB7.6 million).</w:t>
      </w:r>
    </w:p>
    <w:p>
      <w:pPr>
        <w:spacing w:after="0" w:line="162"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The restricted share units outstanding as of December 31, 2020 and 2021 had weighted average remaining contractual life of 3.4 years and 2.4 years, respectively.</w:t>
      </w:r>
    </w:p>
    <w:p>
      <w:pPr>
        <w:spacing w:after="0" w:line="16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fair value of share options and restricted share units granted was measured by reference to the fair value of the Company’s equity interest. The Group had used the discounted cash flow method to determine the underlying equity fair value of the Company. The estimation of the share options and restricted share units granted was measured based on a binominal options pricing model. The key assumptions used in determining the fair value were as follows:</w:t>
      </w:r>
    </w:p>
    <w:p>
      <w:pPr>
        <w:spacing w:after="0" w:line="200"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3700" w:type="dxa"/>
            <w:vAlign w:val="bottom"/>
            <w:gridSpan w:val="3"/>
          </w:tcPr>
          <w:p>
            <w:pPr>
              <w:jc w:val="right"/>
              <w:ind w:right="900"/>
              <w:spacing w:after="0"/>
              <w:rPr>
                <w:sz w:val="20"/>
                <w:szCs w:val="20"/>
                <w:color w:val="auto"/>
              </w:rPr>
            </w:pPr>
            <w:r>
              <w:rPr>
                <w:rFonts w:ascii="Times New Roman" w:cs="Times New Roman" w:eastAsia="Times New Roman" w:hAnsi="Times New Roman"/>
                <w:sz w:val="14"/>
                <w:szCs w:val="14"/>
                <w:i w:val="1"/>
                <w:iCs w:val="1"/>
                <w:color w:val="auto"/>
              </w:rPr>
              <w:t>For the year ended December 31,</w:t>
            </w:r>
          </w:p>
        </w:tc>
      </w:tr>
      <w:tr>
        <w:trPr>
          <w:trHeight w:val="142"/>
        </w:trPr>
        <w:tc>
          <w:tcPr>
            <w:tcW w:w="4660" w:type="dxa"/>
            <w:vAlign w:val="bottom"/>
          </w:tcPr>
          <w:p>
            <w:pPr>
              <w:spacing w:after="0"/>
              <w:rPr>
                <w:sz w:val="12"/>
                <w:szCs w:val="12"/>
                <w:color w:val="auto"/>
              </w:rPr>
            </w:pPr>
          </w:p>
        </w:tc>
        <w:tc>
          <w:tcPr>
            <w:tcW w:w="2020" w:type="dxa"/>
            <w:vAlign w:val="bottom"/>
            <w:tcBorders>
              <w:top w:val="single" w:sz="8" w:color="auto"/>
            </w:tcBorders>
          </w:tcPr>
          <w:p>
            <w:pPr>
              <w:jc w:val="right"/>
              <w:ind w:right="975"/>
              <w:spacing w:after="0" w:line="142" w:lineRule="exact"/>
              <w:rPr>
                <w:sz w:val="20"/>
                <w:szCs w:val="20"/>
                <w:color w:val="auto"/>
              </w:rPr>
            </w:pPr>
            <w:r>
              <w:rPr>
                <w:rFonts w:ascii="Times New Roman" w:cs="Times New Roman" w:eastAsia="Times New Roman" w:hAnsi="Times New Roman"/>
                <w:sz w:val="14"/>
                <w:szCs w:val="14"/>
                <w:i w:val="1"/>
                <w:iCs w:val="1"/>
                <w:color w:val="auto"/>
              </w:rPr>
              <w:t>2020</w:t>
            </w:r>
          </w:p>
        </w:tc>
        <w:tc>
          <w:tcPr>
            <w:tcW w:w="1620" w:type="dxa"/>
            <w:vAlign w:val="bottom"/>
            <w:tcBorders>
              <w:top w:val="single" w:sz="8" w:color="auto"/>
            </w:tcBorders>
          </w:tcPr>
          <w:p>
            <w:pPr>
              <w:jc w:val="right"/>
              <w:ind w:right="573"/>
              <w:spacing w:after="0" w:line="142" w:lineRule="exact"/>
              <w:rPr>
                <w:sz w:val="20"/>
                <w:szCs w:val="20"/>
                <w:color w:val="auto"/>
              </w:rPr>
            </w:pPr>
            <w:r>
              <w:rPr>
                <w:rFonts w:ascii="Times New Roman" w:cs="Times New Roman" w:eastAsia="Times New Roman" w:hAnsi="Times New Roman"/>
                <w:sz w:val="14"/>
                <w:szCs w:val="14"/>
                <w:i w:val="1"/>
                <w:iCs w:val="1"/>
                <w:color w:val="auto"/>
              </w:rPr>
              <w:t>2021</w:t>
            </w:r>
          </w:p>
        </w:tc>
        <w:tc>
          <w:tcPr>
            <w:tcW w:w="60" w:type="dxa"/>
            <w:vAlign w:val="bottom"/>
          </w:tcPr>
          <w:p>
            <w:pPr>
              <w:spacing w:after="0"/>
              <w:rPr>
                <w:sz w:val="12"/>
                <w:szCs w:val="12"/>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at measurement date</w:t>
            </w:r>
          </w:p>
        </w:tc>
        <w:tc>
          <w:tcPr>
            <w:tcW w:w="202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8"/>
                <w:szCs w:val="18"/>
                <w:color w:val="auto"/>
              </w:rPr>
              <w:t>USD0.6-USD0.9</w:t>
            </w:r>
          </w:p>
        </w:tc>
        <w:tc>
          <w:tcPr>
            <w:tcW w:w="1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USD0.6-USD1.7</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020" w:type="dxa"/>
            <w:vAlign w:val="bottom"/>
          </w:tcPr>
          <w:p>
            <w:pPr>
              <w:jc w:val="right"/>
              <w:ind w:right="295"/>
              <w:spacing w:after="0"/>
              <w:rPr>
                <w:sz w:val="20"/>
                <w:szCs w:val="20"/>
                <w:color w:val="auto"/>
              </w:rPr>
            </w:pPr>
            <w:r>
              <w:rPr>
                <w:rFonts w:ascii="Times New Roman" w:cs="Times New Roman" w:eastAsia="Times New Roman" w:hAnsi="Times New Roman"/>
                <w:sz w:val="18"/>
                <w:szCs w:val="18"/>
                <w:color w:val="auto"/>
              </w:rPr>
              <w:t>51.2%-52.1%</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51.0%-51.4%</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multiple</w:t>
            </w:r>
          </w:p>
        </w:tc>
        <w:tc>
          <w:tcPr>
            <w:tcW w:w="202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8"/>
                <w:szCs w:val="18"/>
                <w:color w:val="auto"/>
              </w:rPr>
              <w:t>2.2x</w:t>
            </w:r>
          </w:p>
        </w:tc>
        <w:tc>
          <w:tcPr>
            <w:tcW w:w="1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2.2x-2.8x</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dividends</w:t>
            </w:r>
          </w:p>
        </w:tc>
        <w:tc>
          <w:tcPr>
            <w:tcW w:w="2020" w:type="dxa"/>
            <w:vAlign w:val="bottom"/>
          </w:tcPr>
          <w:p>
            <w:pPr>
              <w:jc w:val="right"/>
              <w:ind w:right="295"/>
              <w:spacing w:after="0"/>
              <w:rPr>
                <w:sz w:val="20"/>
                <w:szCs w:val="20"/>
                <w:color w:val="auto"/>
              </w:rPr>
            </w:pPr>
            <w:r>
              <w:rPr>
                <w:rFonts w:ascii="Times New Roman" w:cs="Times New Roman" w:eastAsia="Times New Roman" w:hAnsi="Times New Roman"/>
                <w:sz w:val="18"/>
                <w:szCs w:val="18"/>
                <w:color w:val="auto"/>
              </w:rPr>
              <w:t>0%</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(per annum)</w:t>
            </w:r>
          </w:p>
        </w:tc>
        <w:tc>
          <w:tcPr>
            <w:tcW w:w="202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8"/>
                <w:szCs w:val="18"/>
                <w:color w:val="auto"/>
              </w:rPr>
              <w:t>0.8%-1.7%</w:t>
            </w:r>
          </w:p>
        </w:tc>
        <w:tc>
          <w:tcPr>
            <w:tcW w:w="1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1.4%-2.8%</w:t>
            </w: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2020" w:type="dxa"/>
            <w:vAlign w:val="bottom"/>
          </w:tcPr>
          <w:p>
            <w:pPr>
              <w:jc w:val="right"/>
              <w:ind w:right="295"/>
              <w:spacing w:after="0"/>
              <w:rPr>
                <w:sz w:val="20"/>
                <w:szCs w:val="20"/>
                <w:color w:val="auto"/>
              </w:rPr>
            </w:pPr>
            <w:r>
              <w:rPr>
                <w:rFonts w:ascii="Times New Roman" w:cs="Times New Roman" w:eastAsia="Times New Roman" w:hAnsi="Times New Roman"/>
                <w:sz w:val="18"/>
                <w:szCs w:val="18"/>
                <w:color w:val="auto"/>
              </w:rPr>
              <w:t>7-10 years</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 years</w:t>
            </w:r>
          </w:p>
        </w:tc>
      </w:tr>
    </w:tbl>
    <w:p>
      <w:pPr>
        <w:spacing w:after="0" w:line="179"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The expected volatility was estimated based on the historical volatility of comparable peer public companies with a time horizon close to the expected term of the Company’s share options and restricted share units. The risk-free interest rate was estimated based on the yield to maturity of U.S. treasury bonds denominated in USD for a term consistent with the expected term of the Company’s share options and restricted share units in effect at the valuation date. The expected exercise multiple was estimated as the average ratio of the share price to the exercise price of when employees, officers or nonemployees would decide to voluntarily exercise their vested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F-57</w:t>
      </w:r>
    </w:p>
    <w:p>
      <w:pPr>
        <w:sectPr>
          <w:pgSz w:w="11900" w:h="16838" w:orient="portrait"/>
          <w:cols w:equalWidth="0" w:num="1">
            <w:col w:w="11120"/>
          </w:cols>
          <w:pgMar w:left="320" w:top="455" w:right="459" w:bottom="1440" w:gutter="0" w:footer="0" w:header="0"/>
        </w:sectPr>
      </w:pPr>
    </w:p>
    <w:bookmarkStart w:id="310" w:name="page311"/>
    <w:bookmarkEnd w:id="3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share options. Expected dividend yield is zero as the Company has never declared or paid any cash dividends on its shares, and the Company does not anticipate any dividend payments in the foreseeable future. Expected term is the contract life of the share options and restricted share units.</w:t>
      </w:r>
    </w:p>
    <w:p>
      <w:pPr>
        <w:spacing w:after="0" w:line="162"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Total compensation expense calculated based on the grant date fair value and the estimated forfeiture rate recognized in the consolidated statements of profit or loss and other comprehensive income for aforementioned share options and restricted share units granted were RMB129.9 million and RMB56.0 million for the years ended December 31, 2020 and 2021, respectively.</w:t>
      </w:r>
    </w:p>
    <w:p>
      <w:pPr>
        <w:spacing w:after="0" w:line="320"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29</w:t>
        <w:tab/>
        <w:t>Business acquisition</w:t>
      </w:r>
    </w:p>
    <w:p>
      <w:pPr>
        <w:spacing w:after="0" w:line="121"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In 2018, the Group acquired a 15.4% equity interest in Fujian Muyue Technology Co., Ltd. (“Fujian Muyue” or “MooX.Ai”) which, through its subsidiaries, is principally engaged in the research and development of purpose-built robosweeper and trucks in the PRC. Upon initial recognition, the Group designated this equity investment as measured at FVOCI.</w:t>
      </w:r>
    </w:p>
    <w:p>
      <w:pPr>
        <w:spacing w:after="0" w:line="176" w:lineRule="exact"/>
        <w:rPr>
          <w:sz w:val="20"/>
          <w:szCs w:val="20"/>
          <w:color w:val="auto"/>
        </w:rPr>
      </w:pPr>
    </w:p>
    <w:p>
      <w:pPr>
        <w:ind w:left="120" w:right="60"/>
        <w:spacing w:after="0" w:line="289" w:lineRule="auto"/>
        <w:rPr>
          <w:sz w:val="20"/>
          <w:szCs w:val="20"/>
          <w:color w:val="auto"/>
        </w:rPr>
      </w:pPr>
      <w:r>
        <w:rPr>
          <w:rFonts w:ascii="Times New Roman" w:cs="Times New Roman" w:eastAsia="Times New Roman" w:hAnsi="Times New Roman"/>
          <w:sz w:val="17"/>
          <w:szCs w:val="17"/>
          <w:color w:val="auto"/>
        </w:rPr>
        <w:t>On June 30, 2021, the Group acquired the remaining 84.6% equity interest of Fujian Muyue from the other original shareholders at a cash consideration of RMB71.4 million. The assimilation of the entire technical team of Fujian Muyue gave an extra boost to the Group’s research and development capabilities. Since then, Fujian Muyue had become a wholly-owned subsidiary and been included in the consolidated financial statements of the Group.</w:t>
      </w:r>
    </w:p>
    <w:p>
      <w:pPr>
        <w:spacing w:after="0" w:line="158"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The pre-acquisition fair value of the 15.4% equity interest held by the Group immediately was RMB4.4 million as of the acquisition date, decreased from RMB12.6 million as of January 1, 2021. RMB8.2 million for the fair value changes during the period from January 1, 2021 to June 29, 2021 was included in “other comprehensive income - fair value reserves” in the consolidated statements of profit or loss and other comprehensive income.</w:t>
      </w:r>
    </w:p>
    <w:p>
      <w:pPr>
        <w:spacing w:after="0" w:line="176"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The acquired business of Fujian Muyue contributed revenue of nil and loss of RMB19.6 million to the Group for the period from the acquisition date to December 31, 2021. If the acquisition had occurred since January 1, 2021, management estimates that consolidated revenue and consolidated loss of the Group for the year ended December 31, 2021 would have been approximately RMB138.3 million and RMB1,027.2 million, respectively. In determining these amounts, management has assumed that the fair value adjustments, determined provisionally, that arose on the date of acquisition would have been the same if the acquisition had occurred on January 1, 2021.</w:t>
      </w:r>
    </w:p>
    <w:p>
      <w:pPr>
        <w:spacing w:after="0" w:line="183"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The Group incurred acquisition-related costs of RMB0.4 million for professional services of legal, due diligence and valuation, etc. These costs had been included in “Administrative expenses” in the consolidated statements of profit or loss and other comprehensive income for the year ended December 31, 2021.</w:t>
      </w:r>
    </w:p>
    <w:p>
      <w:pPr>
        <w:spacing w:after="0" w:line="176"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following table summarized the consideration transferred and the total fair value of identified assets acquired and liabilities assumed at the date of acquisition:</w:t>
      </w:r>
    </w:p>
    <w:p>
      <w:pPr>
        <w:spacing w:after="0" w:line="172"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70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RMB’000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Prepayments, deposits and other receivables</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Other payables, deposit received and accrued expenses</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identifiable assets acquired</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31,011</w:t>
            </w:r>
          </w:p>
        </w:tc>
        <w:tc>
          <w:tcPr>
            <w:tcW w:w="0" w:type="dxa"/>
            <w:vAlign w:val="bottom"/>
          </w:tcPr>
          <w:p>
            <w:pPr>
              <w:spacing w:after="0"/>
              <w:rPr>
                <w:sz w:val="1"/>
                <w:szCs w:val="1"/>
                <w:color w:val="auto"/>
              </w:rPr>
            </w:pPr>
          </w:p>
        </w:tc>
      </w:tr>
      <w:tr>
        <w:trPr>
          <w:trHeight w:val="20"/>
        </w:trPr>
        <w:tc>
          <w:tcPr>
            <w:tcW w:w="6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20" w:type="dxa"/>
            <w:vAlign w:val="bottom"/>
            <w:gridSpan w:val="2"/>
            <w:vMerge w:val="continue"/>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Equity investments designated at FVOCI (Note 30(e))</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4,366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 Cash</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71,403</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6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44,758</w:t>
            </w: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6700" w:type="dxa"/>
            <w:vAlign w:val="bottom"/>
          </w:tcPr>
          <w:p>
            <w:pPr>
              <w:ind w:left="3560"/>
              <w:spacing w:after="0"/>
              <w:rPr>
                <w:sz w:val="20"/>
                <w:szCs w:val="20"/>
                <w:color w:val="auto"/>
              </w:rPr>
            </w:pPr>
            <w:r>
              <w:rPr>
                <w:rFonts w:ascii="Times New Roman" w:cs="Times New Roman" w:eastAsia="Times New Roman" w:hAnsi="Times New Roman"/>
                <w:sz w:val="18"/>
                <w:szCs w:val="18"/>
                <w:color w:val="auto"/>
              </w:rPr>
              <w:t>F-58</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5" w:right="479" w:bottom="1440" w:gutter="0" w:footer="0" w:header="0"/>
        </w:sectPr>
      </w:pPr>
    </w:p>
    <w:bookmarkStart w:id="311" w:name="page312"/>
    <w:bookmarkEnd w:id="3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gross contractual amounts for trade receivables acquired was RMB0.3 million with nil loss allowance.</w:t>
      </w:r>
    </w:p>
    <w:p>
      <w:pPr>
        <w:spacing w:after="0" w:line="225"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Pre-acquisition carrying amounts of the acquirees’ assets and liabilities were determined based on applicable IFRSs immediately before the acquisition. The values of assets recognized and liabilities assumed on acquisition were their estimated fair values. In determining the fair values of identifiable assets and liabilities, the Board of Directors of the Company had referenced the fair value adjustments based on income method and market method to the valuation report issued by an independent professional valuer.</w:t>
      </w:r>
    </w:p>
    <w:p>
      <w:pPr>
        <w:spacing w:after="0" w:line="180"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The goodwill was mainly attributable to the synergies expected to be achieved through the integration of industry chain and resources, diversified development expected to be achieved and enhancement of the Group’s production lines. None of the goodwill recognized was expected to be deductible for tax purposes.</w:t>
      </w:r>
    </w:p>
    <w:p>
      <w:pPr>
        <w:spacing w:after="0" w:line="320"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30</w:t>
        <w:tab/>
        <w:t>Financial risk management and fair value of financial instruments</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Exposure to credit, liquidity, interest rate and currency risks arises in the normal course of the Group’s business. The Group’s exposure to these risks and the financial risk management policies and practices used by the Group to manage these risks are described below.</w:t>
      </w:r>
    </w:p>
    <w:p>
      <w:pPr>
        <w:spacing w:after="0" w:line="306" w:lineRule="exact"/>
        <w:rPr>
          <w:sz w:val="20"/>
          <w:szCs w:val="20"/>
          <w:color w:val="auto"/>
        </w:rPr>
      </w:pPr>
    </w:p>
    <w:p>
      <w:pPr>
        <w:ind w:left="540" w:hanging="424"/>
        <w:spacing w:after="0"/>
        <w:tabs>
          <w:tab w:leader="none" w:pos="540" w:val="left"/>
        </w:tabs>
        <w:numPr>
          <w:ilvl w:val="0"/>
          <w:numId w:val="22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Credit risk refers to the risk that a counterparty will default on its contractual obligations resulting in a financial loss to the Group. The Group’s credit risk is primarily attributable to trade receivables, deposits and other receivables. The Group’s exposure to credit risk arising from financial investments, cash, cash equivalents and restricted cash is limited because the counterparties are banks with high-credit-quality, for which the Group considers to have low credit risk. The Group does not provide any guarantees which would expose the Group to credit risk.</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Trade receivables</w:t>
      </w:r>
    </w:p>
    <w:p>
      <w:pPr>
        <w:spacing w:after="0" w:line="11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Group’s exposure to credit risk is influenced mainly by the individual characteristics of each customer rather than the industry or country in which the customers operate and therefore significant concentrations of credit risk primarily arise when the Group has significant exposure to individual customers. As of December 31, 2020 and 2021, 31% and 42% of the total trade receivables were due from the Group’s largest customer, 96% and 100% of the total trade receivables were due from the Group’s five largest customers, respectively.</w:t>
      </w:r>
    </w:p>
    <w:p>
      <w:pPr>
        <w:spacing w:after="0" w:line="180"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Individual credit evaluations are performed on all customers requiring credit over a certain amount. These evaluations focus on the customer’s past history of making payments when due and current ability to pay, and take into account information specific to the customer as well as pertaining to the economic environment in which the customer operates. Trade receivables are due within 30 - 90 days from the date of billing. Normally, the Group does not obtain collateral from customers.</w:t>
      </w:r>
    </w:p>
    <w:p>
      <w:pPr>
        <w:spacing w:after="0" w:line="180"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The Group measures loss allowances for trade receivables at an amount equal to lifetime ECLs, which is calculated using a provision matrix. As the Group’s historical credit loss experience does not indicate significantly different loss patterns for different customer segments, the loss allowance based on past due status is not further distinguished between the Group’s different customer bases.</w:t>
      </w:r>
    </w:p>
    <w:p>
      <w:pPr>
        <w:spacing w:after="0" w:line="176"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Expected loss rates are calculated using a ‘roll rate’ method based on the probability of a receivable progressing through successive stages of delinquency to write-off. These rates are adjusted to reflect the differences between economic conditions during the period over which the historic data has been collected, current conditions and the Group’s view of economic conditions over the expected lives of the receivables. As of December 31, 2020 and 2021, 100% and 95% of the Group’s trade receivables were due within one year. Based on this assessment, additional loss allowance of RMB0.02 million and RMB0.4 million were recognized for the years ended December 31, 2020 and 2021, respectively.</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F-59</w:t>
      </w:r>
    </w:p>
    <w:p>
      <w:pPr>
        <w:sectPr>
          <w:pgSz w:w="11900" w:h="16838" w:orient="portrait"/>
          <w:cols w:equalWidth="0" w:num="1">
            <w:col w:w="11120"/>
          </w:cols>
          <w:pgMar w:left="320" w:top="455" w:right="459" w:bottom="1440" w:gutter="0" w:footer="0" w:header="0"/>
        </w:sectPr>
      </w:pPr>
    </w:p>
    <w:bookmarkStart w:id="312" w:name="page313"/>
    <w:bookmarkEnd w:id="3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2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2020 and 2021, the Group has not identified any debtors with significant increase in credit risk since initial recognition.</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Deposits and other receivables</w:t>
      </w:r>
    </w:p>
    <w:p>
      <w:pPr>
        <w:spacing w:after="0" w:line="11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In determining the ECL for deposits and other receivables, the management has taken into account the historical default experience and forward-looking information, as appropriate. The management has assessed that no debtors of deposits and other receivables had a significant increase in credit risk since initial recognition and risk of default is insignificant, and therefore, no material ECL allowance was provided for the deposits and other receivables for the years presented.</w:t>
      </w:r>
    </w:p>
    <w:p>
      <w:pPr>
        <w:spacing w:after="0" w:line="324" w:lineRule="exact"/>
        <w:rPr>
          <w:sz w:val="20"/>
          <w:szCs w:val="20"/>
          <w:color w:val="auto"/>
        </w:rPr>
      </w:pPr>
    </w:p>
    <w:p>
      <w:pPr>
        <w:ind w:left="540" w:hanging="424"/>
        <w:spacing w:after="0"/>
        <w:tabs>
          <w:tab w:leader="none" w:pos="540" w:val="left"/>
        </w:tabs>
        <w:numPr>
          <w:ilvl w:val="0"/>
          <w:numId w:val="22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Liquidity risk</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Individual operating entities within the Group are responsible for their own cash management, including the short-term investment of cash surpluses and the raising of loans to cover expected cash demands, subject to the approval by the Company’s Board of Directors when the loans and borrowings exceed certain predetermined levels of authority. The Group’s policy is to regularly monitor its liquidity requirements and its compliance with lending covenants, to ensure that it maintains sufficient reserves of cash and adequate committed lines of funding from major financial institutions to meet its liquidity requirements in the short and longer term.</w:t>
      </w:r>
    </w:p>
    <w:p>
      <w:pPr>
        <w:spacing w:after="0" w:line="183"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The following tables show the remaining contractual maturities at the end of the periods presented of the Group’s financial liabilities, based on undiscounted cash flows (including interest payments computed using contractual rates or, if floating, based on current rates at the end of the periods presented) and the earliest date the Group can be required to pay.</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48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6"/>
          </w:tcPr>
          <w:p>
            <w:pPr>
              <w:ind w:left="580"/>
              <w:spacing w:after="0"/>
              <w:rPr>
                <w:sz w:val="20"/>
                <w:szCs w:val="20"/>
                <w:color w:val="auto"/>
              </w:rPr>
            </w:pPr>
            <w:r>
              <w:rPr>
                <w:rFonts w:ascii="Times New Roman" w:cs="Times New Roman" w:eastAsia="Times New Roman" w:hAnsi="Times New Roman"/>
                <w:sz w:val="14"/>
                <w:szCs w:val="14"/>
                <w:i w:val="1"/>
                <w:iCs w:val="1"/>
                <w:color w:val="auto"/>
              </w:rPr>
              <w:t>As of December 31, 2020</w:t>
            </w:r>
          </w:p>
        </w:tc>
        <w:tc>
          <w:tcPr>
            <w:tcW w:w="6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i w:val="1"/>
                <w:iCs w:val="1"/>
                <w:color w:val="auto"/>
              </w:rPr>
              <w:t>Total</w:t>
            </w:r>
          </w:p>
        </w:tc>
        <w:tc>
          <w:tcPr>
            <w:tcW w:w="9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i w:val="1"/>
                <w:iCs w:val="1"/>
                <w:color w:val="auto"/>
              </w:rPr>
              <w:t>Within</w:t>
            </w:r>
          </w:p>
        </w:tc>
        <w:tc>
          <w:tcPr>
            <w:tcW w:w="88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i w:val="1"/>
                <w:iCs w:val="1"/>
                <w:color w:val="auto"/>
              </w:rPr>
              <w:t>More than</w:t>
            </w:r>
          </w:p>
        </w:tc>
        <w:tc>
          <w:tcPr>
            <w:tcW w:w="6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i w:val="1"/>
                <w:iCs w:val="1"/>
                <w:color w:val="auto"/>
              </w:rPr>
              <w:t>More than</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480" w:type="dxa"/>
            <w:vAlign w:val="bottom"/>
          </w:tcPr>
          <w:p>
            <w:pPr>
              <w:spacing w:after="0"/>
              <w:rPr>
                <w:sz w:val="12"/>
                <w:szCs w:val="12"/>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i w:val="1"/>
                <w:iCs w:val="1"/>
                <w:color w:val="auto"/>
              </w:rPr>
              <w:t>Carrying</w:t>
            </w: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i w:val="1"/>
                <w:iCs w:val="1"/>
                <w:color w:val="auto"/>
              </w:rPr>
              <w:t>contractual</w:t>
            </w:r>
          </w:p>
        </w:tc>
        <w:tc>
          <w:tcPr>
            <w:tcW w:w="940" w:type="dxa"/>
            <w:vAlign w:val="bottom"/>
            <w:gridSpan w:val="2"/>
            <w:vMerge w:val="continue"/>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i w:val="1"/>
                <w:iCs w:val="1"/>
                <w:color w:val="auto"/>
              </w:rPr>
              <w:t>1 year but</w:t>
            </w:r>
          </w:p>
        </w:tc>
        <w:tc>
          <w:tcPr>
            <w:tcW w:w="7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i w:val="1"/>
                <w:iCs w:val="1"/>
                <w:color w:val="auto"/>
              </w:rPr>
              <w:t>2 years but</w:t>
            </w:r>
          </w:p>
        </w:tc>
        <w:tc>
          <w:tcPr>
            <w:tcW w:w="0" w:type="dxa"/>
            <w:vAlign w:val="bottom"/>
          </w:tcPr>
          <w:p>
            <w:pPr>
              <w:spacing w:after="0"/>
              <w:rPr>
                <w:sz w:val="1"/>
                <w:szCs w:val="1"/>
                <w:color w:val="auto"/>
              </w:rPr>
            </w:pPr>
          </w:p>
        </w:tc>
      </w:tr>
      <w:tr>
        <w:trPr>
          <w:trHeight w:val="148"/>
        </w:trPr>
        <w:tc>
          <w:tcPr>
            <w:tcW w:w="64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i w:val="1"/>
                <w:iCs w:val="1"/>
                <w:color w:val="auto"/>
              </w:rPr>
              <w:t>undiscounted</w:t>
            </w:r>
          </w:p>
        </w:tc>
        <w:tc>
          <w:tcPr>
            <w:tcW w:w="9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i w:val="1"/>
                <w:iCs w:val="1"/>
                <w:color w:val="auto"/>
              </w:rPr>
              <w:t>1 year or</w:t>
            </w:r>
          </w:p>
        </w:tc>
        <w:tc>
          <w:tcPr>
            <w:tcW w:w="8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i w:val="1"/>
                <w:iCs w:val="1"/>
                <w:color w:val="auto"/>
              </w:rPr>
              <w:t>within</w:t>
            </w:r>
          </w:p>
        </w:tc>
        <w:tc>
          <w:tcPr>
            <w:tcW w:w="7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i w:val="1"/>
                <w:iCs w:val="1"/>
                <w:color w:val="auto"/>
              </w:rPr>
              <w:t>within</w:t>
            </w:r>
          </w:p>
        </w:tc>
        <w:tc>
          <w:tcPr>
            <w:tcW w:w="0" w:type="dxa"/>
            <w:vAlign w:val="bottom"/>
          </w:tcPr>
          <w:p>
            <w:pPr>
              <w:spacing w:after="0"/>
              <w:rPr>
                <w:sz w:val="1"/>
                <w:szCs w:val="1"/>
                <w:color w:val="auto"/>
              </w:rPr>
            </w:pPr>
          </w:p>
        </w:tc>
      </w:tr>
      <w:tr>
        <w:trPr>
          <w:trHeight w:val="173"/>
        </w:trPr>
        <w:tc>
          <w:tcPr>
            <w:tcW w:w="648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i w:val="1"/>
                <w:iCs w:val="1"/>
                <w:color w:val="auto"/>
                <w:w w:val="99"/>
              </w:rPr>
              <w:t>amount</w:t>
            </w: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i w:val="1"/>
                <w:iCs w:val="1"/>
                <w:color w:val="auto"/>
              </w:rPr>
              <w:t>cash flow</w:t>
            </w: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i w:val="1"/>
                <w:iCs w:val="1"/>
                <w:color w:val="auto"/>
              </w:rPr>
              <w:t>on demand</w:t>
            </w: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i w:val="1"/>
                <w:iCs w:val="1"/>
                <w:color w:val="auto"/>
              </w:rPr>
              <w:t>2 years</w:t>
            </w: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i w:val="1"/>
                <w:iCs w:val="1"/>
                <w:color w:val="auto"/>
              </w:rPr>
              <w:t>5 years</w:t>
            </w:r>
          </w:p>
        </w:tc>
        <w:tc>
          <w:tcPr>
            <w:tcW w:w="0" w:type="dxa"/>
            <w:vAlign w:val="bottom"/>
          </w:tcPr>
          <w:p>
            <w:pPr>
              <w:spacing w:after="0"/>
              <w:rPr>
                <w:sz w:val="1"/>
                <w:szCs w:val="1"/>
                <w:color w:val="auto"/>
              </w:rPr>
            </w:pPr>
          </w:p>
        </w:tc>
      </w:tr>
      <w:tr>
        <w:trPr>
          <w:trHeight w:val="142"/>
        </w:trPr>
        <w:tc>
          <w:tcPr>
            <w:tcW w:w="648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260" w:type="dxa"/>
            <w:vAlign w:val="bottom"/>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26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280" w:type="dxa"/>
            <w:vAlign w:val="bottom"/>
          </w:tcPr>
          <w:p>
            <w:pPr>
              <w:spacing w:after="0"/>
              <w:rPr>
                <w:sz w:val="12"/>
                <w:szCs w:val="12"/>
                <w:color w:val="auto"/>
              </w:rPr>
            </w:pPr>
          </w:p>
        </w:tc>
        <w:tc>
          <w:tcPr>
            <w:tcW w:w="6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26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Put option liabilities</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66,116</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71,280</w:t>
            </w: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71,280</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Loans and borrowings</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104,478</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104,804</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104,804</w:t>
            </w:r>
          </w:p>
        </w:tc>
        <w:tc>
          <w:tcPr>
            <w:tcW w:w="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18,839</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18,839</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18,839</w:t>
            </w:r>
          </w:p>
        </w:tc>
        <w:tc>
          <w:tcPr>
            <w:tcW w:w="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Other payables, deposits received and accrued expenses</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121,160</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121,160</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121,160</w:t>
            </w:r>
          </w:p>
        </w:tc>
        <w:tc>
          <w:tcPr>
            <w:tcW w:w="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64,967</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70,091</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19,516</w:t>
            </w:r>
          </w:p>
        </w:tc>
        <w:tc>
          <w:tcPr>
            <w:tcW w:w="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24,804</w:t>
            </w:r>
          </w:p>
        </w:tc>
        <w:tc>
          <w:tcPr>
            <w:tcW w:w="7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25,771</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4,167</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4,167</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4,167</w:t>
            </w:r>
          </w:p>
        </w:tc>
        <w:tc>
          <w:tcPr>
            <w:tcW w:w="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 measured at FVTPL</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103,669</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102,747</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102,747</w:t>
            </w:r>
          </w:p>
        </w:tc>
        <w:tc>
          <w:tcPr>
            <w:tcW w:w="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64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Total financial liabilities that are settled by delivering cash or another financial asset</w:t>
            </w:r>
          </w:p>
        </w:tc>
        <w:tc>
          <w:tcPr>
            <w:tcW w:w="6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except for preferred shares and other financial instruments subject to redemption</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other preferential rights</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483,396</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493,088</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371,233</w:t>
            </w: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24,804</w:t>
            </w:r>
          </w:p>
        </w:tc>
        <w:tc>
          <w:tcPr>
            <w:tcW w:w="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97,051</w:t>
            </w:r>
          </w:p>
        </w:tc>
        <w:tc>
          <w:tcPr>
            <w:tcW w:w="0" w:type="dxa"/>
            <w:vAlign w:val="bottom"/>
          </w:tcPr>
          <w:p>
            <w:pPr>
              <w:spacing w:after="0"/>
              <w:rPr>
                <w:sz w:val="1"/>
                <w:szCs w:val="1"/>
                <w:color w:val="auto"/>
              </w:rPr>
            </w:pPr>
          </w:p>
        </w:tc>
      </w:tr>
      <w:tr>
        <w:trPr>
          <w:trHeight w:val="20"/>
        </w:trPr>
        <w:tc>
          <w:tcPr>
            <w:tcW w:w="6480" w:type="dxa"/>
            <w:vAlign w:val="bottom"/>
            <w:vMerge w:val="restart"/>
          </w:tcPr>
          <w:p>
            <w:pPr>
              <w:ind w:left="5340"/>
              <w:spacing w:after="0"/>
              <w:rPr>
                <w:sz w:val="20"/>
                <w:szCs w:val="20"/>
                <w:color w:val="auto"/>
              </w:rPr>
            </w:pPr>
            <w:r>
              <w:rPr>
                <w:rFonts w:ascii="Times New Roman" w:cs="Times New Roman" w:eastAsia="Times New Roman" w:hAnsi="Times New Roman"/>
                <w:sz w:val="18"/>
                <w:szCs w:val="18"/>
                <w:color w:val="auto"/>
              </w:rPr>
              <w:t>F-60</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648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313" w:name="page314"/>
    <w:bookmarkEnd w:id="3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48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6"/>
          </w:tcPr>
          <w:p>
            <w:pPr>
              <w:ind w:left="580"/>
              <w:spacing w:after="0"/>
              <w:rPr>
                <w:sz w:val="20"/>
                <w:szCs w:val="20"/>
                <w:color w:val="auto"/>
              </w:rPr>
            </w:pPr>
            <w:r>
              <w:rPr>
                <w:rFonts w:ascii="Times New Roman" w:cs="Times New Roman" w:eastAsia="Times New Roman" w:hAnsi="Times New Roman"/>
                <w:sz w:val="14"/>
                <w:szCs w:val="14"/>
                <w:i w:val="1"/>
                <w:iCs w:val="1"/>
                <w:color w:val="auto"/>
              </w:rPr>
              <w:t>As of December 31, 2021</w:t>
            </w:r>
          </w:p>
        </w:tc>
        <w:tc>
          <w:tcPr>
            <w:tcW w:w="6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i w:val="1"/>
                <w:iCs w:val="1"/>
                <w:color w:val="auto"/>
              </w:rPr>
              <w:t>Total</w:t>
            </w:r>
          </w:p>
        </w:tc>
        <w:tc>
          <w:tcPr>
            <w:tcW w:w="9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i w:val="1"/>
                <w:iCs w:val="1"/>
                <w:color w:val="auto"/>
              </w:rPr>
              <w:t>Within</w:t>
            </w:r>
          </w:p>
        </w:tc>
        <w:tc>
          <w:tcPr>
            <w:tcW w:w="88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i w:val="1"/>
                <w:iCs w:val="1"/>
                <w:color w:val="auto"/>
              </w:rPr>
              <w:t>More than</w:t>
            </w:r>
          </w:p>
        </w:tc>
        <w:tc>
          <w:tcPr>
            <w:tcW w:w="6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i w:val="1"/>
                <w:iCs w:val="1"/>
                <w:color w:val="auto"/>
              </w:rPr>
              <w:t>More than</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480" w:type="dxa"/>
            <w:vAlign w:val="bottom"/>
          </w:tcPr>
          <w:p>
            <w:pPr>
              <w:spacing w:after="0"/>
              <w:rPr>
                <w:sz w:val="12"/>
                <w:szCs w:val="12"/>
                <w:color w:val="auto"/>
              </w:rPr>
            </w:pPr>
          </w:p>
        </w:tc>
        <w:tc>
          <w:tcPr>
            <w:tcW w:w="92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i w:val="1"/>
                <w:iCs w:val="1"/>
                <w:color w:val="auto"/>
              </w:rPr>
              <w:t>Carrying</w:t>
            </w: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i w:val="1"/>
                <w:iCs w:val="1"/>
                <w:color w:val="auto"/>
              </w:rPr>
              <w:t>contractual</w:t>
            </w:r>
          </w:p>
        </w:tc>
        <w:tc>
          <w:tcPr>
            <w:tcW w:w="940" w:type="dxa"/>
            <w:vAlign w:val="bottom"/>
            <w:gridSpan w:val="2"/>
            <w:vMerge w:val="continue"/>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i w:val="1"/>
                <w:iCs w:val="1"/>
                <w:color w:val="auto"/>
              </w:rPr>
              <w:t>1 year but</w:t>
            </w:r>
          </w:p>
        </w:tc>
        <w:tc>
          <w:tcPr>
            <w:tcW w:w="7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i w:val="1"/>
                <w:iCs w:val="1"/>
                <w:color w:val="auto"/>
              </w:rPr>
              <w:t>2 years but</w:t>
            </w:r>
          </w:p>
        </w:tc>
        <w:tc>
          <w:tcPr>
            <w:tcW w:w="0" w:type="dxa"/>
            <w:vAlign w:val="bottom"/>
          </w:tcPr>
          <w:p>
            <w:pPr>
              <w:spacing w:after="0"/>
              <w:rPr>
                <w:sz w:val="1"/>
                <w:szCs w:val="1"/>
                <w:color w:val="auto"/>
              </w:rPr>
            </w:pPr>
          </w:p>
        </w:tc>
      </w:tr>
      <w:tr>
        <w:trPr>
          <w:trHeight w:val="148"/>
        </w:trPr>
        <w:tc>
          <w:tcPr>
            <w:tcW w:w="648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i w:val="1"/>
                <w:iCs w:val="1"/>
                <w:color w:val="auto"/>
              </w:rPr>
              <w:t>undiscounted</w:t>
            </w:r>
          </w:p>
        </w:tc>
        <w:tc>
          <w:tcPr>
            <w:tcW w:w="9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i w:val="1"/>
                <w:iCs w:val="1"/>
                <w:color w:val="auto"/>
              </w:rPr>
              <w:t>1 year or</w:t>
            </w:r>
          </w:p>
        </w:tc>
        <w:tc>
          <w:tcPr>
            <w:tcW w:w="8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i w:val="1"/>
                <w:iCs w:val="1"/>
                <w:color w:val="auto"/>
              </w:rPr>
              <w:t>within</w:t>
            </w:r>
          </w:p>
        </w:tc>
        <w:tc>
          <w:tcPr>
            <w:tcW w:w="7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i w:val="1"/>
                <w:iCs w:val="1"/>
                <w:color w:val="auto"/>
              </w:rPr>
              <w:t>within</w:t>
            </w:r>
          </w:p>
        </w:tc>
        <w:tc>
          <w:tcPr>
            <w:tcW w:w="0" w:type="dxa"/>
            <w:vAlign w:val="bottom"/>
          </w:tcPr>
          <w:p>
            <w:pPr>
              <w:spacing w:after="0"/>
              <w:rPr>
                <w:sz w:val="1"/>
                <w:szCs w:val="1"/>
                <w:color w:val="auto"/>
              </w:rPr>
            </w:pPr>
          </w:p>
        </w:tc>
      </w:tr>
      <w:tr>
        <w:trPr>
          <w:trHeight w:val="173"/>
        </w:trPr>
        <w:tc>
          <w:tcPr>
            <w:tcW w:w="6480" w:type="dxa"/>
            <w:vAlign w:val="bottom"/>
          </w:tcPr>
          <w:p>
            <w:pPr>
              <w:spacing w:after="0"/>
              <w:rPr>
                <w:sz w:val="15"/>
                <w:szCs w:val="15"/>
                <w:color w:val="auto"/>
              </w:rPr>
            </w:pPr>
          </w:p>
        </w:tc>
        <w:tc>
          <w:tcPr>
            <w:tcW w:w="9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i w:val="1"/>
                <w:iCs w:val="1"/>
                <w:color w:val="auto"/>
                <w:w w:val="99"/>
              </w:rPr>
              <w:t>amount</w:t>
            </w: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i w:val="1"/>
                <w:iCs w:val="1"/>
                <w:color w:val="auto"/>
              </w:rPr>
              <w:t>cash flow</w:t>
            </w: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i w:val="1"/>
                <w:iCs w:val="1"/>
                <w:color w:val="auto"/>
              </w:rPr>
              <w:t>on demand</w:t>
            </w: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i w:val="1"/>
                <w:iCs w:val="1"/>
                <w:color w:val="auto"/>
              </w:rPr>
              <w:t>2 years</w:t>
            </w: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i w:val="1"/>
                <w:iCs w:val="1"/>
                <w:color w:val="auto"/>
              </w:rPr>
              <w:t>5 years</w:t>
            </w:r>
          </w:p>
        </w:tc>
        <w:tc>
          <w:tcPr>
            <w:tcW w:w="0" w:type="dxa"/>
            <w:vAlign w:val="bottom"/>
          </w:tcPr>
          <w:p>
            <w:pPr>
              <w:spacing w:after="0"/>
              <w:rPr>
                <w:sz w:val="1"/>
                <w:szCs w:val="1"/>
                <w:color w:val="auto"/>
              </w:rPr>
            </w:pPr>
          </w:p>
        </w:tc>
      </w:tr>
      <w:tr>
        <w:trPr>
          <w:trHeight w:val="142"/>
        </w:trPr>
        <w:tc>
          <w:tcPr>
            <w:tcW w:w="648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260" w:type="dxa"/>
            <w:vAlign w:val="bottom"/>
            <w:gridSpan w:val="2"/>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26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280" w:type="dxa"/>
            <w:vAlign w:val="bottom"/>
          </w:tcPr>
          <w:p>
            <w:pPr>
              <w:spacing w:after="0"/>
              <w:rPr>
                <w:sz w:val="12"/>
                <w:szCs w:val="12"/>
                <w:color w:val="auto"/>
              </w:rPr>
            </w:pPr>
          </w:p>
        </w:tc>
        <w:tc>
          <w:tcPr>
            <w:tcW w:w="6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26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Put option liabilities</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39,184</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41,580</w:t>
            </w: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41,580</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15,948</w:t>
            </w:r>
          </w:p>
        </w:tc>
        <w:tc>
          <w:tcPr>
            <w:tcW w:w="2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15,948</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15,948</w:t>
            </w:r>
          </w:p>
        </w:tc>
        <w:tc>
          <w:tcPr>
            <w:tcW w:w="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payables, deposits received and accrued expenses</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64,229</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64,229</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64,229</w:t>
            </w:r>
          </w:p>
        </w:tc>
        <w:tc>
          <w:tcPr>
            <w:tcW w:w="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93,833</w:t>
            </w:r>
          </w:p>
        </w:tc>
        <w:tc>
          <w:tcPr>
            <w:tcW w:w="2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100,942</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36,015</w:t>
            </w: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30,208</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34,719</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43,447</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43,447</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43,447</w:t>
            </w:r>
          </w:p>
        </w:tc>
        <w:tc>
          <w:tcPr>
            <w:tcW w:w="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64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Total financial liabilities that are settled by delivering cash or another financial asset</w:t>
            </w:r>
          </w:p>
        </w:tc>
        <w:tc>
          <w:tcPr>
            <w:tcW w:w="6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except for preferred shares and other financial instruments subject to redemption</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other preferential rights</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256,641</w:t>
            </w:r>
          </w:p>
        </w:tc>
        <w:tc>
          <w:tcPr>
            <w:tcW w:w="24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266,146</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159,639</w:t>
            </w: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30,208</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76,299</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The carrying amounts of preferred shares and other financial instruments subject to redemption and other preferential rights were RMB688.4 million and RMB3,790.6 million as of December 31, 2020 and 2021, respectively. These carrying amounts represented the maximum amounts that the Company could be required to pay upon occurrence of specified contingent events. As some of these triggering events, such as change of control of the Company could happen at any time from the end of periods presented, the Group may be required to pay the carrying amounts upon such events. These contingent redemption obligations will automatically expire when the preferred shares are converted into ordinary shares at the closing of a Qualified IPO.</w:t>
      </w:r>
    </w:p>
    <w:p>
      <w:pPr>
        <w:spacing w:after="0" w:line="332" w:lineRule="exact"/>
        <w:rPr>
          <w:sz w:val="20"/>
          <w:szCs w:val="20"/>
          <w:color w:val="auto"/>
        </w:rPr>
      </w:pPr>
    </w:p>
    <w:p>
      <w:pPr>
        <w:ind w:left="540" w:hanging="424"/>
        <w:spacing w:after="0"/>
        <w:tabs>
          <w:tab w:leader="none" w:pos="540" w:val="left"/>
        </w:tabs>
        <w:numPr>
          <w:ilvl w:val="0"/>
          <w:numId w:val="22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left="120" w:right="300"/>
        <w:spacing w:after="0" w:line="261" w:lineRule="auto"/>
        <w:rPr>
          <w:sz w:val="20"/>
          <w:szCs w:val="20"/>
          <w:color w:val="auto"/>
        </w:rPr>
      </w:pPr>
      <w:r>
        <w:rPr>
          <w:rFonts w:ascii="Times New Roman" w:cs="Times New Roman" w:eastAsia="Times New Roman" w:hAnsi="Times New Roman"/>
          <w:sz w:val="18"/>
          <w:szCs w:val="18"/>
          <w:color w:val="auto"/>
        </w:rPr>
        <w:t>Interest-bearing financial instruments at variable rates and at fixed rates expose the Group to cash flow interest rate risk and fair value interest risk, respectively. The Group determines the appropriate weightings of the fixed and floating rate interest-bearing instruments based on the current market conditions and performs regular reviews and monitoring to achieve an appropriate mix of fixed and floating rate exposure. The Group does not enter into financial derivatives to hedge interest rate risk.</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details the interest rate profile of the Group’s financial assets and liabilities as of the end of each period presented.</w:t>
      </w:r>
    </w:p>
    <w:p>
      <w:pPr>
        <w:spacing w:after="0" w:line="374"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color w:val="auto"/>
        </w:rPr>
        <w:t>(i)</w:t>
        <w:tab/>
        <w:t>Interest rate risk profile</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37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3"/>
          </w:tcPr>
          <w:p>
            <w:pPr>
              <w:jc w:val="right"/>
              <w:ind w:right="595"/>
              <w:spacing w:after="0"/>
              <w:rPr>
                <w:sz w:val="20"/>
                <w:szCs w:val="20"/>
                <w:color w:val="auto"/>
              </w:rPr>
            </w:pPr>
            <w:r>
              <w:rPr>
                <w:rFonts w:ascii="Times New Roman" w:cs="Times New Roman" w:eastAsia="Times New Roman" w:hAnsi="Times New Roman"/>
                <w:sz w:val="14"/>
                <w:szCs w:val="14"/>
                <w:i w:val="1"/>
                <w:iCs w:val="1"/>
                <w:color w:val="auto"/>
              </w:rPr>
              <w:t>As of December 31,</w:t>
            </w: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37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38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2020</w:t>
            </w: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20" w:type="dxa"/>
            <w:vAlign w:val="bottom"/>
            <w:gridSpan w:val="2"/>
          </w:tcPr>
          <w:p>
            <w:pPr>
              <w:jc w:val="right"/>
              <w:ind w:right="839"/>
              <w:spacing w:after="0" w:line="133" w:lineRule="exact"/>
              <w:rPr>
                <w:sz w:val="20"/>
                <w:szCs w:val="20"/>
                <w:color w:val="auto"/>
              </w:rPr>
            </w:pPr>
            <w:r>
              <w:rPr>
                <w:rFonts w:ascii="Times New Roman" w:cs="Times New Roman" w:eastAsia="Times New Roman" w:hAnsi="Times New Roman"/>
                <w:sz w:val="14"/>
                <w:szCs w:val="14"/>
                <w:color w:val="auto"/>
                <w:w w:val="99"/>
              </w:rPr>
              <w:t>2021</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7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color w:val="auto"/>
              </w:rPr>
              <w:t>interest rates</w:t>
            </w: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ind w:right="15"/>
              <w:spacing w:after="0"/>
              <w:rPr>
                <w:sz w:val="20"/>
                <w:szCs w:val="20"/>
                <w:color w:val="auto"/>
              </w:rPr>
            </w:pPr>
            <w:r>
              <w:rPr>
                <w:rFonts w:ascii="Times New Roman" w:cs="Times New Roman" w:eastAsia="Times New Roman" w:hAnsi="Times New Roman"/>
                <w:sz w:val="14"/>
                <w:szCs w:val="14"/>
                <w:color w:val="auto"/>
              </w:rPr>
              <w:t>interest rates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80" w:type="dxa"/>
            <w:vAlign w:val="bottom"/>
            <w:tcBorders>
              <w:top w:val="single" w:sz="8" w:color="auto"/>
            </w:tcBorders>
          </w:tcPr>
          <w:p>
            <w:pPr>
              <w:jc w:val="right"/>
              <w:ind w:right="5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820" w:type="dxa"/>
            <w:vAlign w:val="bottom"/>
            <w:tcBorders>
              <w:top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320" w:type="dxa"/>
            <w:vAlign w:val="bottom"/>
          </w:tcPr>
          <w:p>
            <w:pPr>
              <w:spacing w:after="0"/>
              <w:rPr>
                <w:sz w:val="12"/>
                <w:szCs w:val="12"/>
                <w:color w:val="auto"/>
              </w:rPr>
            </w:pPr>
          </w:p>
        </w:tc>
        <w:tc>
          <w:tcPr>
            <w:tcW w:w="920" w:type="dxa"/>
            <w:vAlign w:val="bottom"/>
            <w:tcBorders>
              <w:top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960" w:type="dxa"/>
            <w:vAlign w:val="bottom"/>
            <w:tcBorders>
              <w:top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Fix rate instruments:</w:t>
            </w:r>
          </w:p>
        </w:tc>
        <w:tc>
          <w:tcPr>
            <w:tcW w:w="1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9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0%~2.025%</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212,622</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3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2,725,568</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 current</w:t>
            </w:r>
          </w:p>
        </w:tc>
        <w:tc>
          <w:tcPr>
            <w:tcW w:w="29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0.01%~2.025%</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48,105</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3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3,009</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 non-current</w:t>
            </w:r>
          </w:p>
        </w:tc>
        <w:tc>
          <w:tcPr>
            <w:tcW w:w="29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0.01%</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12,084</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3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10,074</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and borrowings</w:t>
            </w:r>
          </w:p>
        </w:tc>
        <w:tc>
          <w:tcPr>
            <w:tcW w:w="29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1.00%~8.00%</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(104,478)</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29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4.4%</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(64,967)</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(93,833)</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103,366</w:t>
            </w:r>
          </w:p>
        </w:tc>
        <w:tc>
          <w:tcPr>
            <w:tcW w:w="9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2,644,818</w:t>
            </w:r>
          </w:p>
        </w:tc>
        <w:tc>
          <w:tcPr>
            <w:tcW w:w="0" w:type="dxa"/>
            <w:vAlign w:val="bottom"/>
          </w:tcPr>
          <w:p>
            <w:pPr>
              <w:spacing w:after="0"/>
              <w:rPr>
                <w:sz w:val="1"/>
                <w:szCs w:val="1"/>
                <w:color w:val="auto"/>
              </w:rPr>
            </w:pPr>
          </w:p>
        </w:tc>
      </w:tr>
      <w:tr>
        <w:trPr>
          <w:trHeight w:val="20"/>
        </w:trPr>
        <w:tc>
          <w:tcPr>
            <w:tcW w:w="3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Variable rate instruments:</w:t>
            </w:r>
          </w:p>
        </w:tc>
        <w:tc>
          <w:tcPr>
            <w:tcW w:w="1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60" w:type="dxa"/>
            <w:vAlign w:val="bottom"/>
            <w:vMerge w:val="continue"/>
          </w:tcPr>
          <w:p>
            <w:pPr>
              <w:spacing w:after="0"/>
              <w:rPr>
                <w:sz w:val="18"/>
                <w:szCs w:val="18"/>
                <w:color w:val="auto"/>
              </w:rPr>
            </w:pPr>
          </w:p>
        </w:tc>
        <w:tc>
          <w:tcPr>
            <w:tcW w:w="1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 measured at FVTPL</w:t>
            </w:r>
          </w:p>
        </w:tc>
        <w:tc>
          <w:tcPr>
            <w:tcW w:w="1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607,962</w:t>
            </w:r>
          </w:p>
        </w:tc>
        <w:tc>
          <w:tcPr>
            <w:tcW w:w="9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53,868</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940" w:type="dxa"/>
            <w:vAlign w:val="bottom"/>
            <w:gridSpan w:val="3"/>
            <w:vMerge w:val="restart"/>
          </w:tcPr>
          <w:p>
            <w:pPr>
              <w:jc w:val="right"/>
              <w:ind w:right="1460"/>
              <w:spacing w:after="0"/>
              <w:rPr>
                <w:sz w:val="20"/>
                <w:szCs w:val="20"/>
                <w:color w:val="auto"/>
              </w:rPr>
            </w:pPr>
            <w:r>
              <w:rPr>
                <w:rFonts w:ascii="Times New Roman" w:cs="Times New Roman" w:eastAsia="Times New Roman" w:hAnsi="Times New Roman"/>
                <w:sz w:val="18"/>
                <w:szCs w:val="18"/>
                <w:color w:val="auto"/>
              </w:rPr>
              <w:t>F-61</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760" w:type="dxa"/>
            <w:vAlign w:val="bottom"/>
          </w:tcPr>
          <w:p>
            <w:pPr>
              <w:spacing w:after="0"/>
              <w:rPr>
                <w:sz w:val="24"/>
                <w:szCs w:val="24"/>
                <w:color w:val="auto"/>
              </w:rPr>
            </w:pPr>
          </w:p>
        </w:tc>
        <w:tc>
          <w:tcPr>
            <w:tcW w:w="2940" w:type="dxa"/>
            <w:vAlign w:val="bottom"/>
            <w:gridSpan w:val="3"/>
            <w:vMerge w:val="continue"/>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314" w:name="page315"/>
    <w:bookmarkEnd w:id="3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tabs>
          <w:tab w:leader="none" w:pos="54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Sensitivity analysis</w:t>
      </w:r>
    </w:p>
    <w:p>
      <w:pPr>
        <w:spacing w:after="0" w:line="117" w:lineRule="exact"/>
        <w:rPr>
          <w:sz w:val="20"/>
          <w:szCs w:val="20"/>
          <w:color w:val="auto"/>
        </w:rPr>
      </w:pPr>
    </w:p>
    <w:p>
      <w:pPr>
        <w:ind w:left="120" w:right="60"/>
        <w:spacing w:after="0" w:line="312" w:lineRule="auto"/>
        <w:rPr>
          <w:sz w:val="20"/>
          <w:szCs w:val="20"/>
          <w:color w:val="auto"/>
        </w:rPr>
      </w:pPr>
      <w:r>
        <w:rPr>
          <w:rFonts w:ascii="Times New Roman" w:cs="Times New Roman" w:eastAsia="Times New Roman" w:hAnsi="Times New Roman"/>
          <w:sz w:val="17"/>
          <w:szCs w:val="17"/>
          <w:color w:val="auto"/>
        </w:rPr>
        <w:t>As of 31 December 2020 and 2021, it is estimated that a general increase/decrease of 100 basis points in interest rates, with all other variables held constant, would have decreased/increased the Group’s loss for the year and accumulated losses by approximately RMB6.1million and RMB0.5 million.</w:t>
      </w:r>
    </w:p>
    <w:p>
      <w:pPr>
        <w:spacing w:after="0" w:line="14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sensitivity analysis above indicates the instantaneous change in the Group’s loss for the year and accumulated losses that would arise assuming that the change in interest rates had occurred at the end of the periods presented and had been applied to re-measure those financial instruments held by the Group which expose the Group to fair value interest rate risk at the end of the periods presented. In respect of the exposure to cash flow interest rate risk arising from floating rate non-derivative instruments held by the Group at the end of the periods presented, the impact on the Group’s loss for the year and accumulated losses is estimated as an annualised impact on interest expense or income of such a change in interest rates.</w:t>
      </w:r>
    </w:p>
    <w:p>
      <w:pPr>
        <w:spacing w:after="0" w:line="328" w:lineRule="exact"/>
        <w:rPr>
          <w:sz w:val="20"/>
          <w:szCs w:val="20"/>
          <w:color w:val="auto"/>
        </w:rPr>
      </w:pPr>
    </w:p>
    <w:p>
      <w:pPr>
        <w:ind w:left="540" w:hanging="424"/>
        <w:spacing w:after="0"/>
        <w:tabs>
          <w:tab w:leader="none" w:pos="540" w:val="left"/>
        </w:tabs>
        <w:numPr>
          <w:ilvl w:val="0"/>
          <w:numId w:val="22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Foreign currency risk</w:t>
      </w:r>
    </w:p>
    <w:p>
      <w:pPr>
        <w:spacing w:after="0" w:line="121"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The Group is exposed to currency risk primarily through sales and purchases which give rise to receivables, payables and cash balances that are denominated in a foreign currency, i.e. a currency other than the functional currency of the operations to which the transactions relate. The currencies giving rise to this risk are primarily United States dollars (“USD”). The Group manages this risk as follows:</w:t>
      </w:r>
    </w:p>
    <w:p>
      <w:pPr>
        <w:spacing w:after="0" w:line="324" w:lineRule="exact"/>
        <w:rPr>
          <w:sz w:val="20"/>
          <w:szCs w:val="20"/>
          <w:color w:val="auto"/>
        </w:rPr>
      </w:pPr>
    </w:p>
    <w:p>
      <w:pPr>
        <w:ind w:left="540" w:hanging="424"/>
        <w:spacing w:after="0"/>
        <w:tabs>
          <w:tab w:leader="none" w:pos="54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currency risk</w:t>
      </w:r>
    </w:p>
    <w:p>
      <w:pPr>
        <w:spacing w:after="0" w:line="117"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following table details the Group’s exposure at the end of the periods presented to currency risk arising from recognized assets or liabilities denominated in a currency other than the functional currency of the entity to which they relate. For presentation purposes, the amounts of the exposure are shown in RMB, translated using the spot rate at the year-end date. Differences resulting from the translation of the financial statements of foreign operations into the Group’s presentation currency are excluded.</w:t>
      </w:r>
    </w:p>
    <w:p>
      <w:pPr>
        <w:spacing w:after="0" w:line="202"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254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color w:val="auto"/>
              </w:rPr>
              <w:t>Exposure to foreign currencies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2420" w:type="dxa"/>
            <w:vAlign w:val="bottom"/>
            <w:tcBorders>
              <w:top w:val="single" w:sz="8" w:color="auto"/>
              <w:bottom w:val="single" w:sz="8" w:color="auto"/>
            </w:tcBorders>
            <w:gridSpan w:val="3"/>
          </w:tcPr>
          <w:p>
            <w:pPr>
              <w:jc w:val="right"/>
              <w:ind w:right="560"/>
              <w:spacing w:after="0" w:line="142" w:lineRule="exact"/>
              <w:rPr>
                <w:sz w:val="20"/>
                <w:szCs w:val="20"/>
                <w:color w:val="auto"/>
              </w:rPr>
            </w:pPr>
            <w:r>
              <w:rPr>
                <w:rFonts w:ascii="Times New Roman" w:cs="Times New Roman" w:eastAsia="Times New Roman" w:hAnsi="Times New Roman"/>
                <w:sz w:val="14"/>
                <w:szCs w:val="14"/>
                <w:i w:val="1"/>
                <w:iCs w:val="1"/>
                <w:color w:val="auto"/>
              </w:rPr>
              <w:t>As of December 31,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700" w:type="dxa"/>
            <w:vAlign w:val="bottom"/>
          </w:tcPr>
          <w:p>
            <w:pPr>
              <w:spacing w:after="0"/>
              <w:rPr>
                <w:sz w:val="10"/>
                <w:szCs w:val="10"/>
                <w:color w:val="auto"/>
              </w:rPr>
            </w:pPr>
          </w:p>
        </w:tc>
        <w:tc>
          <w:tcPr>
            <w:tcW w:w="1540" w:type="dxa"/>
            <w:vAlign w:val="bottom"/>
            <w:gridSpan w:val="2"/>
          </w:tcPr>
          <w:p>
            <w:pPr>
              <w:jc w:val="right"/>
              <w:ind w:right="960"/>
              <w:spacing w:after="0" w:line="118" w:lineRule="exact"/>
              <w:rPr>
                <w:sz w:val="20"/>
                <w:szCs w:val="20"/>
                <w:color w:val="auto"/>
              </w:rPr>
            </w:pPr>
            <w:r>
              <w:rPr>
                <w:rFonts w:ascii="Times New Roman" w:cs="Times New Roman" w:eastAsia="Times New Roman" w:hAnsi="Times New Roman"/>
                <w:sz w:val="13"/>
                <w:szCs w:val="13"/>
                <w:color w:val="auto"/>
              </w:rPr>
              <w:t>USD</w:t>
            </w:r>
          </w:p>
        </w:tc>
        <w:tc>
          <w:tcPr>
            <w:tcW w:w="880" w:type="dxa"/>
            <w:vAlign w:val="bottom"/>
          </w:tcPr>
          <w:p>
            <w:pPr>
              <w:jc w:val="right"/>
              <w:ind w:right="220"/>
              <w:spacing w:after="0" w:line="118" w:lineRule="exact"/>
              <w:rPr>
                <w:sz w:val="20"/>
                <w:szCs w:val="20"/>
                <w:color w:val="auto"/>
              </w:rPr>
            </w:pPr>
            <w:r>
              <w:rPr>
                <w:rFonts w:ascii="Times New Roman" w:cs="Times New Roman" w:eastAsia="Times New Roman" w:hAnsi="Times New Roman"/>
                <w:sz w:val="13"/>
                <w:szCs w:val="13"/>
                <w:color w:val="auto"/>
              </w:rPr>
              <w:t>USD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700" w:type="dxa"/>
            <w:vAlign w:val="bottom"/>
          </w:tcPr>
          <w:p>
            <w:pPr>
              <w:spacing w:after="0"/>
              <w:rPr>
                <w:sz w:val="13"/>
                <w:szCs w:val="13"/>
                <w:color w:val="auto"/>
              </w:rPr>
            </w:pPr>
          </w:p>
        </w:tc>
        <w:tc>
          <w:tcPr>
            <w:tcW w:w="880" w:type="dxa"/>
            <w:vAlign w:val="bottom"/>
          </w:tcPr>
          <w:p>
            <w:pPr>
              <w:jc w:val="right"/>
              <w:ind w:right="222"/>
              <w:spacing w:after="0" w:line="151" w:lineRule="exact"/>
              <w:rPr>
                <w:sz w:val="20"/>
                <w:szCs w:val="20"/>
                <w:color w:val="auto"/>
              </w:rPr>
            </w:pPr>
            <w:r>
              <w:rPr>
                <w:rFonts w:ascii="Times New Roman" w:cs="Times New Roman" w:eastAsia="Times New Roman" w:hAnsi="Times New Roman"/>
                <w:sz w:val="14"/>
                <w:szCs w:val="14"/>
                <w:i w:val="1"/>
                <w:iCs w:val="1"/>
                <w:color w:val="auto"/>
              </w:rPr>
              <w:t>2020</w:t>
            </w:r>
          </w:p>
        </w:tc>
        <w:tc>
          <w:tcPr>
            <w:tcW w:w="660" w:type="dxa"/>
            <w:vAlign w:val="bottom"/>
          </w:tcPr>
          <w:p>
            <w:pPr>
              <w:spacing w:after="0"/>
              <w:rPr>
                <w:sz w:val="13"/>
                <w:szCs w:val="13"/>
                <w:color w:val="auto"/>
              </w:rPr>
            </w:pPr>
          </w:p>
        </w:tc>
        <w:tc>
          <w:tcPr>
            <w:tcW w:w="880" w:type="dxa"/>
            <w:vAlign w:val="bottom"/>
          </w:tcPr>
          <w:p>
            <w:pPr>
              <w:jc w:val="right"/>
              <w:ind w:right="220"/>
              <w:spacing w:after="0" w:line="151" w:lineRule="exact"/>
              <w:rPr>
                <w:sz w:val="20"/>
                <w:szCs w:val="20"/>
                <w:color w:val="auto"/>
              </w:rPr>
            </w:pPr>
            <w:r>
              <w:rPr>
                <w:rFonts w:ascii="Times New Roman" w:cs="Times New Roman" w:eastAsia="Times New Roman" w:hAnsi="Times New Roman"/>
                <w:sz w:val="14"/>
                <w:szCs w:val="14"/>
                <w:i w:val="1"/>
                <w:iCs w:val="1"/>
                <w:color w:val="auto"/>
              </w:rPr>
              <w:t>2021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54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color w:val="auto"/>
              </w:rPr>
              <w:t>RMB’000</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RMB’000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429,986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15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(150,857)</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(127,799)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exposure arising from recognized assets and liabilities</w:t>
            </w:r>
          </w:p>
        </w:tc>
        <w:tc>
          <w:tcPr>
            <w:tcW w:w="15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(150,856)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540" w:hanging="424"/>
        <w:spacing w:after="0"/>
        <w:tabs>
          <w:tab w:leader="none" w:pos="54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Sensitivity analysis</w:t>
      </w:r>
    </w:p>
    <w:p>
      <w:pPr>
        <w:spacing w:after="0" w:line="117"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The following table indicates the instantaneous change in the Group’s loss for the year and cumulative losses that would arise if foreign exchange rates to which the Group has significant exposure at the end of each period presented had changed at that date, assuming all other risk variables remained constant.</w:t>
      </w:r>
    </w:p>
    <w:p>
      <w:pPr>
        <w:spacing w:after="0" w:line="19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720" w:type="dxa"/>
            <w:vAlign w:val="bottom"/>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4100" w:type="dxa"/>
            <w:vAlign w:val="bottom"/>
            <w:tcBorders>
              <w:bottom w:val="single" w:sz="8" w:color="auto"/>
            </w:tcBorders>
            <w:gridSpan w:val="2"/>
          </w:tcPr>
          <w:p>
            <w:pPr>
              <w:jc w:val="right"/>
              <w:ind w:right="1181"/>
              <w:spacing w:after="0"/>
              <w:rPr>
                <w:sz w:val="20"/>
                <w:szCs w:val="20"/>
                <w:color w:val="auto"/>
              </w:rPr>
            </w:pPr>
            <w:r>
              <w:rPr>
                <w:rFonts w:ascii="Times New Roman" w:cs="Times New Roman" w:eastAsia="Times New Roman" w:hAnsi="Times New Roman"/>
                <w:sz w:val="14"/>
                <w:szCs w:val="14"/>
                <w:i w:val="1"/>
                <w:iCs w:val="1"/>
                <w:color w:val="auto"/>
              </w:rPr>
              <w:t>As of December 31,</w:t>
            </w:r>
          </w:p>
        </w:tc>
        <w:tc>
          <w:tcPr>
            <w:tcW w:w="1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7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280" w:type="dxa"/>
            <w:vAlign w:val="bottom"/>
          </w:tcPr>
          <w:p>
            <w:pPr>
              <w:jc w:val="right"/>
              <w:ind w:right="1844"/>
              <w:spacing w:after="0" w:line="119" w:lineRule="exact"/>
              <w:rPr>
                <w:sz w:val="20"/>
                <w:szCs w:val="20"/>
                <w:color w:val="auto"/>
              </w:rPr>
            </w:pPr>
            <w:r>
              <w:rPr>
                <w:rFonts w:ascii="Times New Roman" w:cs="Times New Roman" w:eastAsia="Times New Roman" w:hAnsi="Times New Roman"/>
                <w:sz w:val="13"/>
                <w:szCs w:val="13"/>
                <w:color w:val="auto"/>
              </w:rPr>
              <w:t>2020</w:t>
            </w:r>
          </w:p>
        </w:tc>
        <w:tc>
          <w:tcPr>
            <w:tcW w:w="1820" w:type="dxa"/>
            <w:vAlign w:val="bottom"/>
          </w:tcPr>
          <w:p>
            <w:pPr>
              <w:spacing w:after="0"/>
              <w:rPr>
                <w:sz w:val="10"/>
                <w:szCs w:val="10"/>
                <w:color w:val="auto"/>
              </w:rPr>
            </w:pPr>
          </w:p>
        </w:tc>
        <w:tc>
          <w:tcPr>
            <w:tcW w:w="1820" w:type="dxa"/>
            <w:vAlign w:val="bottom"/>
          </w:tcPr>
          <w:p>
            <w:pPr>
              <w:jc w:val="right"/>
              <w:ind w:right="1405"/>
              <w:spacing w:after="0" w:line="119" w:lineRule="exact"/>
              <w:rPr>
                <w:sz w:val="20"/>
                <w:szCs w:val="20"/>
                <w:color w:val="auto"/>
              </w:rPr>
            </w:pPr>
            <w:r>
              <w:rPr>
                <w:rFonts w:ascii="Times New Roman" w:cs="Times New Roman" w:eastAsia="Times New Roman" w:hAnsi="Times New Roman"/>
                <w:sz w:val="13"/>
                <w:szCs w:val="13"/>
                <w:color w:val="auto"/>
              </w:rPr>
              <w:t>2021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280" w:type="dxa"/>
            <w:vAlign w:val="bottom"/>
          </w:tcPr>
          <w:p>
            <w:pPr>
              <w:jc w:val="center"/>
              <w:ind w:left="144"/>
              <w:spacing w:after="0" w:line="149" w:lineRule="exact"/>
              <w:rPr>
                <w:sz w:val="20"/>
                <w:szCs w:val="20"/>
                <w:color w:val="auto"/>
              </w:rPr>
            </w:pPr>
            <w:r>
              <w:rPr>
                <w:rFonts w:ascii="Times New Roman" w:cs="Times New Roman" w:eastAsia="Times New Roman" w:hAnsi="Times New Roman"/>
                <w:sz w:val="14"/>
                <w:szCs w:val="14"/>
                <w:color w:val="auto"/>
              </w:rPr>
              <w:t>(Increase)/decrease</w:t>
            </w:r>
          </w:p>
        </w:tc>
        <w:tc>
          <w:tcPr>
            <w:tcW w:w="1820" w:type="dxa"/>
            <w:vAlign w:val="bottom"/>
          </w:tcPr>
          <w:p>
            <w:pPr>
              <w:spacing w:after="0"/>
              <w:rPr>
                <w:sz w:val="12"/>
                <w:szCs w:val="12"/>
                <w:color w:val="auto"/>
              </w:rPr>
            </w:pPr>
          </w:p>
        </w:tc>
        <w:tc>
          <w:tcPr>
            <w:tcW w:w="1920" w:type="dxa"/>
            <w:vAlign w:val="bottom"/>
            <w:gridSpan w:val="2"/>
          </w:tcPr>
          <w:p>
            <w:pPr>
              <w:jc w:val="center"/>
              <w:ind w:left="505"/>
              <w:spacing w:after="0" w:line="149" w:lineRule="exact"/>
              <w:rPr>
                <w:sz w:val="20"/>
                <w:szCs w:val="20"/>
                <w:color w:val="auto"/>
              </w:rPr>
            </w:pPr>
            <w:r>
              <w:rPr>
                <w:rFonts w:ascii="Times New Roman" w:cs="Times New Roman" w:eastAsia="Times New Roman" w:hAnsi="Times New Roman"/>
                <w:sz w:val="14"/>
                <w:szCs w:val="14"/>
                <w:color w:val="auto"/>
              </w:rPr>
              <w:t>Decrease/(increase)</w:t>
            </w:r>
          </w:p>
        </w:tc>
        <w:tc>
          <w:tcPr>
            <w:tcW w:w="0" w:type="dxa"/>
            <w:vAlign w:val="bottom"/>
          </w:tcPr>
          <w:p>
            <w:pPr>
              <w:spacing w:after="0"/>
              <w:rPr>
                <w:sz w:val="1"/>
                <w:szCs w:val="1"/>
                <w:color w:val="auto"/>
              </w:rPr>
            </w:pPr>
          </w:p>
        </w:tc>
      </w:tr>
      <w:tr>
        <w:trPr>
          <w:trHeight w:val="148"/>
        </w:trPr>
        <w:tc>
          <w:tcPr>
            <w:tcW w:w="2720" w:type="dxa"/>
            <w:vAlign w:val="bottom"/>
          </w:tcPr>
          <w:p>
            <w:pPr>
              <w:spacing w:after="0"/>
              <w:rPr>
                <w:sz w:val="12"/>
                <w:szCs w:val="12"/>
                <w:color w:val="auto"/>
              </w:rPr>
            </w:pPr>
          </w:p>
        </w:tc>
        <w:tc>
          <w:tcPr>
            <w:tcW w:w="1380" w:type="dxa"/>
            <w:vAlign w:val="bottom"/>
            <w:vMerge w:val="restart"/>
          </w:tcPr>
          <w:p>
            <w:pPr>
              <w:jc w:val="center"/>
              <w:ind w:right="181"/>
              <w:spacing w:after="0"/>
              <w:rPr>
                <w:sz w:val="20"/>
                <w:szCs w:val="20"/>
                <w:color w:val="auto"/>
              </w:rPr>
            </w:pPr>
            <w:r>
              <w:rPr>
                <w:rFonts w:ascii="Times New Roman" w:cs="Times New Roman" w:eastAsia="Times New Roman" w:hAnsi="Times New Roman"/>
                <w:sz w:val="14"/>
                <w:szCs w:val="14"/>
                <w:color w:val="auto"/>
              </w:rPr>
              <w:t>Increase/(decrease)</w:t>
            </w:r>
          </w:p>
        </w:tc>
        <w:tc>
          <w:tcPr>
            <w:tcW w:w="2280" w:type="dxa"/>
            <w:vAlign w:val="bottom"/>
          </w:tcPr>
          <w:p>
            <w:pPr>
              <w:jc w:val="center"/>
              <w:ind w:left="144"/>
              <w:spacing w:after="0" w:line="149" w:lineRule="exact"/>
              <w:rPr>
                <w:sz w:val="20"/>
                <w:szCs w:val="20"/>
                <w:color w:val="auto"/>
              </w:rPr>
            </w:pPr>
            <w:r>
              <w:rPr>
                <w:rFonts w:ascii="Times New Roman" w:cs="Times New Roman" w:eastAsia="Times New Roman" w:hAnsi="Times New Roman"/>
                <w:sz w:val="14"/>
                <w:szCs w:val="14"/>
                <w:color w:val="auto"/>
              </w:rPr>
              <w:t>on loss for the</w:t>
            </w:r>
          </w:p>
        </w:tc>
        <w:tc>
          <w:tcPr>
            <w:tcW w:w="1820" w:type="dxa"/>
            <w:vAlign w:val="bottom"/>
            <w:vMerge w:val="restart"/>
          </w:tcPr>
          <w:p>
            <w:pPr>
              <w:jc w:val="center"/>
              <w:ind w:left="41"/>
              <w:spacing w:after="0"/>
              <w:rPr>
                <w:sz w:val="20"/>
                <w:szCs w:val="20"/>
                <w:color w:val="auto"/>
              </w:rPr>
            </w:pPr>
            <w:r>
              <w:rPr>
                <w:rFonts w:ascii="Times New Roman" w:cs="Times New Roman" w:eastAsia="Times New Roman" w:hAnsi="Times New Roman"/>
                <w:sz w:val="14"/>
                <w:szCs w:val="14"/>
                <w:color w:val="auto"/>
              </w:rPr>
              <w:t>Increase/(decrease)</w:t>
            </w:r>
          </w:p>
        </w:tc>
        <w:tc>
          <w:tcPr>
            <w:tcW w:w="1920" w:type="dxa"/>
            <w:vAlign w:val="bottom"/>
            <w:gridSpan w:val="2"/>
          </w:tcPr>
          <w:p>
            <w:pPr>
              <w:jc w:val="center"/>
              <w:ind w:left="505"/>
              <w:spacing w:after="0" w:line="149" w:lineRule="exact"/>
              <w:rPr>
                <w:sz w:val="20"/>
                <w:szCs w:val="20"/>
                <w:color w:val="auto"/>
              </w:rPr>
            </w:pPr>
            <w:r>
              <w:rPr>
                <w:rFonts w:ascii="Times New Roman" w:cs="Times New Roman" w:eastAsia="Times New Roman" w:hAnsi="Times New Roman"/>
                <w:sz w:val="14"/>
                <w:szCs w:val="14"/>
                <w:color w:val="auto"/>
              </w:rPr>
              <w:t>on loss for the</w:t>
            </w:r>
          </w:p>
        </w:tc>
        <w:tc>
          <w:tcPr>
            <w:tcW w:w="0" w:type="dxa"/>
            <w:vAlign w:val="bottom"/>
          </w:tcPr>
          <w:p>
            <w:pPr>
              <w:spacing w:after="0"/>
              <w:rPr>
                <w:sz w:val="1"/>
                <w:szCs w:val="1"/>
                <w:color w:val="auto"/>
              </w:rPr>
            </w:pPr>
          </w:p>
        </w:tc>
      </w:tr>
      <w:tr>
        <w:trPr>
          <w:trHeight w:val="148"/>
        </w:trPr>
        <w:tc>
          <w:tcPr>
            <w:tcW w:w="27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2280" w:type="dxa"/>
            <w:vAlign w:val="bottom"/>
          </w:tcPr>
          <w:p>
            <w:pPr>
              <w:jc w:val="center"/>
              <w:ind w:left="144"/>
              <w:spacing w:after="0" w:line="149" w:lineRule="exact"/>
              <w:rPr>
                <w:sz w:val="20"/>
                <w:szCs w:val="20"/>
                <w:color w:val="auto"/>
              </w:rPr>
            </w:pPr>
            <w:r>
              <w:rPr>
                <w:rFonts w:ascii="Times New Roman" w:cs="Times New Roman" w:eastAsia="Times New Roman" w:hAnsi="Times New Roman"/>
                <w:sz w:val="14"/>
                <w:szCs w:val="14"/>
                <w:color w:val="auto"/>
              </w:rPr>
              <w:t>year and</w:t>
            </w:r>
          </w:p>
        </w:tc>
        <w:tc>
          <w:tcPr>
            <w:tcW w:w="1820" w:type="dxa"/>
            <w:vAlign w:val="bottom"/>
            <w:vMerge w:val="continue"/>
          </w:tcPr>
          <w:p>
            <w:pPr>
              <w:spacing w:after="0"/>
              <w:rPr>
                <w:sz w:val="12"/>
                <w:szCs w:val="12"/>
                <w:color w:val="auto"/>
              </w:rPr>
            </w:pPr>
          </w:p>
        </w:tc>
        <w:tc>
          <w:tcPr>
            <w:tcW w:w="1920" w:type="dxa"/>
            <w:vAlign w:val="bottom"/>
            <w:gridSpan w:val="2"/>
          </w:tcPr>
          <w:p>
            <w:pPr>
              <w:jc w:val="center"/>
              <w:ind w:left="505"/>
              <w:spacing w:after="0" w:line="149" w:lineRule="exact"/>
              <w:rPr>
                <w:sz w:val="20"/>
                <w:szCs w:val="20"/>
                <w:color w:val="auto"/>
              </w:rPr>
            </w:pPr>
            <w:r>
              <w:rPr>
                <w:rFonts w:ascii="Times New Roman" w:cs="Times New Roman" w:eastAsia="Times New Roman" w:hAnsi="Times New Roman"/>
                <w:sz w:val="14"/>
                <w:szCs w:val="14"/>
                <w:color w:val="auto"/>
              </w:rPr>
              <w:t>year and</w:t>
            </w: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1380" w:type="dxa"/>
            <w:vAlign w:val="bottom"/>
          </w:tcPr>
          <w:p>
            <w:pPr>
              <w:jc w:val="center"/>
              <w:ind w:right="181"/>
              <w:spacing w:after="0" w:line="149" w:lineRule="exact"/>
              <w:rPr>
                <w:sz w:val="20"/>
                <w:szCs w:val="20"/>
                <w:color w:val="auto"/>
              </w:rPr>
            </w:pPr>
            <w:r>
              <w:rPr>
                <w:rFonts w:ascii="Times New Roman" w:cs="Times New Roman" w:eastAsia="Times New Roman" w:hAnsi="Times New Roman"/>
                <w:sz w:val="14"/>
                <w:szCs w:val="14"/>
                <w:color w:val="auto"/>
              </w:rPr>
              <w:t>in foreign</w:t>
            </w:r>
          </w:p>
        </w:tc>
        <w:tc>
          <w:tcPr>
            <w:tcW w:w="2280" w:type="dxa"/>
            <w:vAlign w:val="bottom"/>
          </w:tcPr>
          <w:p>
            <w:pPr>
              <w:jc w:val="center"/>
              <w:ind w:left="164"/>
              <w:spacing w:after="0" w:line="149" w:lineRule="exact"/>
              <w:rPr>
                <w:sz w:val="20"/>
                <w:szCs w:val="20"/>
                <w:color w:val="auto"/>
              </w:rPr>
            </w:pPr>
            <w:r>
              <w:rPr>
                <w:rFonts w:ascii="Times New Roman" w:cs="Times New Roman" w:eastAsia="Times New Roman" w:hAnsi="Times New Roman"/>
                <w:sz w:val="14"/>
                <w:szCs w:val="14"/>
                <w:color w:val="auto"/>
              </w:rPr>
              <w:t>accumulated</w:t>
            </w:r>
          </w:p>
        </w:tc>
        <w:tc>
          <w:tcPr>
            <w:tcW w:w="1820" w:type="dxa"/>
            <w:vAlign w:val="bottom"/>
          </w:tcPr>
          <w:p>
            <w:pPr>
              <w:jc w:val="center"/>
              <w:ind w:left="61"/>
              <w:spacing w:after="0" w:line="149" w:lineRule="exact"/>
              <w:rPr>
                <w:sz w:val="20"/>
                <w:szCs w:val="20"/>
                <w:color w:val="auto"/>
              </w:rPr>
            </w:pPr>
            <w:r>
              <w:rPr>
                <w:rFonts w:ascii="Times New Roman" w:cs="Times New Roman" w:eastAsia="Times New Roman" w:hAnsi="Times New Roman"/>
                <w:sz w:val="14"/>
                <w:szCs w:val="14"/>
                <w:color w:val="auto"/>
              </w:rPr>
              <w:t>in foreign</w:t>
            </w:r>
          </w:p>
        </w:tc>
        <w:tc>
          <w:tcPr>
            <w:tcW w:w="1920" w:type="dxa"/>
            <w:vAlign w:val="bottom"/>
            <w:gridSpan w:val="2"/>
          </w:tcPr>
          <w:p>
            <w:pPr>
              <w:jc w:val="center"/>
              <w:ind w:left="485"/>
              <w:spacing w:after="0" w:line="149" w:lineRule="exact"/>
              <w:rPr>
                <w:sz w:val="20"/>
                <w:szCs w:val="20"/>
                <w:color w:val="auto"/>
              </w:rPr>
            </w:pPr>
            <w:r>
              <w:rPr>
                <w:rFonts w:ascii="Times New Roman" w:cs="Times New Roman" w:eastAsia="Times New Roman" w:hAnsi="Times New Roman"/>
                <w:sz w:val="14"/>
                <w:szCs w:val="14"/>
                <w:color w:val="auto"/>
              </w:rPr>
              <w:t>accumulated</w:t>
            </w:r>
          </w:p>
        </w:tc>
        <w:tc>
          <w:tcPr>
            <w:tcW w:w="0" w:type="dxa"/>
            <w:vAlign w:val="bottom"/>
          </w:tcPr>
          <w:p>
            <w:pPr>
              <w:spacing w:after="0"/>
              <w:rPr>
                <w:sz w:val="1"/>
                <w:szCs w:val="1"/>
                <w:color w:val="auto"/>
              </w:rPr>
            </w:pPr>
          </w:p>
        </w:tc>
      </w:tr>
      <w:tr>
        <w:trPr>
          <w:trHeight w:val="148"/>
        </w:trPr>
        <w:tc>
          <w:tcPr>
            <w:tcW w:w="2720" w:type="dxa"/>
            <w:vAlign w:val="bottom"/>
          </w:tcPr>
          <w:p>
            <w:pPr>
              <w:spacing w:after="0"/>
              <w:rPr>
                <w:sz w:val="12"/>
                <w:szCs w:val="12"/>
                <w:color w:val="auto"/>
              </w:rPr>
            </w:pPr>
          </w:p>
        </w:tc>
        <w:tc>
          <w:tcPr>
            <w:tcW w:w="1380" w:type="dxa"/>
            <w:vAlign w:val="bottom"/>
          </w:tcPr>
          <w:p>
            <w:pPr>
              <w:jc w:val="center"/>
              <w:ind w:right="181"/>
              <w:spacing w:after="0" w:line="149" w:lineRule="exact"/>
              <w:rPr>
                <w:sz w:val="20"/>
                <w:szCs w:val="20"/>
                <w:color w:val="auto"/>
              </w:rPr>
            </w:pPr>
            <w:r>
              <w:rPr>
                <w:rFonts w:ascii="Times New Roman" w:cs="Times New Roman" w:eastAsia="Times New Roman" w:hAnsi="Times New Roman"/>
                <w:sz w:val="14"/>
                <w:szCs w:val="14"/>
                <w:color w:val="auto"/>
              </w:rPr>
              <w:t>exchange rates</w:t>
            </w:r>
          </w:p>
        </w:tc>
        <w:tc>
          <w:tcPr>
            <w:tcW w:w="2280" w:type="dxa"/>
            <w:vAlign w:val="bottom"/>
          </w:tcPr>
          <w:p>
            <w:pPr>
              <w:jc w:val="center"/>
              <w:ind w:left="144"/>
              <w:spacing w:after="0" w:line="149" w:lineRule="exact"/>
              <w:rPr>
                <w:sz w:val="20"/>
                <w:szCs w:val="20"/>
                <w:color w:val="auto"/>
              </w:rPr>
            </w:pPr>
            <w:r>
              <w:rPr>
                <w:rFonts w:ascii="Times New Roman" w:cs="Times New Roman" w:eastAsia="Times New Roman" w:hAnsi="Times New Roman"/>
                <w:sz w:val="14"/>
                <w:szCs w:val="14"/>
                <w:color w:val="auto"/>
              </w:rPr>
              <w:t>losses</w:t>
            </w:r>
          </w:p>
        </w:tc>
        <w:tc>
          <w:tcPr>
            <w:tcW w:w="1820" w:type="dxa"/>
            <w:vAlign w:val="bottom"/>
          </w:tcPr>
          <w:p>
            <w:pPr>
              <w:jc w:val="center"/>
              <w:ind w:left="41"/>
              <w:spacing w:after="0" w:line="149" w:lineRule="exact"/>
              <w:rPr>
                <w:sz w:val="20"/>
                <w:szCs w:val="20"/>
                <w:color w:val="auto"/>
              </w:rPr>
            </w:pPr>
            <w:r>
              <w:rPr>
                <w:rFonts w:ascii="Times New Roman" w:cs="Times New Roman" w:eastAsia="Times New Roman" w:hAnsi="Times New Roman"/>
                <w:sz w:val="14"/>
                <w:szCs w:val="14"/>
                <w:color w:val="auto"/>
              </w:rPr>
              <w:t>exchange rates</w:t>
            </w:r>
          </w:p>
        </w:tc>
        <w:tc>
          <w:tcPr>
            <w:tcW w:w="1920" w:type="dxa"/>
            <w:vAlign w:val="bottom"/>
            <w:gridSpan w:val="2"/>
          </w:tcPr>
          <w:p>
            <w:pPr>
              <w:jc w:val="center"/>
              <w:ind w:left="505"/>
              <w:spacing w:after="0" w:line="149" w:lineRule="exact"/>
              <w:rPr>
                <w:sz w:val="20"/>
                <w:szCs w:val="20"/>
                <w:color w:val="auto"/>
              </w:rPr>
            </w:pPr>
            <w:r>
              <w:rPr>
                <w:rFonts w:ascii="Times New Roman" w:cs="Times New Roman" w:eastAsia="Times New Roman" w:hAnsi="Times New Roman"/>
                <w:sz w:val="14"/>
                <w:szCs w:val="14"/>
                <w:color w:val="auto"/>
              </w:rPr>
              <w:t>losses</w:t>
            </w:r>
          </w:p>
        </w:tc>
        <w:tc>
          <w:tcPr>
            <w:tcW w:w="0" w:type="dxa"/>
            <w:vAlign w:val="bottom"/>
          </w:tcPr>
          <w:p>
            <w:pPr>
              <w:spacing w:after="0"/>
              <w:rPr>
                <w:sz w:val="1"/>
                <w:szCs w:val="1"/>
                <w:color w:val="auto"/>
              </w:rPr>
            </w:pPr>
          </w:p>
        </w:tc>
      </w:tr>
      <w:tr>
        <w:trPr>
          <w:trHeight w:val="171"/>
        </w:trPr>
        <w:tc>
          <w:tcPr>
            <w:tcW w:w="27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80" w:type="dxa"/>
            <w:vAlign w:val="bottom"/>
          </w:tcPr>
          <w:p>
            <w:pPr>
              <w:jc w:val="center"/>
              <w:ind w:left="144"/>
              <w:spacing w:after="0"/>
              <w:rPr>
                <w:sz w:val="20"/>
                <w:szCs w:val="20"/>
                <w:color w:val="auto"/>
              </w:rPr>
            </w:pPr>
            <w:r>
              <w:rPr>
                <w:rFonts w:ascii="Times New Roman" w:cs="Times New Roman" w:eastAsia="Times New Roman" w:hAnsi="Times New Roman"/>
                <w:sz w:val="14"/>
                <w:szCs w:val="14"/>
                <w:color w:val="auto"/>
              </w:rPr>
              <w:t>RMB’000</w:t>
            </w:r>
          </w:p>
        </w:tc>
        <w:tc>
          <w:tcPr>
            <w:tcW w:w="1820" w:type="dxa"/>
            <w:vAlign w:val="bottom"/>
          </w:tcPr>
          <w:p>
            <w:pPr>
              <w:spacing w:after="0"/>
              <w:rPr>
                <w:sz w:val="14"/>
                <w:szCs w:val="14"/>
                <w:color w:val="auto"/>
              </w:rPr>
            </w:pPr>
          </w:p>
        </w:tc>
        <w:tc>
          <w:tcPr>
            <w:tcW w:w="1920" w:type="dxa"/>
            <w:vAlign w:val="bottom"/>
            <w:gridSpan w:val="2"/>
          </w:tcPr>
          <w:p>
            <w:pPr>
              <w:jc w:val="center"/>
              <w:ind w:left="505"/>
              <w:spacing w:after="0"/>
              <w:rPr>
                <w:sz w:val="20"/>
                <w:szCs w:val="20"/>
                <w:color w:val="auto"/>
              </w:rPr>
            </w:pPr>
            <w:r>
              <w:rPr>
                <w:rFonts w:ascii="Times New Roman" w:cs="Times New Roman" w:eastAsia="Times New Roman" w:hAnsi="Times New Roman"/>
                <w:sz w:val="14"/>
                <w:szCs w:val="14"/>
                <w:color w:val="auto"/>
              </w:rPr>
              <w:t>RMB’000</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USD</w:t>
            </w:r>
          </w:p>
        </w:tc>
        <w:tc>
          <w:tcPr>
            <w:tcW w:w="13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10%</w:t>
            </w:r>
          </w:p>
        </w:tc>
        <w:tc>
          <w:tcPr>
            <w:tcW w:w="2280" w:type="dxa"/>
            <w:vAlign w:val="bottom"/>
            <w:shd w:val="clear" w:color="auto" w:fill="CCEEFF"/>
          </w:tcPr>
          <w:p>
            <w:pPr>
              <w:jc w:val="right"/>
              <w:ind w:right="324"/>
              <w:spacing w:after="0"/>
              <w:rPr>
                <w:sz w:val="20"/>
                <w:szCs w:val="20"/>
                <w:color w:val="auto"/>
              </w:rPr>
            </w:pPr>
            <w:r>
              <w:rPr>
                <w:rFonts w:ascii="Times New Roman" w:cs="Times New Roman" w:eastAsia="Times New Roman" w:hAnsi="Times New Roman"/>
                <w:sz w:val="18"/>
                <w:szCs w:val="18"/>
                <w:color w:val="auto"/>
              </w:rPr>
              <w:t>(15,086)</w:t>
            </w:r>
          </w:p>
        </w:tc>
        <w:tc>
          <w:tcPr>
            <w:tcW w:w="18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w:t>
            </w:r>
          </w:p>
        </w:tc>
        <w:tc>
          <w:tcPr>
            <w:tcW w:w="1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30,219</w:t>
            </w:r>
          </w:p>
        </w:tc>
        <w:tc>
          <w:tcPr>
            <w:tcW w:w="0" w:type="dxa"/>
            <w:vAlign w:val="bottom"/>
          </w:tcPr>
          <w:p>
            <w:pPr>
              <w:spacing w:after="0"/>
              <w:rPr>
                <w:sz w:val="1"/>
                <w:szCs w:val="1"/>
                <w:color w:val="auto"/>
              </w:rPr>
            </w:pPr>
          </w:p>
        </w:tc>
      </w:tr>
      <w:tr>
        <w:trPr>
          <w:trHeight w:val="234"/>
        </w:trPr>
        <w:tc>
          <w:tcPr>
            <w:tcW w:w="27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80" w:type="dxa"/>
            <w:vAlign w:val="bottom"/>
          </w:tcPr>
          <w:p>
            <w:pPr>
              <w:jc w:val="right"/>
              <w:ind w:right="384"/>
              <w:spacing w:after="0"/>
              <w:rPr>
                <w:sz w:val="20"/>
                <w:szCs w:val="20"/>
                <w:color w:val="auto"/>
              </w:rPr>
            </w:pPr>
            <w:r>
              <w:rPr>
                <w:rFonts w:ascii="Times New Roman" w:cs="Times New Roman" w:eastAsia="Times New Roman" w:hAnsi="Times New Roman"/>
                <w:sz w:val="18"/>
                <w:szCs w:val="18"/>
                <w:color w:val="auto"/>
              </w:rPr>
              <w:t>15,086</w:t>
            </w:r>
          </w:p>
        </w:tc>
        <w:tc>
          <w:tcPr>
            <w:tcW w:w="182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(10%)</w:t>
            </w:r>
          </w:p>
        </w:tc>
        <w:tc>
          <w:tcPr>
            <w:tcW w:w="1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(30,219)</w:t>
            </w:r>
          </w:p>
        </w:tc>
        <w:tc>
          <w:tcPr>
            <w:tcW w:w="0" w:type="dxa"/>
            <w:vAlign w:val="bottom"/>
          </w:tcPr>
          <w:p>
            <w:pPr>
              <w:spacing w:after="0"/>
              <w:rPr>
                <w:sz w:val="1"/>
                <w:szCs w:val="1"/>
                <w:color w:val="auto"/>
              </w:rPr>
            </w:pPr>
          </w:p>
        </w:tc>
      </w:tr>
      <w:tr>
        <w:trPr>
          <w:trHeight w:val="589"/>
        </w:trPr>
        <w:tc>
          <w:tcPr>
            <w:tcW w:w="2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80" w:type="dxa"/>
            <w:vAlign w:val="bottom"/>
          </w:tcPr>
          <w:p>
            <w:pPr>
              <w:jc w:val="right"/>
              <w:ind w:right="1064"/>
              <w:spacing w:after="0"/>
              <w:rPr>
                <w:sz w:val="20"/>
                <w:szCs w:val="20"/>
                <w:color w:val="auto"/>
              </w:rPr>
            </w:pPr>
            <w:r>
              <w:rPr>
                <w:rFonts w:ascii="Times New Roman" w:cs="Times New Roman" w:eastAsia="Times New Roman" w:hAnsi="Times New Roman"/>
                <w:sz w:val="18"/>
                <w:szCs w:val="18"/>
                <w:color w:val="auto"/>
              </w:rPr>
              <w:t>F-62</w:t>
            </w:r>
          </w:p>
        </w:tc>
        <w:tc>
          <w:tcPr>
            <w:tcW w:w="18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315" w:name="page316"/>
    <w:bookmarkEnd w:id="3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60"/>
        <w:spacing w:after="0" w:line="266" w:lineRule="auto"/>
        <w:rPr>
          <w:sz w:val="20"/>
          <w:szCs w:val="20"/>
          <w:color w:val="auto"/>
        </w:rPr>
      </w:pPr>
      <w:r>
        <w:rPr>
          <w:rFonts w:ascii="Times New Roman" w:cs="Times New Roman" w:eastAsia="Times New Roman" w:hAnsi="Times New Roman"/>
          <w:sz w:val="18"/>
          <w:szCs w:val="18"/>
          <w:color w:val="auto"/>
        </w:rPr>
        <w:t>Results of the analysis as presented in the above table represent an aggregation of the instantaneous effects on each of the Group entities’ loss for the year and cumulative losses measured in the respective functional currencies, translated into RMB at the exchange rate ruling at the end of the periods presented for presentation purposes.</w:t>
      </w:r>
    </w:p>
    <w:p>
      <w:pPr>
        <w:spacing w:after="0" w:line="176"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sensitivity analysis assumes that the change in foreign exchange rates had been applied to re-measure those financial instruments held by the Group which expose the Group to foreign currency risk at the end of each period presented, including inter-company payables and receivables within the Group which are denominated in a currency other than the functional currencies of the lender or the borrower. The analysis excludes differences that would result from the translation of the financial statements of foreign operations into the Group’s presentation currency.</w:t>
      </w:r>
    </w:p>
    <w:p>
      <w:pPr>
        <w:spacing w:after="0" w:line="324" w:lineRule="exact"/>
        <w:rPr>
          <w:sz w:val="20"/>
          <w:szCs w:val="20"/>
          <w:color w:val="auto"/>
        </w:rPr>
      </w:pPr>
    </w:p>
    <w:p>
      <w:pPr>
        <w:ind w:left="540" w:hanging="424"/>
        <w:spacing w:after="0"/>
        <w:tabs>
          <w:tab w:leader="none" w:pos="540" w:val="left"/>
        </w:tabs>
        <w:numPr>
          <w:ilvl w:val="0"/>
          <w:numId w:val="22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Fair value measurement</w:t>
      </w:r>
    </w:p>
    <w:p>
      <w:pPr>
        <w:spacing w:after="0" w:line="135" w:lineRule="exact"/>
        <w:rPr>
          <w:sz w:val="20"/>
          <w:szCs w:val="20"/>
          <w:color w:val="auto"/>
        </w:rPr>
      </w:pPr>
    </w:p>
    <w:p>
      <w:pPr>
        <w:ind w:left="120" w:right="6780" w:hanging="4"/>
        <w:spacing w:after="0" w:line="375" w:lineRule="auto"/>
        <w:tabs>
          <w:tab w:leader="none" w:pos="552"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assets and liabilities measured at fair value Fair value hierarchy</w:t>
      </w:r>
    </w:p>
    <w:p>
      <w:pPr>
        <w:spacing w:after="0" w:line="1"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 xml:space="preserve">The following table presents the fair value of the Group’s financial instruments measured at the end of the periods presented on a recurring basis, categorized into the three-level fair value hierarchy as defined in IFRS 13,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The level into which a fair value measurement is classified is determined with reference to the observability and significance of the inputs used in the valuation technique as follows:</w:t>
      </w:r>
    </w:p>
    <w:p>
      <w:pPr>
        <w:sectPr>
          <w:pgSz w:w="11900" w:h="16838" w:orient="portrait"/>
          <w:cols w:equalWidth="0" w:num="1">
            <w:col w:w="11120"/>
          </w:cols>
          <w:pgMar w:left="320" w:top="455" w:right="459" w:bottom="1440" w:gutter="0" w:footer="0" w:header="0"/>
        </w:sectPr>
      </w:pP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•   Level 1 valuations: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Fair value measured using only Level 1 inputs i.e. unadjusted quoted prices in active markets for identical assets or liabilities at the measurement date.</w:t>
      </w:r>
    </w:p>
    <w:p>
      <w:pPr>
        <w:spacing w:after="0" w:line="54" w:lineRule="exact"/>
        <w:rPr>
          <w:sz w:val="20"/>
          <w:szCs w:val="20"/>
          <w:color w:val="auto"/>
        </w:rPr>
      </w:pPr>
    </w:p>
    <w:p>
      <w:pPr>
        <w:sectPr>
          <w:pgSz w:w="11900" w:h="16838" w:orient="portrait"/>
          <w:cols w:equalWidth="0" w:num="2">
            <w:col w:w="1820" w:space="720"/>
            <w:col w:w="8580"/>
          </w:cols>
          <w:pgMar w:left="320" w:top="455" w:right="4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auto"/>
        </w:rPr>
        <w:t>•   Level 2 valuations:</w:t>
      </w:r>
    </w:p>
    <w:p>
      <w:pPr>
        <w:spacing w:after="0" w:line="20" w:lineRule="exact"/>
        <w:rPr>
          <w:sz w:val="20"/>
          <w:szCs w:val="20"/>
          <w:color w:val="auto"/>
        </w:rPr>
      </w:pPr>
      <w:r>
        <w:rPr>
          <w:sz w:val="20"/>
          <w:szCs w:val="20"/>
          <w:color w:val="auto"/>
        </w:rPr>
        <w:br w:type="column"/>
      </w:r>
    </w:p>
    <w:p>
      <w:pPr>
        <w:ind w:right="220"/>
        <w:spacing w:after="0" w:line="282" w:lineRule="auto"/>
        <w:rPr>
          <w:sz w:val="20"/>
          <w:szCs w:val="20"/>
          <w:color w:val="auto"/>
        </w:rPr>
      </w:pPr>
      <w:r>
        <w:rPr>
          <w:rFonts w:ascii="Times New Roman" w:cs="Times New Roman" w:eastAsia="Times New Roman" w:hAnsi="Times New Roman"/>
          <w:sz w:val="18"/>
          <w:szCs w:val="18"/>
          <w:color w:val="auto"/>
        </w:rPr>
        <w:t>Fair value measured using Level 2 inputs i.e. observable inputs which fail to meet Level 1, and not using significant unobservable inputs. Unobservable inputs are inputs for which market data are not available.</w:t>
      </w:r>
    </w:p>
    <w:p>
      <w:pPr>
        <w:spacing w:after="0" w:line="54" w:lineRule="exact"/>
        <w:rPr>
          <w:sz w:val="20"/>
          <w:szCs w:val="20"/>
          <w:color w:val="auto"/>
        </w:rPr>
      </w:pPr>
    </w:p>
    <w:p>
      <w:pPr>
        <w:sectPr>
          <w:pgSz w:w="11900" w:h="16838" w:orient="portrait"/>
          <w:cols w:equalWidth="0" w:num="2">
            <w:col w:w="1820" w:space="720"/>
            <w:col w:w="8580"/>
          </w:cols>
          <w:pgMar w:left="320" w:top="455" w:right="4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auto"/>
        </w:rPr>
        <w:t>•   Level 3 valuations: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Fair value measured using significant unobservable inputs.</w:t>
      </w:r>
    </w:p>
    <w:p>
      <w:pPr>
        <w:spacing w:after="0" w:line="200" w:lineRule="exact"/>
        <w:rPr>
          <w:sz w:val="20"/>
          <w:szCs w:val="20"/>
          <w:color w:val="auto"/>
        </w:rPr>
      </w:pPr>
    </w:p>
    <w:p>
      <w:pPr>
        <w:sectPr>
          <w:pgSz w:w="11900" w:h="16838" w:orient="portrait"/>
          <w:cols w:equalWidth="0" w:num="2">
            <w:col w:w="1820" w:space="720"/>
            <w:col w:w="8580"/>
          </w:cols>
          <w:pgMar w:left="320" w:top="455" w:right="459" w:bottom="1440" w:gutter="0" w:footer="0" w:header="0"/>
          <w:type w:val="continuous"/>
        </w:sectPr>
      </w:pP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presents the Group’s financial assets and liabilities that are measured at fair value at the end of each period presented:</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4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Recurring fair value measurement</w:t>
            </w:r>
          </w:p>
        </w:tc>
        <w:tc>
          <w:tcPr>
            <w:tcW w:w="226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i w:val="1"/>
                <w:iCs w:val="1"/>
                <w:color w:val="auto"/>
              </w:rPr>
              <w:t>As of December 31, 2020</w:t>
            </w:r>
          </w:p>
        </w:tc>
        <w:tc>
          <w:tcPr>
            <w:tcW w:w="6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120" w:type="dxa"/>
            <w:vAlign w:val="bottom"/>
            <w:vMerge w:val="continue"/>
          </w:tcPr>
          <w:p>
            <w:pPr>
              <w:spacing w:after="0"/>
              <w:rPr>
                <w:sz w:val="15"/>
                <w:szCs w:val="15"/>
                <w:color w:val="auto"/>
              </w:rPr>
            </w:pPr>
          </w:p>
        </w:tc>
        <w:tc>
          <w:tcPr>
            <w:tcW w:w="226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Fair value</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4"/>
                <w:szCs w:val="14"/>
                <w:i w:val="1"/>
                <w:iCs w:val="1"/>
                <w:color w:val="auto"/>
              </w:rPr>
              <w:t>Level 1</w:t>
            </w:r>
          </w:p>
        </w:tc>
        <w:tc>
          <w:tcPr>
            <w:tcW w:w="340" w:type="dxa"/>
            <w:vAlign w:val="bottom"/>
          </w:tcPr>
          <w:p>
            <w:pPr>
              <w:spacing w:after="0"/>
              <w:rPr>
                <w:sz w:val="15"/>
                <w:szCs w:val="15"/>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i w:val="1"/>
                <w:iCs w:val="1"/>
                <w:color w:val="auto"/>
              </w:rPr>
              <w:t>Level 2</w:t>
            </w: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i w:val="1"/>
                <w:iCs w:val="1"/>
                <w:color w:val="auto"/>
              </w:rPr>
              <w:t>Level 3</w:t>
            </w: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RMB’000</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RMB’000</w:t>
            </w:r>
          </w:p>
        </w:tc>
        <w:tc>
          <w:tcPr>
            <w:tcW w:w="34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RMB’000</w:t>
            </w: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RMB’000</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Equity investment designated at FVOCI</w:t>
            </w:r>
          </w:p>
        </w:tc>
        <w:tc>
          <w:tcPr>
            <w:tcW w:w="32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12,579</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0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12,579</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Financial assets measured at FVTPL</w:t>
            </w:r>
          </w:p>
        </w:tc>
        <w:tc>
          <w:tcPr>
            <w:tcW w:w="32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607,962</w:t>
            </w:r>
          </w:p>
        </w:tc>
        <w:tc>
          <w:tcPr>
            <w:tcW w:w="6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607,962</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1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620,541</w:t>
            </w:r>
          </w:p>
        </w:tc>
        <w:tc>
          <w:tcPr>
            <w:tcW w:w="34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607,962</w:t>
            </w:r>
          </w:p>
        </w:tc>
        <w:tc>
          <w:tcPr>
            <w:tcW w:w="3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Financial liabilities measured at FVTPL</w:t>
            </w:r>
          </w:p>
        </w:tc>
        <w:tc>
          <w:tcPr>
            <w:tcW w:w="2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Convertible notes</w:t>
            </w:r>
          </w:p>
        </w:tc>
        <w:tc>
          <w:tcPr>
            <w:tcW w:w="32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103,669</w:t>
            </w:r>
          </w:p>
        </w:tc>
        <w:tc>
          <w:tcPr>
            <w:tcW w:w="6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103,669</w:t>
            </w:r>
          </w:p>
        </w:tc>
        <w:tc>
          <w:tcPr>
            <w:tcW w:w="0" w:type="dxa"/>
            <w:vAlign w:val="bottom"/>
          </w:tcPr>
          <w:p>
            <w:pPr>
              <w:spacing w:after="0"/>
              <w:rPr>
                <w:sz w:val="1"/>
                <w:szCs w:val="1"/>
                <w:color w:val="auto"/>
              </w:rPr>
            </w:pPr>
          </w:p>
        </w:tc>
      </w:tr>
      <w:tr>
        <w:trPr>
          <w:trHeight w:val="223"/>
        </w:trPr>
        <w:tc>
          <w:tcPr>
            <w:tcW w:w="4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Warrant liabilities</w:t>
            </w:r>
          </w:p>
        </w:tc>
        <w:tc>
          <w:tcPr>
            <w:tcW w:w="226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221,651</w:t>
            </w:r>
          </w:p>
        </w:tc>
        <w:tc>
          <w:tcPr>
            <w:tcW w:w="340" w:type="dxa"/>
            <w:vAlign w:val="bottom"/>
          </w:tcPr>
          <w:p>
            <w:pPr>
              <w:spacing w:after="0"/>
              <w:rPr>
                <w:sz w:val="19"/>
                <w:szCs w:val="19"/>
                <w:color w:val="auto"/>
              </w:rPr>
            </w:pPr>
          </w:p>
        </w:tc>
        <w:tc>
          <w:tcPr>
            <w:tcW w:w="6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6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221,651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325,320</w:t>
            </w:r>
          </w:p>
        </w:tc>
        <w:tc>
          <w:tcPr>
            <w:tcW w:w="3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Recurring fair value measurement</w:t>
            </w:r>
          </w:p>
        </w:tc>
        <w:tc>
          <w:tcPr>
            <w:tcW w:w="226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i w:val="1"/>
                <w:iCs w:val="1"/>
                <w:color w:val="auto"/>
              </w:rPr>
              <w:t>As of December 31, 2021</w:t>
            </w:r>
          </w:p>
        </w:tc>
        <w:tc>
          <w:tcPr>
            <w:tcW w:w="6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120" w:type="dxa"/>
            <w:vAlign w:val="bottom"/>
            <w:vMerge w:val="continue"/>
          </w:tcPr>
          <w:p>
            <w:pPr>
              <w:spacing w:after="0"/>
              <w:rPr>
                <w:sz w:val="15"/>
                <w:szCs w:val="15"/>
                <w:color w:val="auto"/>
              </w:rPr>
            </w:pPr>
          </w:p>
        </w:tc>
        <w:tc>
          <w:tcPr>
            <w:tcW w:w="226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Fair value</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4"/>
                <w:szCs w:val="14"/>
                <w:i w:val="1"/>
                <w:iCs w:val="1"/>
                <w:color w:val="auto"/>
              </w:rPr>
              <w:t>Level 1</w:t>
            </w:r>
          </w:p>
        </w:tc>
        <w:tc>
          <w:tcPr>
            <w:tcW w:w="340" w:type="dxa"/>
            <w:vAlign w:val="bottom"/>
          </w:tcPr>
          <w:p>
            <w:pPr>
              <w:spacing w:after="0"/>
              <w:rPr>
                <w:sz w:val="15"/>
                <w:szCs w:val="15"/>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i w:val="1"/>
                <w:iCs w:val="1"/>
                <w:color w:val="auto"/>
              </w:rPr>
              <w:t>Level 2</w:t>
            </w: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i w:val="1"/>
                <w:iCs w:val="1"/>
                <w:color w:val="auto"/>
              </w:rPr>
              <w:t>Level 3</w:t>
            </w: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RMB’000</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RMB’000</w:t>
            </w:r>
          </w:p>
        </w:tc>
        <w:tc>
          <w:tcPr>
            <w:tcW w:w="34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RMB’000</w:t>
            </w: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RMB’000</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Financial assets measured at FVTPL</w:t>
            </w:r>
          </w:p>
        </w:tc>
        <w:tc>
          <w:tcPr>
            <w:tcW w:w="32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53,868</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53,868</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Financial liabilities measured at FVTPL</w:t>
            </w:r>
          </w:p>
        </w:tc>
        <w:tc>
          <w:tcPr>
            <w:tcW w:w="2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Warrant liabilities</w:t>
            </w:r>
          </w:p>
        </w:tc>
        <w:tc>
          <w:tcPr>
            <w:tcW w:w="22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74,357</w:t>
            </w:r>
          </w:p>
        </w:tc>
        <w:tc>
          <w:tcPr>
            <w:tcW w:w="3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120" w:type="dxa"/>
            <w:vAlign w:val="bottom"/>
          </w:tcPr>
          <w:p>
            <w:pPr>
              <w:spacing w:after="0"/>
              <w:rPr>
                <w:sz w:val="24"/>
                <w:szCs w:val="24"/>
                <w:color w:val="auto"/>
              </w:rPr>
            </w:pPr>
          </w:p>
        </w:tc>
        <w:tc>
          <w:tcPr>
            <w:tcW w:w="32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F-63</w:t>
            </w: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type w:val="continuous"/>
        </w:sectPr>
      </w:pPr>
    </w:p>
    <w:bookmarkStart w:id="316" w:name="page317"/>
    <w:bookmarkEnd w:id="3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2020 and 2021, there were no transfers between Level 1 and Level 2, or transfers into or out of Level 3. The Group’s policy is to recognize transfers between levels of fair value hierarchy as at the end of the periods presented in which they occur.</w:t>
      </w:r>
    </w:p>
    <w:p>
      <w:pPr>
        <w:spacing w:after="0" w:line="162"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fair value of the financial assets in Level 2, purchased from open-ended mutual fund, is determined based on the net asset value of the fund published on the counterparty bank’s or financial institution’s websites, which is the amount that the Group would receive to redeem the fund units at the end of each period presented.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Financial instruments in level 3</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Financial liabilities measured at FVTPL</w:t>
      </w:r>
    </w:p>
    <w:p>
      <w:pPr>
        <w:spacing w:after="0" w:line="119"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As disclosed in Note 26, the fair value of financial liabilities measured at FVTPL at the dates of issuance and balance sheet dates were determined by management with the assistance of a valuer using valuation techniques. The Group uses its judgments to select a variety of methods and make assumptions that are mainly based on market conditions existing at the end of each period presented. The Group has used discounted cash flow method to determine the business value of the Group, followed by binomial option-pricing models to determine the fair value of convertible notes and warrant liabilities, which involved the use of significant accounting estimates and judgments.</w:t>
      </w:r>
    </w:p>
    <w:p>
      <w:pPr>
        <w:spacing w:after="0" w:line="183"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Quantitative sensitivity analysis on the fair value changes of the financial liabilities measured at FVTPL is set out below. It is estimated that with all other variables held constant, an increase/decrease in the respective parameter would have impacts on the Group’s consolidated profit or loss and other comprehensive income for the periods presented.</w:t>
      </w:r>
    </w:p>
    <w:p>
      <w:pPr>
        <w:spacing w:after="0" w:line="19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600" w:type="dxa"/>
            <w:vAlign w:val="bottom"/>
          </w:tcPr>
          <w:p>
            <w:pPr>
              <w:spacing w:after="0"/>
              <w:rPr>
                <w:sz w:val="15"/>
                <w:szCs w:val="15"/>
                <w:color w:val="auto"/>
              </w:rPr>
            </w:pPr>
          </w:p>
        </w:tc>
        <w:tc>
          <w:tcPr>
            <w:tcW w:w="176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i w:val="1"/>
                <w:iCs w:val="1"/>
                <w:color w:val="auto"/>
              </w:rPr>
              <w:t>As of December 31,</w:t>
            </w:r>
          </w:p>
        </w:tc>
      </w:tr>
      <w:tr>
        <w:trPr>
          <w:trHeight w:val="119"/>
        </w:trPr>
        <w:tc>
          <w:tcPr>
            <w:tcW w:w="6600" w:type="dxa"/>
            <w:vAlign w:val="bottom"/>
          </w:tcPr>
          <w:p>
            <w:pPr>
              <w:spacing w:after="0"/>
              <w:rPr>
                <w:sz w:val="10"/>
                <w:szCs w:val="10"/>
                <w:color w:val="auto"/>
              </w:rPr>
            </w:pPr>
          </w:p>
        </w:tc>
        <w:tc>
          <w:tcPr>
            <w:tcW w:w="880" w:type="dxa"/>
            <w:vAlign w:val="bottom"/>
            <w:tcBorders>
              <w:top w:val="single" w:sz="8" w:color="auto"/>
            </w:tcBorders>
          </w:tcPr>
          <w:p>
            <w:pPr>
              <w:jc w:val="right"/>
              <w:ind w:right="338"/>
              <w:spacing w:after="0" w:line="119" w:lineRule="exact"/>
              <w:rPr>
                <w:sz w:val="20"/>
                <w:szCs w:val="20"/>
                <w:color w:val="auto"/>
              </w:rPr>
            </w:pPr>
            <w:r>
              <w:rPr>
                <w:rFonts w:ascii="Times New Roman" w:cs="Times New Roman" w:eastAsia="Times New Roman" w:hAnsi="Times New Roman"/>
                <w:sz w:val="13"/>
                <w:szCs w:val="13"/>
                <w:i w:val="1"/>
                <w:iCs w:val="1"/>
                <w:color w:val="auto"/>
              </w:rPr>
              <w:t>2020</w:t>
            </w:r>
          </w:p>
        </w:tc>
        <w:tc>
          <w:tcPr>
            <w:tcW w:w="760" w:type="dxa"/>
            <w:vAlign w:val="bottom"/>
            <w:tcBorders>
              <w:top w:val="single" w:sz="8" w:color="auto"/>
            </w:tcBorders>
          </w:tcPr>
          <w:p>
            <w:pPr>
              <w:jc w:val="right"/>
              <w:ind w:right="57"/>
              <w:spacing w:after="0" w:line="119" w:lineRule="exact"/>
              <w:rPr>
                <w:sz w:val="20"/>
                <w:szCs w:val="20"/>
                <w:color w:val="auto"/>
              </w:rPr>
            </w:pPr>
            <w:r>
              <w:rPr>
                <w:rFonts w:ascii="Times New Roman" w:cs="Times New Roman" w:eastAsia="Times New Roman" w:hAnsi="Times New Roman"/>
                <w:sz w:val="13"/>
                <w:szCs w:val="13"/>
                <w:i w:val="1"/>
                <w:iCs w:val="1"/>
                <w:color w:val="auto"/>
              </w:rPr>
              <w:t>2021</w:t>
            </w:r>
          </w:p>
        </w:tc>
        <w:tc>
          <w:tcPr>
            <w:tcW w:w="120" w:type="dxa"/>
            <w:vAlign w:val="bottom"/>
          </w:tcPr>
          <w:p>
            <w:pPr>
              <w:spacing w:after="0"/>
              <w:rPr>
                <w:sz w:val="10"/>
                <w:szCs w:val="10"/>
                <w:color w:val="auto"/>
              </w:rPr>
            </w:pPr>
          </w:p>
        </w:tc>
      </w:tr>
      <w:tr>
        <w:trPr>
          <w:trHeight w:val="171"/>
        </w:trPr>
        <w:tc>
          <w:tcPr>
            <w:tcW w:w="6600" w:type="dxa"/>
            <w:vAlign w:val="bottom"/>
          </w:tcPr>
          <w:p>
            <w:pPr>
              <w:spacing w:after="0"/>
              <w:rPr>
                <w:sz w:val="14"/>
                <w:szCs w:val="14"/>
                <w:color w:val="auto"/>
              </w:rPr>
            </w:pPr>
          </w:p>
        </w:tc>
        <w:tc>
          <w:tcPr>
            <w:tcW w:w="880" w:type="dxa"/>
            <w:vAlign w:val="bottom"/>
          </w:tcPr>
          <w:p>
            <w:pPr>
              <w:jc w:val="center"/>
              <w:ind w:right="178"/>
              <w:spacing w:after="0"/>
              <w:rPr>
                <w:sz w:val="20"/>
                <w:szCs w:val="20"/>
                <w:color w:val="auto"/>
              </w:rPr>
            </w:pPr>
            <w:r>
              <w:rPr>
                <w:rFonts w:ascii="Times New Roman" w:cs="Times New Roman" w:eastAsia="Times New Roman" w:hAnsi="Times New Roman"/>
                <w:sz w:val="14"/>
                <w:szCs w:val="14"/>
                <w:color w:val="auto"/>
              </w:rPr>
              <w:t>RMB’000</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RMB’000</w:t>
            </w: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 increase in risk-free interest rate</w:t>
            </w:r>
          </w:p>
        </w:tc>
        <w:tc>
          <w:tcPr>
            <w:tcW w:w="8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(7,162)</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1% decrease in risk-free interest rate</w:t>
            </w:r>
          </w:p>
        </w:tc>
        <w:tc>
          <w:tcPr>
            <w:tcW w:w="880" w:type="dxa"/>
            <w:vAlign w:val="bottom"/>
          </w:tcPr>
          <w:p>
            <w:pPr>
              <w:jc w:val="right"/>
              <w:ind w:right="178"/>
              <w:spacing w:after="0"/>
              <w:rPr>
                <w:sz w:val="20"/>
                <w:szCs w:val="20"/>
                <w:color w:val="auto"/>
              </w:rPr>
            </w:pPr>
            <w:r>
              <w:rPr>
                <w:rFonts w:ascii="Times New Roman" w:cs="Times New Roman" w:eastAsia="Times New Roman" w:hAnsi="Times New Roman"/>
                <w:sz w:val="18"/>
                <w:szCs w:val="18"/>
                <w:color w:val="auto"/>
              </w:rPr>
              <w:t>8,285</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 increase in expected volatility</w:t>
            </w:r>
          </w:p>
        </w:tc>
        <w:tc>
          <w:tcPr>
            <w:tcW w:w="88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13,589</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(1,172)</w:t>
            </w:r>
          </w:p>
        </w:tc>
      </w:tr>
      <w:tr>
        <w:trPr>
          <w:trHeight w:val="23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10% decrease in expected volatility</w:t>
            </w:r>
          </w:p>
        </w:tc>
        <w:tc>
          <w:tcPr>
            <w:tcW w:w="880" w:type="dxa"/>
            <w:vAlign w:val="bottom"/>
          </w:tcPr>
          <w:p>
            <w:pPr>
              <w:jc w:val="right"/>
              <w:ind w:right="118"/>
              <w:spacing w:after="0"/>
              <w:rPr>
                <w:sz w:val="20"/>
                <w:szCs w:val="20"/>
                <w:color w:val="auto"/>
              </w:rPr>
            </w:pPr>
            <w:r>
              <w:rPr>
                <w:rFonts w:ascii="Times New Roman" w:cs="Times New Roman" w:eastAsia="Times New Roman" w:hAnsi="Times New Roman"/>
                <w:sz w:val="18"/>
                <w:szCs w:val="18"/>
                <w:color w:val="auto"/>
              </w:rPr>
              <w:t>(18,835)</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1,254</w:t>
            </w:r>
          </w:p>
        </w:tc>
      </w:tr>
    </w:tbl>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Major assumptions used in the valuation for the fair value of financial liabilities measured at FVTPL and its movement are presented in Note 26.</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Financial assets designated at FVOCI</w:t>
      </w:r>
    </w:p>
    <w:p>
      <w:pPr>
        <w:spacing w:after="0" w:line="11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Financial assets designated at FVOCI represent investment in unlisted equity instruments, the fair value of unlisted equity instruments is determined using the price to book value ratios of comparable listed companies adjusted for lack of marketability discount. Major assumptions used in the valuation for the financial assets were presented as below:</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1920" w:type="dxa"/>
            <w:vAlign w:val="bottom"/>
            <w:gridSpan w:val="2"/>
            <w:vMerge w:val="restart"/>
          </w:tcPr>
          <w:p>
            <w:pPr>
              <w:jc w:val="center"/>
              <w:ind w:right="620"/>
              <w:spacing w:after="0"/>
              <w:rPr>
                <w:sz w:val="20"/>
                <w:szCs w:val="20"/>
                <w:color w:val="auto"/>
              </w:rPr>
            </w:pPr>
            <w:r>
              <w:rPr>
                <w:rFonts w:ascii="Times New Roman" w:cs="Times New Roman" w:eastAsia="Times New Roman" w:hAnsi="Times New Roman"/>
                <w:sz w:val="14"/>
                <w:szCs w:val="14"/>
                <w:i w:val="1"/>
                <w:iCs w:val="1"/>
                <w:color w:val="auto"/>
                <w:w w:val="97"/>
              </w:rPr>
              <w:t>Valuation</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Significant</w:t>
            </w: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i w:val="1"/>
                <w:iCs w:val="1"/>
                <w:color w:val="auto"/>
              </w:rPr>
              <w:t>unobservable</w:t>
            </w:r>
          </w:p>
        </w:tc>
        <w:tc>
          <w:tcPr>
            <w:tcW w:w="15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i w:val="1"/>
                <w:iCs w:val="1"/>
                <w:color w:val="auto"/>
              </w:rPr>
              <w:t>Assumption</w:t>
            </w:r>
          </w:p>
        </w:tc>
        <w:tc>
          <w:tcPr>
            <w:tcW w:w="0" w:type="dxa"/>
            <w:vAlign w:val="bottom"/>
          </w:tcPr>
          <w:p>
            <w:pPr>
              <w:spacing w:after="0"/>
              <w:rPr>
                <w:sz w:val="1"/>
                <w:szCs w:val="1"/>
                <w:color w:val="auto"/>
              </w:rPr>
            </w:pPr>
          </w:p>
        </w:tc>
      </w:tr>
      <w:tr>
        <w:trPr>
          <w:trHeight w:val="173"/>
        </w:trPr>
        <w:tc>
          <w:tcPr>
            <w:tcW w:w="4340" w:type="dxa"/>
            <w:vAlign w:val="bottom"/>
          </w:tcPr>
          <w:p>
            <w:pPr>
              <w:spacing w:after="0"/>
              <w:rPr>
                <w:sz w:val="15"/>
                <w:szCs w:val="15"/>
                <w:color w:val="auto"/>
              </w:rPr>
            </w:pPr>
          </w:p>
        </w:tc>
        <w:tc>
          <w:tcPr>
            <w:tcW w:w="192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i w:val="1"/>
                <w:iCs w:val="1"/>
                <w:color w:val="auto"/>
              </w:rPr>
              <w:t>techniques</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inputs</w:t>
            </w:r>
          </w:p>
        </w:tc>
        <w:tc>
          <w:tcPr>
            <w:tcW w:w="15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34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i w:val="1"/>
                <w:iCs w:val="1"/>
                <w:color w:val="auto"/>
              </w:rPr>
              <w:t>Discount for lack of</w:t>
            </w:r>
          </w:p>
        </w:tc>
        <w:tc>
          <w:tcPr>
            <w:tcW w:w="6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Unlisted equity instruments</w:t>
            </w:r>
          </w:p>
        </w:tc>
        <w:tc>
          <w:tcPr>
            <w:tcW w:w="19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Market approach</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marketability</w:t>
            </w:r>
          </w:p>
        </w:tc>
        <w:tc>
          <w:tcPr>
            <w:tcW w:w="15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20%</w:t>
            </w:r>
          </w:p>
        </w:tc>
        <w:tc>
          <w:tcPr>
            <w:tcW w:w="0" w:type="dxa"/>
            <w:vAlign w:val="bottom"/>
          </w:tcPr>
          <w:p>
            <w:pPr>
              <w:spacing w:after="0"/>
              <w:rPr>
                <w:sz w:val="1"/>
                <w:szCs w:val="1"/>
                <w:color w:val="auto"/>
              </w:rPr>
            </w:pPr>
          </w:p>
        </w:tc>
      </w:tr>
      <w:tr>
        <w:trPr>
          <w:trHeight w:val="365"/>
        </w:trPr>
        <w:tc>
          <w:tcPr>
            <w:tcW w:w="4340" w:type="dxa"/>
            <w:vAlign w:val="bottom"/>
          </w:tcPr>
          <w:p>
            <w:pPr>
              <w:spacing w:after="0"/>
              <w:rPr>
                <w:sz w:val="24"/>
                <w:szCs w:val="24"/>
                <w:color w:val="auto"/>
              </w:rPr>
            </w:pPr>
          </w:p>
        </w:tc>
        <w:tc>
          <w:tcPr>
            <w:tcW w:w="1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F-64</w:t>
            </w:r>
          </w:p>
        </w:tc>
        <w:tc>
          <w:tcPr>
            <w:tcW w:w="1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317" w:name="page318"/>
    <w:bookmarkEnd w:id="3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movement of unlisted equity instruments during the periods presented is set out as follows:</w:t>
      </w:r>
    </w:p>
    <w:p>
      <w:pPr>
        <w:spacing w:after="0" w:line="246" w:lineRule="exact"/>
        <w:rPr>
          <w:sz w:val="20"/>
          <w:szCs w:val="20"/>
          <w:color w:val="auto"/>
        </w:rPr>
      </w:pPr>
    </w:p>
    <w:p>
      <w:pPr>
        <w:jc w:val="center"/>
        <w:ind w:left="6460"/>
        <w:spacing w:after="0"/>
        <w:rPr>
          <w:sz w:val="20"/>
          <w:szCs w:val="20"/>
          <w:color w:val="auto"/>
        </w:rPr>
      </w:pPr>
      <w:r>
        <w:rPr>
          <w:rFonts w:ascii="Times New Roman" w:cs="Times New Roman" w:eastAsia="Times New Roman" w:hAnsi="Times New Roman"/>
          <w:sz w:val="14"/>
          <w:szCs w:val="14"/>
          <w:i w:val="1"/>
          <w:iCs w:val="1"/>
          <w:color w:val="auto"/>
        </w:rPr>
        <w:t>For the year ended</w:t>
      </w:r>
    </w:p>
    <w:p>
      <w:pPr>
        <w:jc w:val="center"/>
        <w:ind w:left="6460"/>
        <w:spacing w:after="0"/>
        <w:rPr>
          <w:sz w:val="20"/>
          <w:szCs w:val="20"/>
          <w:color w:val="auto"/>
        </w:rPr>
      </w:pPr>
      <w:r>
        <w:rPr>
          <w:rFonts w:ascii="Times New Roman" w:cs="Times New Roman" w:eastAsia="Times New Roman" w:hAnsi="Times New Roman"/>
          <w:sz w:val="14"/>
          <w:szCs w:val="14"/>
          <w:i w:val="1"/>
          <w:iCs w:val="1"/>
          <w:color w:val="auto"/>
        </w:rPr>
        <w:t>December 31,</w:t>
      </w:r>
    </w:p>
    <w:tbl>
      <w:tblPr>
        <w:tblLayout w:type="fixed"/>
        <w:tblInd w:w="1440" w:type="dxa"/>
        <w:tblCellMar>
          <w:top w:w="0" w:type="dxa"/>
          <w:left w:w="0" w:type="dxa"/>
          <w:bottom w:w="0" w:type="dxa"/>
          <w:right w:w="0" w:type="dxa"/>
        </w:tblCellMar>
      </w:tblPr>
      <w:tr>
        <w:trPr>
          <w:trHeight w:val="119"/>
        </w:trPr>
        <w:tc>
          <w:tcPr>
            <w:tcW w:w="6600" w:type="dxa"/>
            <w:vAlign w:val="bottom"/>
          </w:tcPr>
          <w:p>
            <w:pPr>
              <w:spacing w:after="0"/>
              <w:rPr>
                <w:sz w:val="10"/>
                <w:szCs w:val="10"/>
                <w:color w:val="auto"/>
              </w:rPr>
            </w:pPr>
          </w:p>
        </w:tc>
        <w:tc>
          <w:tcPr>
            <w:tcW w:w="620" w:type="dxa"/>
            <w:vAlign w:val="bottom"/>
            <w:tcBorders>
              <w:top w:val="single" w:sz="8" w:color="auto"/>
            </w:tcBorders>
          </w:tcPr>
          <w:p>
            <w:pPr>
              <w:jc w:val="right"/>
              <w:ind w:right="77"/>
              <w:spacing w:after="0" w:line="119" w:lineRule="exact"/>
              <w:rPr>
                <w:sz w:val="20"/>
                <w:szCs w:val="20"/>
                <w:color w:val="auto"/>
              </w:rPr>
            </w:pPr>
            <w:r>
              <w:rPr>
                <w:rFonts w:ascii="Times New Roman" w:cs="Times New Roman" w:eastAsia="Times New Roman" w:hAnsi="Times New Roman"/>
                <w:sz w:val="13"/>
                <w:szCs w:val="13"/>
                <w:i w:val="1"/>
                <w:iCs w:val="1"/>
                <w:color w:val="auto"/>
              </w:rPr>
              <w:t>2020</w:t>
            </w:r>
          </w:p>
        </w:tc>
        <w:tc>
          <w:tcPr>
            <w:tcW w:w="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57"/>
              <w:spacing w:after="0" w:line="119" w:lineRule="exact"/>
              <w:rPr>
                <w:sz w:val="20"/>
                <w:szCs w:val="20"/>
                <w:color w:val="auto"/>
              </w:rPr>
            </w:pPr>
            <w:r>
              <w:rPr>
                <w:rFonts w:ascii="Times New Roman" w:cs="Times New Roman" w:eastAsia="Times New Roman" w:hAnsi="Times New Roman"/>
                <w:sz w:val="13"/>
                <w:szCs w:val="13"/>
                <w:i w:val="1"/>
                <w:iCs w:val="1"/>
                <w:color w:val="auto"/>
              </w:rPr>
              <w:t>2021</w:t>
            </w:r>
          </w:p>
        </w:tc>
        <w:tc>
          <w:tcPr>
            <w:tcW w:w="120" w:type="dxa"/>
            <w:vAlign w:val="bottom"/>
          </w:tcPr>
          <w:p>
            <w:pPr>
              <w:spacing w:after="0"/>
              <w:rPr>
                <w:sz w:val="10"/>
                <w:szCs w:val="10"/>
                <w:color w:val="auto"/>
              </w:rPr>
            </w:pPr>
          </w:p>
        </w:tc>
      </w:tr>
      <w:tr>
        <w:trPr>
          <w:trHeight w:val="171"/>
        </w:trPr>
        <w:tc>
          <w:tcPr>
            <w:tcW w:w="6600" w:type="dxa"/>
            <w:vAlign w:val="bottom"/>
          </w:tcPr>
          <w:p>
            <w:pPr>
              <w:spacing w:after="0"/>
              <w:rPr>
                <w:sz w:val="14"/>
                <w:szCs w:val="14"/>
                <w:color w:val="auto"/>
              </w:rPr>
            </w:pPr>
          </w:p>
        </w:tc>
        <w:tc>
          <w:tcPr>
            <w:tcW w:w="106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color w:val="auto"/>
              </w:rPr>
              <w:t>RMB’000</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8"/>
              </w:rPr>
              <w:t>RMB’000</w:t>
            </w: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January 1</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31,922</w:t>
            </w: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12,579</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Disposals</w:t>
            </w:r>
          </w:p>
        </w:tc>
        <w:tc>
          <w:tcPr>
            <w:tcW w:w="106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(4,366)</w:t>
            </w: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unrealized loss recognized in other comprehensive income</w:t>
            </w:r>
          </w:p>
        </w:tc>
        <w:tc>
          <w:tcPr>
            <w:tcW w:w="10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(19,343)</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(8,213)</w:t>
            </w:r>
          </w:p>
        </w:tc>
      </w:tr>
      <w:tr>
        <w:trPr>
          <w:trHeight w:val="223"/>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12,579</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Any gains or losses arising from the remeasurement of the Group’s unlisted equity instruments not held for trading purposes are recognized in the fair value reserve in other comprehensive income. Upon disposal of the equity instruments, the amount accumulated in other comprehensive income is transferred directly to accumulated losses.</w:t>
      </w:r>
    </w:p>
    <w:p>
      <w:pPr>
        <w:spacing w:after="0" w:line="324" w:lineRule="exact"/>
        <w:rPr>
          <w:sz w:val="20"/>
          <w:szCs w:val="20"/>
          <w:color w:val="auto"/>
        </w:rPr>
      </w:pPr>
    </w:p>
    <w:p>
      <w:pPr>
        <w:ind w:left="540" w:hanging="424"/>
        <w:spacing w:after="0"/>
        <w:tabs>
          <w:tab w:leader="none" w:pos="54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financial assets and liabilities carried at other than fair value</w:t>
      </w:r>
    </w:p>
    <w:p>
      <w:pPr>
        <w:spacing w:after="0" w:line="117" w:lineRule="exact"/>
        <w:rPr>
          <w:sz w:val="20"/>
          <w:szCs w:val="20"/>
          <w:color w:val="auto"/>
        </w:rPr>
      </w:pPr>
    </w:p>
    <w:p>
      <w:pPr>
        <w:ind w:left="120" w:right="400"/>
        <w:spacing w:after="0" w:line="266" w:lineRule="auto"/>
        <w:rPr>
          <w:sz w:val="20"/>
          <w:szCs w:val="20"/>
          <w:color w:val="auto"/>
        </w:rPr>
      </w:pPr>
      <w:r>
        <w:rPr>
          <w:rFonts w:ascii="Times New Roman" w:cs="Times New Roman" w:eastAsia="Times New Roman" w:hAnsi="Times New Roman"/>
          <w:sz w:val="18"/>
          <w:szCs w:val="18"/>
          <w:color w:val="auto"/>
        </w:rPr>
        <w:t>The carrying amounts of the Group’s financial instruments carried at cost or amortized cost are not materially different from their fair values as of December 31, 2020 and 2021, except for the preferred shares and other financial instruments subject to redemption and other preferential rights, for which their carrying amounts and fair value and the level of fair value hierarchy were disclosed as below:</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Fair value measurements</w:t>
            </w: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680" w:type="dxa"/>
            <w:vAlign w:val="bottom"/>
          </w:tcPr>
          <w:p>
            <w:pPr>
              <w:spacing w:after="0"/>
              <w:rPr>
                <w:sz w:val="15"/>
                <w:szCs w:val="15"/>
                <w:color w:val="auto"/>
              </w:rPr>
            </w:pPr>
          </w:p>
        </w:tc>
        <w:tc>
          <w:tcPr>
            <w:tcW w:w="1800" w:type="dxa"/>
            <w:vAlign w:val="bottom"/>
            <w:vMerge w:val="restart"/>
          </w:tcPr>
          <w:p>
            <w:pPr>
              <w:jc w:val="center"/>
              <w:ind w:left="142"/>
              <w:spacing w:after="0"/>
              <w:rPr>
                <w:sz w:val="20"/>
                <w:szCs w:val="20"/>
                <w:color w:val="auto"/>
              </w:rPr>
            </w:pPr>
            <w:r>
              <w:rPr>
                <w:rFonts w:ascii="Times New Roman" w:cs="Times New Roman" w:eastAsia="Times New Roman" w:hAnsi="Times New Roman"/>
                <w:sz w:val="14"/>
                <w:szCs w:val="14"/>
                <w:i w:val="1"/>
                <w:iCs w:val="1"/>
                <w:color w:val="auto"/>
              </w:rPr>
              <w:t>Carrying amounts</w:t>
            </w:r>
          </w:p>
        </w:tc>
        <w:tc>
          <w:tcPr>
            <w:tcW w:w="1440" w:type="dxa"/>
            <w:vAlign w:val="bottom"/>
            <w:vMerge w:val="restart"/>
          </w:tcPr>
          <w:p>
            <w:pPr>
              <w:ind w:left="280"/>
              <w:spacing w:after="0"/>
              <w:rPr>
                <w:sz w:val="20"/>
                <w:szCs w:val="20"/>
                <w:color w:val="auto"/>
              </w:rPr>
            </w:pPr>
            <w:r>
              <w:rPr>
                <w:rFonts w:ascii="Times New Roman" w:cs="Times New Roman" w:eastAsia="Times New Roman" w:hAnsi="Times New Roman"/>
                <w:sz w:val="14"/>
                <w:szCs w:val="14"/>
                <w:i w:val="1"/>
                <w:iCs w:val="1"/>
                <w:color w:val="auto"/>
              </w:rPr>
              <w:t>Fair value</w:t>
            </w:r>
          </w:p>
        </w:tc>
        <w:tc>
          <w:tcPr>
            <w:tcW w:w="310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i w:val="1"/>
                <w:iCs w:val="1"/>
                <w:color w:val="auto"/>
              </w:rPr>
              <w:t>as of December 31, 2020 categorized into</w:t>
            </w:r>
          </w:p>
        </w:tc>
        <w:tc>
          <w:tcPr>
            <w:tcW w:w="0" w:type="dxa"/>
            <w:vAlign w:val="bottom"/>
          </w:tcPr>
          <w:p>
            <w:pPr>
              <w:spacing w:after="0"/>
              <w:rPr>
                <w:sz w:val="1"/>
                <w:szCs w:val="1"/>
                <w:color w:val="auto"/>
              </w:rPr>
            </w:pPr>
          </w:p>
        </w:tc>
      </w:tr>
      <w:tr>
        <w:trPr>
          <w:trHeight w:val="119"/>
        </w:trPr>
        <w:tc>
          <w:tcPr>
            <w:tcW w:w="4680" w:type="dxa"/>
            <w:vAlign w:val="bottom"/>
          </w:tcPr>
          <w:p>
            <w:pPr>
              <w:spacing w:after="0"/>
              <w:rPr>
                <w:sz w:val="10"/>
                <w:szCs w:val="10"/>
                <w:color w:val="auto"/>
              </w:rPr>
            </w:pPr>
          </w:p>
        </w:tc>
        <w:tc>
          <w:tcPr>
            <w:tcW w:w="180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700" w:type="dxa"/>
            <w:vAlign w:val="bottom"/>
            <w:tcBorders>
              <w:top w:val="single" w:sz="8" w:color="auto"/>
            </w:tcBorders>
          </w:tcPr>
          <w:p>
            <w:pPr>
              <w:jc w:val="center"/>
              <w:ind w:right="5"/>
              <w:spacing w:after="0" w:line="119" w:lineRule="exact"/>
              <w:rPr>
                <w:sz w:val="20"/>
                <w:szCs w:val="20"/>
                <w:color w:val="auto"/>
              </w:rPr>
            </w:pPr>
            <w:r>
              <w:rPr>
                <w:rFonts w:ascii="Times New Roman" w:cs="Times New Roman" w:eastAsia="Times New Roman" w:hAnsi="Times New Roman"/>
                <w:sz w:val="13"/>
                <w:szCs w:val="13"/>
                <w:i w:val="1"/>
                <w:iCs w:val="1"/>
                <w:color w:val="auto"/>
              </w:rPr>
              <w:t>Level 1</w:t>
            </w:r>
          </w:p>
        </w:tc>
        <w:tc>
          <w:tcPr>
            <w:tcW w:w="1580" w:type="dxa"/>
            <w:vAlign w:val="bottom"/>
            <w:tcBorders>
              <w:top w:val="single" w:sz="8" w:color="auto"/>
            </w:tcBorders>
          </w:tcPr>
          <w:p>
            <w:pPr>
              <w:jc w:val="center"/>
              <w:ind w:right="125"/>
              <w:spacing w:after="0" w:line="119" w:lineRule="exact"/>
              <w:rPr>
                <w:sz w:val="20"/>
                <w:szCs w:val="20"/>
                <w:color w:val="auto"/>
              </w:rPr>
            </w:pPr>
            <w:r>
              <w:rPr>
                <w:rFonts w:ascii="Times New Roman" w:cs="Times New Roman" w:eastAsia="Times New Roman" w:hAnsi="Times New Roman"/>
                <w:sz w:val="13"/>
                <w:szCs w:val="13"/>
                <w:i w:val="1"/>
                <w:iCs w:val="1"/>
                <w:color w:val="auto"/>
              </w:rPr>
              <w:t>Level 2</w:t>
            </w:r>
          </w:p>
        </w:tc>
        <w:tc>
          <w:tcPr>
            <w:tcW w:w="760" w:type="dxa"/>
            <w:vAlign w:val="bottom"/>
            <w:tcBorders>
              <w:top w:val="single" w:sz="8" w:color="auto"/>
            </w:tcBorders>
          </w:tcPr>
          <w:p>
            <w:pPr>
              <w:ind w:left="120"/>
              <w:spacing w:after="0" w:line="119" w:lineRule="exact"/>
              <w:rPr>
                <w:sz w:val="20"/>
                <w:szCs w:val="20"/>
                <w:color w:val="auto"/>
              </w:rPr>
            </w:pPr>
            <w:r>
              <w:rPr>
                <w:rFonts w:ascii="Times New Roman" w:cs="Times New Roman" w:eastAsia="Times New Roman" w:hAnsi="Times New Roman"/>
                <w:sz w:val="13"/>
                <w:szCs w:val="13"/>
                <w:i w:val="1"/>
                <w:iCs w:val="1"/>
                <w:color w:val="auto"/>
              </w:rPr>
              <w:t>Level 3</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80" w:type="dxa"/>
            <w:vAlign w:val="bottom"/>
          </w:tcPr>
          <w:p>
            <w:pPr>
              <w:spacing w:after="0"/>
              <w:rPr>
                <w:sz w:val="14"/>
                <w:szCs w:val="14"/>
                <w:color w:val="auto"/>
              </w:rPr>
            </w:pPr>
          </w:p>
        </w:tc>
        <w:tc>
          <w:tcPr>
            <w:tcW w:w="1800" w:type="dxa"/>
            <w:vAlign w:val="bottom"/>
          </w:tcPr>
          <w:p>
            <w:pPr>
              <w:jc w:val="center"/>
              <w:ind w:left="142"/>
              <w:spacing w:after="0"/>
              <w:rPr>
                <w:sz w:val="20"/>
                <w:szCs w:val="20"/>
                <w:color w:val="auto"/>
              </w:rPr>
            </w:pPr>
            <w:r>
              <w:rPr>
                <w:rFonts w:ascii="Times New Roman" w:cs="Times New Roman" w:eastAsia="Times New Roman" w:hAnsi="Times New Roman"/>
                <w:sz w:val="14"/>
                <w:szCs w:val="14"/>
                <w:color w:val="auto"/>
              </w:rPr>
              <w:t>RMB’000</w:t>
            </w:r>
          </w:p>
        </w:tc>
        <w:tc>
          <w:tcPr>
            <w:tcW w:w="14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RMB’000</w:t>
            </w:r>
          </w:p>
        </w:tc>
        <w:tc>
          <w:tcPr>
            <w:tcW w:w="700" w:type="dxa"/>
            <w:vAlign w:val="bottom"/>
          </w:tcPr>
          <w:p>
            <w:pPr>
              <w:jc w:val="center"/>
              <w:ind w:right="5"/>
              <w:spacing w:after="0"/>
              <w:rPr>
                <w:sz w:val="20"/>
                <w:szCs w:val="20"/>
                <w:color w:val="auto"/>
              </w:rPr>
            </w:pPr>
            <w:r>
              <w:rPr>
                <w:rFonts w:ascii="Times New Roman" w:cs="Times New Roman" w:eastAsia="Times New Roman" w:hAnsi="Times New Roman"/>
                <w:sz w:val="14"/>
                <w:szCs w:val="14"/>
                <w:color w:val="auto"/>
              </w:rPr>
              <w:t>RMB’000</w:t>
            </w:r>
          </w:p>
        </w:tc>
        <w:tc>
          <w:tcPr>
            <w:tcW w:w="1580" w:type="dxa"/>
            <w:vAlign w:val="bottom"/>
          </w:tcPr>
          <w:p>
            <w:pPr>
              <w:jc w:val="center"/>
              <w:ind w:right="125"/>
              <w:spacing w:after="0"/>
              <w:rPr>
                <w:sz w:val="20"/>
                <w:szCs w:val="20"/>
                <w:color w:val="auto"/>
              </w:rPr>
            </w:pPr>
            <w:r>
              <w:rPr>
                <w:rFonts w:ascii="Times New Roman" w:cs="Times New Roman" w:eastAsia="Times New Roman" w:hAnsi="Times New Roman"/>
                <w:sz w:val="14"/>
                <w:szCs w:val="14"/>
                <w:color w:val="auto"/>
              </w:rPr>
              <w:t>RMB’000</w:t>
            </w: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RMB’000</w:t>
            </w:r>
          </w:p>
        </w:tc>
        <w:tc>
          <w:tcPr>
            <w:tcW w:w="0" w:type="dxa"/>
            <w:vAlign w:val="bottom"/>
          </w:tcPr>
          <w:p>
            <w:pPr>
              <w:spacing w:after="0"/>
              <w:rPr>
                <w:sz w:val="1"/>
                <w:szCs w:val="1"/>
                <w:color w:val="auto"/>
              </w:rPr>
            </w:pPr>
          </w:p>
        </w:tc>
      </w:tr>
      <w:tr>
        <w:trPr>
          <w:trHeight w:val="198"/>
        </w:trPr>
        <w:tc>
          <w:tcPr>
            <w:tcW w:w="4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shares and other financial instruments subject to</w:t>
            </w:r>
          </w:p>
        </w:tc>
        <w:tc>
          <w:tcPr>
            <w:tcW w:w="18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redemption and other preferential rights</w:t>
            </w:r>
          </w:p>
        </w:tc>
        <w:tc>
          <w:tcPr>
            <w:tcW w:w="180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688,350</w:t>
            </w:r>
          </w:p>
        </w:tc>
        <w:tc>
          <w:tcPr>
            <w:tcW w:w="1440" w:type="dxa"/>
            <w:vAlign w:val="bottom"/>
            <w:shd w:val="clear" w:color="auto" w:fill="CCEEFF"/>
          </w:tcPr>
          <w:p>
            <w:pPr>
              <w:jc w:val="right"/>
              <w:ind w:right="382"/>
              <w:spacing w:after="0"/>
              <w:rPr>
                <w:sz w:val="20"/>
                <w:szCs w:val="20"/>
                <w:color w:val="auto"/>
              </w:rPr>
            </w:pPr>
            <w:r>
              <w:rPr>
                <w:rFonts w:ascii="Times New Roman" w:cs="Times New Roman" w:eastAsia="Times New Roman" w:hAnsi="Times New Roman"/>
                <w:sz w:val="18"/>
                <w:szCs w:val="18"/>
                <w:color w:val="auto"/>
              </w:rPr>
              <w:t>766,411</w:t>
            </w:r>
          </w:p>
        </w:tc>
        <w:tc>
          <w:tcPr>
            <w:tcW w:w="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center"/>
              <w:ind w:left="5"/>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766,411</w:t>
            </w:r>
          </w:p>
        </w:tc>
        <w:tc>
          <w:tcPr>
            <w:tcW w:w="0" w:type="dxa"/>
            <w:vAlign w:val="bottom"/>
          </w:tcPr>
          <w:p>
            <w:pPr>
              <w:spacing w:after="0"/>
              <w:rPr>
                <w:sz w:val="1"/>
                <w:szCs w:val="1"/>
                <w:color w:val="auto"/>
              </w:rPr>
            </w:pPr>
          </w:p>
        </w:tc>
      </w:tr>
      <w:tr>
        <w:trPr>
          <w:trHeight w:val="340"/>
        </w:trPr>
        <w:tc>
          <w:tcPr>
            <w:tcW w:w="46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Fair value measurements</w:t>
            </w: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680" w:type="dxa"/>
            <w:vAlign w:val="bottom"/>
          </w:tcPr>
          <w:p>
            <w:pPr>
              <w:spacing w:after="0"/>
              <w:rPr>
                <w:sz w:val="15"/>
                <w:szCs w:val="15"/>
                <w:color w:val="auto"/>
              </w:rPr>
            </w:pPr>
          </w:p>
        </w:tc>
        <w:tc>
          <w:tcPr>
            <w:tcW w:w="1800" w:type="dxa"/>
            <w:vAlign w:val="bottom"/>
            <w:vMerge w:val="restart"/>
          </w:tcPr>
          <w:p>
            <w:pPr>
              <w:jc w:val="center"/>
              <w:ind w:left="142"/>
              <w:spacing w:after="0"/>
              <w:rPr>
                <w:sz w:val="20"/>
                <w:szCs w:val="20"/>
                <w:color w:val="auto"/>
              </w:rPr>
            </w:pPr>
            <w:r>
              <w:rPr>
                <w:rFonts w:ascii="Times New Roman" w:cs="Times New Roman" w:eastAsia="Times New Roman" w:hAnsi="Times New Roman"/>
                <w:sz w:val="14"/>
                <w:szCs w:val="14"/>
                <w:i w:val="1"/>
                <w:iCs w:val="1"/>
                <w:color w:val="auto"/>
              </w:rPr>
              <w:t>Carrying amounts</w:t>
            </w:r>
          </w:p>
        </w:tc>
        <w:tc>
          <w:tcPr>
            <w:tcW w:w="1440" w:type="dxa"/>
            <w:vAlign w:val="bottom"/>
            <w:vMerge w:val="restart"/>
          </w:tcPr>
          <w:p>
            <w:pPr>
              <w:ind w:left="280"/>
              <w:spacing w:after="0"/>
              <w:rPr>
                <w:sz w:val="20"/>
                <w:szCs w:val="20"/>
                <w:color w:val="auto"/>
              </w:rPr>
            </w:pPr>
            <w:r>
              <w:rPr>
                <w:rFonts w:ascii="Times New Roman" w:cs="Times New Roman" w:eastAsia="Times New Roman" w:hAnsi="Times New Roman"/>
                <w:sz w:val="14"/>
                <w:szCs w:val="14"/>
                <w:i w:val="1"/>
                <w:iCs w:val="1"/>
                <w:color w:val="auto"/>
              </w:rPr>
              <w:t>Fair value</w:t>
            </w:r>
          </w:p>
        </w:tc>
        <w:tc>
          <w:tcPr>
            <w:tcW w:w="310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i w:val="1"/>
                <w:iCs w:val="1"/>
                <w:color w:val="auto"/>
              </w:rPr>
              <w:t>as of December 31, 2021 categorized into</w:t>
            </w:r>
          </w:p>
        </w:tc>
        <w:tc>
          <w:tcPr>
            <w:tcW w:w="0" w:type="dxa"/>
            <w:vAlign w:val="bottom"/>
          </w:tcPr>
          <w:p>
            <w:pPr>
              <w:spacing w:after="0"/>
              <w:rPr>
                <w:sz w:val="1"/>
                <w:szCs w:val="1"/>
                <w:color w:val="auto"/>
              </w:rPr>
            </w:pPr>
          </w:p>
        </w:tc>
      </w:tr>
      <w:tr>
        <w:trPr>
          <w:trHeight w:val="119"/>
        </w:trPr>
        <w:tc>
          <w:tcPr>
            <w:tcW w:w="4680" w:type="dxa"/>
            <w:vAlign w:val="bottom"/>
          </w:tcPr>
          <w:p>
            <w:pPr>
              <w:spacing w:after="0"/>
              <w:rPr>
                <w:sz w:val="10"/>
                <w:szCs w:val="10"/>
                <w:color w:val="auto"/>
              </w:rPr>
            </w:pPr>
          </w:p>
        </w:tc>
        <w:tc>
          <w:tcPr>
            <w:tcW w:w="180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700" w:type="dxa"/>
            <w:vAlign w:val="bottom"/>
            <w:tcBorders>
              <w:top w:val="single" w:sz="8" w:color="auto"/>
            </w:tcBorders>
          </w:tcPr>
          <w:p>
            <w:pPr>
              <w:jc w:val="center"/>
              <w:ind w:right="5"/>
              <w:spacing w:after="0" w:line="119" w:lineRule="exact"/>
              <w:rPr>
                <w:sz w:val="20"/>
                <w:szCs w:val="20"/>
                <w:color w:val="auto"/>
              </w:rPr>
            </w:pPr>
            <w:r>
              <w:rPr>
                <w:rFonts w:ascii="Times New Roman" w:cs="Times New Roman" w:eastAsia="Times New Roman" w:hAnsi="Times New Roman"/>
                <w:sz w:val="13"/>
                <w:szCs w:val="13"/>
                <w:i w:val="1"/>
                <w:iCs w:val="1"/>
                <w:color w:val="auto"/>
              </w:rPr>
              <w:t>Level 1</w:t>
            </w:r>
          </w:p>
        </w:tc>
        <w:tc>
          <w:tcPr>
            <w:tcW w:w="1580" w:type="dxa"/>
            <w:vAlign w:val="bottom"/>
            <w:tcBorders>
              <w:top w:val="single" w:sz="8" w:color="auto"/>
            </w:tcBorders>
          </w:tcPr>
          <w:p>
            <w:pPr>
              <w:jc w:val="center"/>
              <w:ind w:right="125"/>
              <w:spacing w:after="0" w:line="119" w:lineRule="exact"/>
              <w:rPr>
                <w:sz w:val="20"/>
                <w:szCs w:val="20"/>
                <w:color w:val="auto"/>
              </w:rPr>
            </w:pPr>
            <w:r>
              <w:rPr>
                <w:rFonts w:ascii="Times New Roman" w:cs="Times New Roman" w:eastAsia="Times New Roman" w:hAnsi="Times New Roman"/>
                <w:sz w:val="13"/>
                <w:szCs w:val="13"/>
                <w:i w:val="1"/>
                <w:iCs w:val="1"/>
                <w:color w:val="auto"/>
              </w:rPr>
              <w:t>Level 2</w:t>
            </w:r>
          </w:p>
        </w:tc>
        <w:tc>
          <w:tcPr>
            <w:tcW w:w="760" w:type="dxa"/>
            <w:vAlign w:val="bottom"/>
            <w:tcBorders>
              <w:top w:val="single" w:sz="8" w:color="auto"/>
            </w:tcBorders>
          </w:tcPr>
          <w:p>
            <w:pPr>
              <w:ind w:left="120"/>
              <w:spacing w:after="0" w:line="119" w:lineRule="exact"/>
              <w:rPr>
                <w:sz w:val="20"/>
                <w:szCs w:val="20"/>
                <w:color w:val="auto"/>
              </w:rPr>
            </w:pPr>
            <w:r>
              <w:rPr>
                <w:rFonts w:ascii="Times New Roman" w:cs="Times New Roman" w:eastAsia="Times New Roman" w:hAnsi="Times New Roman"/>
                <w:sz w:val="13"/>
                <w:szCs w:val="13"/>
                <w:i w:val="1"/>
                <w:iCs w:val="1"/>
                <w:color w:val="auto"/>
              </w:rPr>
              <w:t>Level 3</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80" w:type="dxa"/>
            <w:vAlign w:val="bottom"/>
          </w:tcPr>
          <w:p>
            <w:pPr>
              <w:spacing w:after="0"/>
              <w:rPr>
                <w:sz w:val="14"/>
                <w:szCs w:val="14"/>
                <w:color w:val="auto"/>
              </w:rPr>
            </w:pPr>
          </w:p>
        </w:tc>
        <w:tc>
          <w:tcPr>
            <w:tcW w:w="1800" w:type="dxa"/>
            <w:vAlign w:val="bottom"/>
          </w:tcPr>
          <w:p>
            <w:pPr>
              <w:jc w:val="center"/>
              <w:ind w:left="142"/>
              <w:spacing w:after="0"/>
              <w:rPr>
                <w:sz w:val="20"/>
                <w:szCs w:val="20"/>
                <w:color w:val="auto"/>
              </w:rPr>
            </w:pPr>
            <w:r>
              <w:rPr>
                <w:rFonts w:ascii="Times New Roman" w:cs="Times New Roman" w:eastAsia="Times New Roman" w:hAnsi="Times New Roman"/>
                <w:sz w:val="14"/>
                <w:szCs w:val="14"/>
                <w:color w:val="auto"/>
              </w:rPr>
              <w:t>RMB’000</w:t>
            </w:r>
          </w:p>
        </w:tc>
        <w:tc>
          <w:tcPr>
            <w:tcW w:w="14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RMB’000</w:t>
            </w:r>
          </w:p>
        </w:tc>
        <w:tc>
          <w:tcPr>
            <w:tcW w:w="700" w:type="dxa"/>
            <w:vAlign w:val="bottom"/>
          </w:tcPr>
          <w:p>
            <w:pPr>
              <w:jc w:val="center"/>
              <w:ind w:right="5"/>
              <w:spacing w:after="0"/>
              <w:rPr>
                <w:sz w:val="20"/>
                <w:szCs w:val="20"/>
                <w:color w:val="auto"/>
              </w:rPr>
            </w:pPr>
            <w:r>
              <w:rPr>
                <w:rFonts w:ascii="Times New Roman" w:cs="Times New Roman" w:eastAsia="Times New Roman" w:hAnsi="Times New Roman"/>
                <w:sz w:val="14"/>
                <w:szCs w:val="14"/>
                <w:color w:val="auto"/>
              </w:rPr>
              <w:t>RMB’000</w:t>
            </w:r>
          </w:p>
        </w:tc>
        <w:tc>
          <w:tcPr>
            <w:tcW w:w="1580" w:type="dxa"/>
            <w:vAlign w:val="bottom"/>
          </w:tcPr>
          <w:p>
            <w:pPr>
              <w:jc w:val="center"/>
              <w:ind w:right="125"/>
              <w:spacing w:after="0"/>
              <w:rPr>
                <w:sz w:val="20"/>
                <w:szCs w:val="20"/>
                <w:color w:val="auto"/>
              </w:rPr>
            </w:pPr>
            <w:r>
              <w:rPr>
                <w:rFonts w:ascii="Times New Roman" w:cs="Times New Roman" w:eastAsia="Times New Roman" w:hAnsi="Times New Roman"/>
                <w:sz w:val="14"/>
                <w:szCs w:val="14"/>
                <w:color w:val="auto"/>
              </w:rPr>
              <w:t>RMB’000</w:t>
            </w: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RMB’000</w:t>
            </w:r>
          </w:p>
        </w:tc>
        <w:tc>
          <w:tcPr>
            <w:tcW w:w="0" w:type="dxa"/>
            <w:vAlign w:val="bottom"/>
          </w:tcPr>
          <w:p>
            <w:pPr>
              <w:spacing w:after="0"/>
              <w:rPr>
                <w:sz w:val="1"/>
                <w:szCs w:val="1"/>
                <w:color w:val="auto"/>
              </w:rPr>
            </w:pPr>
          </w:p>
        </w:tc>
      </w:tr>
      <w:tr>
        <w:trPr>
          <w:trHeight w:val="198"/>
        </w:trPr>
        <w:tc>
          <w:tcPr>
            <w:tcW w:w="4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shares and other financial instruments subject to</w:t>
            </w:r>
          </w:p>
        </w:tc>
        <w:tc>
          <w:tcPr>
            <w:tcW w:w="18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redemption and other preferential rights</w:t>
            </w:r>
          </w:p>
        </w:tc>
        <w:tc>
          <w:tcPr>
            <w:tcW w:w="180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3,790,636</w:t>
            </w:r>
          </w:p>
        </w:tc>
        <w:tc>
          <w:tcPr>
            <w:tcW w:w="1440" w:type="dxa"/>
            <w:vAlign w:val="bottom"/>
            <w:shd w:val="clear" w:color="auto" w:fill="CCEEFF"/>
          </w:tcPr>
          <w:p>
            <w:pPr>
              <w:jc w:val="right"/>
              <w:ind w:right="382"/>
              <w:spacing w:after="0"/>
              <w:rPr>
                <w:sz w:val="20"/>
                <w:szCs w:val="20"/>
                <w:color w:val="auto"/>
              </w:rPr>
            </w:pPr>
            <w:r>
              <w:rPr>
                <w:rFonts w:ascii="Times New Roman" w:cs="Times New Roman" w:eastAsia="Times New Roman" w:hAnsi="Times New Roman"/>
                <w:sz w:val="18"/>
                <w:szCs w:val="18"/>
                <w:color w:val="auto"/>
              </w:rPr>
              <w:t>4,791,877</w:t>
            </w:r>
          </w:p>
        </w:tc>
        <w:tc>
          <w:tcPr>
            <w:tcW w:w="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center"/>
              <w:ind w:left="5"/>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4,791,877</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120" w:right="40"/>
        <w:spacing w:after="0" w:line="282" w:lineRule="auto"/>
        <w:rPr>
          <w:sz w:val="20"/>
          <w:szCs w:val="20"/>
          <w:color w:val="auto"/>
        </w:rPr>
      </w:pPr>
      <w:r>
        <w:rPr>
          <w:rFonts w:ascii="Times New Roman" w:cs="Times New Roman" w:eastAsia="Times New Roman" w:hAnsi="Times New Roman"/>
          <w:sz w:val="18"/>
          <w:szCs w:val="18"/>
          <w:color w:val="auto"/>
        </w:rPr>
        <w:t>The fair value of preferred shares and other financial instruments subject to redemption and other preferential rights was determined using the binominal option-pricing model. Assumptions used in the binominal option-pricing model were presented as below:</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2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860" w:type="dxa"/>
            <w:vAlign w:val="bottom"/>
            <w:gridSpan w:val="3"/>
          </w:tcPr>
          <w:p>
            <w:pPr>
              <w:jc w:val="right"/>
              <w:ind w:right="880"/>
              <w:spacing w:after="0"/>
              <w:rPr>
                <w:sz w:val="20"/>
                <w:szCs w:val="20"/>
                <w:color w:val="auto"/>
              </w:rPr>
            </w:pPr>
            <w:r>
              <w:rPr>
                <w:rFonts w:ascii="Times New Roman" w:cs="Times New Roman" w:eastAsia="Times New Roman" w:hAnsi="Times New Roman"/>
                <w:sz w:val="14"/>
                <w:szCs w:val="14"/>
                <w:i w:val="1"/>
                <w:iCs w:val="1"/>
                <w:color w:val="auto"/>
              </w:rPr>
              <w:t>As of December 31,</w:t>
            </w:r>
          </w:p>
        </w:tc>
      </w:tr>
      <w:tr>
        <w:trPr>
          <w:trHeight w:val="142"/>
        </w:trPr>
        <w:tc>
          <w:tcPr>
            <w:tcW w:w="32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540" w:type="dxa"/>
            <w:vAlign w:val="bottom"/>
            <w:tcBorders>
              <w:top w:val="single" w:sz="8" w:color="auto"/>
            </w:tcBorders>
          </w:tcPr>
          <w:p>
            <w:pPr>
              <w:jc w:val="right"/>
              <w:ind w:right="722"/>
              <w:spacing w:after="0" w:line="142" w:lineRule="exact"/>
              <w:rPr>
                <w:sz w:val="20"/>
                <w:szCs w:val="20"/>
                <w:color w:val="auto"/>
              </w:rPr>
            </w:pPr>
            <w:r>
              <w:rPr>
                <w:rFonts w:ascii="Times New Roman" w:cs="Times New Roman" w:eastAsia="Times New Roman" w:hAnsi="Times New Roman"/>
                <w:sz w:val="14"/>
                <w:szCs w:val="14"/>
                <w:i w:val="1"/>
                <w:iCs w:val="1"/>
                <w:color w:val="auto"/>
              </w:rPr>
              <w:t>2020</w:t>
            </w:r>
          </w:p>
        </w:tc>
        <w:tc>
          <w:tcPr>
            <w:tcW w:w="1260" w:type="dxa"/>
            <w:vAlign w:val="bottom"/>
            <w:tcBorders>
              <w:top w:val="single" w:sz="8" w:color="auto"/>
            </w:tcBorders>
          </w:tcPr>
          <w:p>
            <w:pPr>
              <w:jc w:val="right"/>
              <w:ind w:right="374"/>
              <w:spacing w:after="0" w:line="142" w:lineRule="exact"/>
              <w:rPr>
                <w:sz w:val="20"/>
                <w:szCs w:val="20"/>
                <w:color w:val="auto"/>
              </w:rPr>
            </w:pPr>
            <w:r>
              <w:rPr>
                <w:rFonts w:ascii="Times New Roman" w:cs="Times New Roman" w:eastAsia="Times New Roman" w:hAnsi="Times New Roman"/>
                <w:sz w:val="14"/>
                <w:szCs w:val="14"/>
                <w:i w:val="1"/>
                <w:iCs w:val="1"/>
                <w:color w:val="auto"/>
              </w:rPr>
              <w:t>2021</w:t>
            </w:r>
          </w:p>
        </w:tc>
        <w:tc>
          <w:tcPr>
            <w:tcW w:w="60" w:type="dxa"/>
            <w:vAlign w:val="bottom"/>
          </w:tcPr>
          <w:p>
            <w:pPr>
              <w:spacing w:after="0"/>
              <w:rPr>
                <w:sz w:val="12"/>
                <w:szCs w:val="12"/>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78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8"/>
                <w:szCs w:val="18"/>
                <w:color w:val="auto"/>
              </w:rPr>
              <w:t>50.2%</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57.6%</w:t>
            </w: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(per annum)</w:t>
            </w:r>
          </w:p>
        </w:tc>
        <w:tc>
          <w:tcPr>
            <w:tcW w:w="3780" w:type="dxa"/>
            <w:vAlign w:val="bottom"/>
            <w:gridSpan w:val="2"/>
          </w:tcPr>
          <w:p>
            <w:pPr>
              <w:jc w:val="right"/>
              <w:ind w:right="262"/>
              <w:spacing w:after="0"/>
              <w:rPr>
                <w:sz w:val="20"/>
                <w:szCs w:val="20"/>
                <w:color w:val="auto"/>
              </w:rPr>
            </w:pPr>
            <w:r>
              <w:rPr>
                <w:rFonts w:ascii="Times New Roman" w:cs="Times New Roman" w:eastAsia="Times New Roman" w:hAnsi="Times New Roman"/>
                <w:sz w:val="18"/>
                <w:szCs w:val="18"/>
                <w:color w:val="auto"/>
              </w:rPr>
              <w:t>0.5%</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378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34"/>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2240" w:type="dxa"/>
            <w:vAlign w:val="bottom"/>
          </w:tcPr>
          <w:p>
            <w:pPr>
              <w:spacing w:after="0"/>
              <w:rPr>
                <w:sz w:val="20"/>
                <w:szCs w:val="20"/>
                <w:color w:val="auto"/>
              </w:rPr>
            </w:pPr>
          </w:p>
        </w:tc>
        <w:tc>
          <w:tcPr>
            <w:tcW w:w="1540" w:type="dxa"/>
            <w:vAlign w:val="bottom"/>
          </w:tcPr>
          <w:p>
            <w:pPr>
              <w:jc w:val="right"/>
              <w:ind w:right="262"/>
              <w:spacing w:after="0"/>
              <w:rPr>
                <w:sz w:val="20"/>
                <w:szCs w:val="20"/>
                <w:color w:val="auto"/>
              </w:rPr>
            </w:pPr>
            <w:r>
              <w:rPr>
                <w:rFonts w:ascii="Times New Roman" w:cs="Times New Roman" w:eastAsia="Times New Roman" w:hAnsi="Times New Roman"/>
                <w:sz w:val="18"/>
                <w:szCs w:val="18"/>
                <w:color w:val="auto"/>
              </w:rPr>
              <w:t>3.0-5.0 years</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2.0-4.0 years</w:t>
            </w:r>
          </w:p>
        </w:tc>
      </w:tr>
      <w:tr>
        <w:trPr>
          <w:trHeight w:val="346"/>
        </w:trPr>
        <w:tc>
          <w:tcPr>
            <w:tcW w:w="3260" w:type="dxa"/>
            <w:vAlign w:val="bottom"/>
          </w:tcPr>
          <w:p>
            <w:pPr>
              <w:spacing w:after="0"/>
              <w:rPr>
                <w:sz w:val="24"/>
                <w:szCs w:val="24"/>
                <w:color w:val="auto"/>
              </w:rPr>
            </w:pPr>
          </w:p>
        </w:tc>
        <w:tc>
          <w:tcPr>
            <w:tcW w:w="3780" w:type="dxa"/>
            <w:vAlign w:val="bottom"/>
            <w:gridSpan w:val="2"/>
          </w:tcPr>
          <w:p>
            <w:pPr>
              <w:jc w:val="right"/>
              <w:ind w:right="2602"/>
              <w:spacing w:after="0"/>
              <w:rPr>
                <w:sz w:val="20"/>
                <w:szCs w:val="20"/>
                <w:color w:val="auto"/>
              </w:rPr>
            </w:pPr>
            <w:r>
              <w:rPr>
                <w:rFonts w:ascii="Times New Roman" w:cs="Times New Roman" w:eastAsia="Times New Roman" w:hAnsi="Times New Roman"/>
                <w:sz w:val="18"/>
                <w:szCs w:val="18"/>
                <w:color w:val="auto"/>
              </w:rPr>
              <w:t>F-65</w:t>
            </w: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318" w:name="page319"/>
    <w:bookmarkEnd w:id="3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31</w:t>
        <w:tab/>
        <w:t>Principal subsidiaries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2021, the Company’s principal subsidiaries were as follows: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9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i w:val="1"/>
                <w:iCs w:val="1"/>
                <w:color w:val="auto"/>
              </w:rPr>
              <w:t>Place of</w:t>
            </w:r>
          </w:p>
        </w:tc>
        <w:tc>
          <w:tcPr>
            <w:tcW w:w="440" w:type="dxa"/>
            <w:vAlign w:val="bottom"/>
          </w:tcPr>
          <w:p>
            <w:pPr>
              <w:spacing w:after="0"/>
              <w:rPr>
                <w:sz w:val="13"/>
                <w:szCs w:val="13"/>
                <w:color w:val="auto"/>
              </w:rPr>
            </w:pPr>
          </w:p>
        </w:tc>
        <w:tc>
          <w:tcPr>
            <w:tcW w:w="2080" w:type="dxa"/>
            <w:vAlign w:val="bottom"/>
            <w:gridSpan w:val="3"/>
          </w:tcPr>
          <w:p>
            <w:pPr>
              <w:jc w:val="center"/>
              <w:ind w:right="1060"/>
              <w:spacing w:after="0"/>
              <w:rPr>
                <w:sz w:val="20"/>
                <w:szCs w:val="20"/>
                <w:color w:val="auto"/>
              </w:rPr>
            </w:pPr>
            <w:r>
              <w:rPr>
                <w:rFonts w:ascii="Times New Roman" w:cs="Times New Roman" w:eastAsia="Times New Roman" w:hAnsi="Times New Roman"/>
                <w:sz w:val="14"/>
                <w:szCs w:val="14"/>
                <w:i w:val="1"/>
                <w:iCs w:val="1"/>
                <w:color w:val="auto"/>
              </w:rPr>
              <w:t>Group’s effective</w:t>
            </w: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4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Company Name</w:t>
            </w:r>
          </w:p>
        </w:tc>
        <w:tc>
          <w:tcPr>
            <w:tcW w:w="94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i w:val="1"/>
                <w:iCs w:val="1"/>
                <w:color w:val="auto"/>
              </w:rPr>
              <w:t>incorporation/</w:t>
            </w:r>
          </w:p>
        </w:tc>
        <w:tc>
          <w:tcPr>
            <w:tcW w:w="440" w:type="dxa"/>
            <w:vAlign w:val="bottom"/>
          </w:tcPr>
          <w:p>
            <w:pPr>
              <w:spacing w:after="0"/>
              <w:rPr>
                <w:sz w:val="12"/>
                <w:szCs w:val="12"/>
                <w:color w:val="auto"/>
              </w:rPr>
            </w:pPr>
          </w:p>
        </w:tc>
        <w:tc>
          <w:tcPr>
            <w:tcW w:w="2080" w:type="dxa"/>
            <w:vAlign w:val="bottom"/>
            <w:gridSpan w:val="3"/>
          </w:tcPr>
          <w:p>
            <w:pPr>
              <w:jc w:val="right"/>
              <w:ind w:right="1080"/>
              <w:spacing w:after="0" w:line="149" w:lineRule="exact"/>
              <w:rPr>
                <w:sz w:val="20"/>
                <w:szCs w:val="20"/>
                <w:color w:val="auto"/>
              </w:rPr>
            </w:pPr>
            <w:r>
              <w:rPr>
                <w:rFonts w:ascii="Times New Roman" w:cs="Times New Roman" w:eastAsia="Times New Roman" w:hAnsi="Times New Roman"/>
                <w:sz w:val="14"/>
                <w:szCs w:val="14"/>
                <w:i w:val="1"/>
                <w:iCs w:val="1"/>
                <w:color w:val="auto"/>
                <w:w w:val="99"/>
              </w:rPr>
              <w:t>interest (direct or</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40" w:type="dxa"/>
            <w:vAlign w:val="bottom"/>
            <w:gridSpan w:val="4"/>
            <w:vMerge w:val="restart"/>
          </w:tcPr>
          <w:p>
            <w:pPr>
              <w:jc w:val="right"/>
              <w:ind w:right="1210"/>
              <w:spacing w:after="0"/>
              <w:rPr>
                <w:sz w:val="20"/>
                <w:szCs w:val="20"/>
                <w:color w:val="auto"/>
              </w:rPr>
            </w:pPr>
            <w:r>
              <w:rPr>
                <w:rFonts w:ascii="Times New Roman" w:cs="Times New Roman" w:eastAsia="Times New Roman" w:hAnsi="Times New Roman"/>
                <w:sz w:val="14"/>
                <w:szCs w:val="14"/>
                <w:i w:val="1"/>
                <w:iCs w:val="1"/>
                <w:color w:val="auto"/>
              </w:rPr>
              <w:t>Principal activities</w:t>
            </w:r>
          </w:p>
        </w:tc>
        <w:tc>
          <w:tcPr>
            <w:tcW w:w="0" w:type="dxa"/>
            <w:vAlign w:val="bottom"/>
          </w:tcPr>
          <w:p>
            <w:pPr>
              <w:spacing w:after="0"/>
              <w:rPr>
                <w:sz w:val="1"/>
                <w:szCs w:val="1"/>
                <w:color w:val="auto"/>
              </w:rPr>
            </w:pPr>
          </w:p>
        </w:tc>
      </w:tr>
      <w:tr>
        <w:trPr>
          <w:trHeight w:val="167"/>
        </w:trPr>
        <w:tc>
          <w:tcPr>
            <w:tcW w:w="4460" w:type="dxa"/>
            <w:vAlign w:val="bottom"/>
            <w:gridSpan w:val="3"/>
            <w:vMerge w:val="continue"/>
          </w:tcPr>
          <w:p>
            <w:pPr>
              <w:spacing w:after="0"/>
              <w:rPr>
                <w:sz w:val="14"/>
                <w:szCs w:val="14"/>
                <w:color w:val="auto"/>
              </w:rPr>
            </w:pPr>
          </w:p>
        </w:tc>
        <w:tc>
          <w:tcPr>
            <w:tcW w:w="940" w:type="dxa"/>
            <w:vAlign w:val="bottom"/>
            <w:gridSpan w:val="2"/>
          </w:tcPr>
          <w:p>
            <w:pPr>
              <w:jc w:val="center"/>
              <w:ind w:right="20"/>
              <w:spacing w:after="0" w:line="160" w:lineRule="exact"/>
              <w:rPr>
                <w:sz w:val="20"/>
                <w:szCs w:val="20"/>
                <w:color w:val="auto"/>
              </w:rPr>
            </w:pPr>
            <w:r>
              <w:rPr>
                <w:rFonts w:ascii="Times New Roman" w:cs="Times New Roman" w:eastAsia="Times New Roman" w:hAnsi="Times New Roman"/>
                <w:sz w:val="14"/>
                <w:szCs w:val="14"/>
                <w:i w:val="1"/>
                <w:iCs w:val="1"/>
                <w:color w:val="auto"/>
              </w:rPr>
              <w:t>establishment</w:t>
            </w:r>
          </w:p>
        </w:tc>
        <w:tc>
          <w:tcPr>
            <w:tcW w:w="440" w:type="dxa"/>
            <w:vAlign w:val="bottom"/>
          </w:tcPr>
          <w:p>
            <w:pPr>
              <w:spacing w:after="0"/>
              <w:rPr>
                <w:sz w:val="14"/>
                <w:szCs w:val="14"/>
                <w:color w:val="auto"/>
              </w:rPr>
            </w:pPr>
          </w:p>
        </w:tc>
        <w:tc>
          <w:tcPr>
            <w:tcW w:w="2080" w:type="dxa"/>
            <w:vAlign w:val="bottom"/>
            <w:gridSpan w:val="3"/>
          </w:tcPr>
          <w:p>
            <w:pPr>
              <w:jc w:val="center"/>
              <w:ind w:right="1060"/>
              <w:spacing w:after="0" w:line="160" w:lineRule="exact"/>
              <w:rPr>
                <w:sz w:val="20"/>
                <w:szCs w:val="20"/>
                <w:color w:val="auto"/>
              </w:rPr>
            </w:pPr>
            <w:r>
              <w:rPr>
                <w:rFonts w:ascii="Times New Roman" w:cs="Times New Roman" w:eastAsia="Times New Roman" w:hAnsi="Times New Roman"/>
                <w:sz w:val="14"/>
                <w:szCs w:val="14"/>
                <w:i w:val="1"/>
                <w:iCs w:val="1"/>
                <w:color w:val="auto"/>
              </w:rPr>
              <w:t>indirect)</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9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right w:val="single" w:sz="8" w:color="CCEEFF"/>
            </w:tcBorders>
            <w:shd w:val="clear" w:color="auto" w:fill="CCEEFF"/>
          </w:tcPr>
          <w:p>
            <w:pPr>
              <w:spacing w:after="0"/>
              <w:rPr>
                <w:sz w:val="17"/>
                <w:szCs w:val="17"/>
                <w:color w:val="auto"/>
              </w:rPr>
            </w:pPr>
          </w:p>
        </w:tc>
        <w:tc>
          <w:tcPr>
            <w:tcW w:w="3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440" w:type="dxa"/>
            <w:vAlign w:val="bottom"/>
            <w:tcBorders>
              <w:top w:val="single" w:sz="8" w:color="auto"/>
            </w:tcBorders>
            <w:gridSpan w:val="4"/>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Research and development of</w:t>
            </w:r>
          </w:p>
        </w:tc>
        <w:tc>
          <w:tcPr>
            <w:tcW w:w="0" w:type="dxa"/>
            <w:vAlign w:val="bottom"/>
          </w:tcPr>
          <w:p>
            <w:pPr>
              <w:spacing w:after="0"/>
              <w:rPr>
                <w:sz w:val="1"/>
                <w:szCs w:val="1"/>
                <w:color w:val="auto"/>
              </w:rPr>
            </w:pPr>
          </w:p>
        </w:tc>
      </w:tr>
      <w:tr>
        <w:trPr>
          <w:trHeight w:val="234"/>
        </w:trPr>
        <w:tc>
          <w:tcPr>
            <w:tcW w:w="4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WeRide Corp.</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the U.S.</w:t>
            </w:r>
          </w:p>
        </w:tc>
        <w:tc>
          <w:tcPr>
            <w:tcW w:w="19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100%</w:t>
            </w:r>
          </w:p>
        </w:tc>
        <w:tc>
          <w:tcPr>
            <w:tcW w:w="6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autonomous driving technology</w:t>
            </w:r>
          </w:p>
        </w:tc>
        <w:tc>
          <w:tcPr>
            <w:tcW w:w="0" w:type="dxa"/>
            <w:vAlign w:val="bottom"/>
          </w:tcPr>
          <w:p>
            <w:pPr>
              <w:spacing w:after="0"/>
              <w:rPr>
                <w:sz w:val="1"/>
                <w:szCs w:val="1"/>
                <w:color w:val="auto"/>
              </w:rPr>
            </w:pPr>
          </w:p>
        </w:tc>
      </w:tr>
      <w:tr>
        <w:trPr>
          <w:trHeight w:val="198"/>
        </w:trPr>
        <w:tc>
          <w:tcPr>
            <w:tcW w:w="446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WeRide HK</w:t>
            </w:r>
          </w:p>
        </w:tc>
        <w:tc>
          <w:tcPr>
            <w:tcW w:w="940" w:type="dxa"/>
            <w:vAlign w:val="bottom"/>
            <w:gridSpan w:val="2"/>
          </w:tcPr>
          <w:p>
            <w:pPr>
              <w:jc w:val="right"/>
              <w:ind w:right="40"/>
              <w:spacing w:after="0" w:line="198" w:lineRule="exact"/>
              <w:rPr>
                <w:sz w:val="20"/>
                <w:szCs w:val="20"/>
                <w:color w:val="auto"/>
              </w:rPr>
            </w:pPr>
            <w:r>
              <w:rPr>
                <w:rFonts w:ascii="Times New Roman" w:cs="Times New Roman" w:eastAsia="Times New Roman" w:hAnsi="Times New Roman"/>
                <w:sz w:val="18"/>
                <w:szCs w:val="18"/>
                <w:color w:val="auto"/>
              </w:rPr>
              <w:t>the PRC</w:t>
            </w: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Hong Kong</w:t>
            </w:r>
          </w:p>
        </w:tc>
        <w:tc>
          <w:tcPr>
            <w:tcW w:w="19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100%</w:t>
            </w: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Holding company</w:t>
            </w:r>
          </w:p>
        </w:tc>
        <w:tc>
          <w:tcPr>
            <w:tcW w:w="0" w:type="dxa"/>
            <w:vAlign w:val="bottom"/>
          </w:tcPr>
          <w:p>
            <w:pPr>
              <w:spacing w:after="0"/>
              <w:rPr>
                <w:sz w:val="1"/>
                <w:szCs w:val="1"/>
                <w:color w:val="auto"/>
              </w:rPr>
            </w:pPr>
          </w:p>
        </w:tc>
      </w:tr>
      <w:tr>
        <w:trPr>
          <w:trHeight w:val="198"/>
        </w:trPr>
        <w:tc>
          <w:tcPr>
            <w:tcW w:w="446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Guangzhou Wenyuan</w:t>
            </w:r>
          </w:p>
        </w:tc>
        <w:tc>
          <w:tcPr>
            <w:tcW w:w="940" w:type="dxa"/>
            <w:vAlign w:val="bottom"/>
            <w:gridSpan w:val="2"/>
            <w:shd w:val="clear" w:color="auto" w:fill="CCEEFF"/>
          </w:tcPr>
          <w:p>
            <w:pPr>
              <w:jc w:val="right"/>
              <w:ind w:right="40"/>
              <w:spacing w:after="0" w:line="198" w:lineRule="exact"/>
              <w:rPr>
                <w:sz w:val="20"/>
                <w:szCs w:val="20"/>
                <w:color w:val="auto"/>
              </w:rPr>
            </w:pPr>
            <w:r>
              <w:rPr>
                <w:rFonts w:ascii="Times New Roman" w:cs="Times New Roman" w:eastAsia="Times New Roman" w:hAnsi="Times New Roman"/>
                <w:sz w:val="18"/>
                <w:szCs w:val="18"/>
                <w:color w:val="auto"/>
              </w:rPr>
              <w:t>the PRC</w:t>
            </w: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100" w:type="dxa"/>
            <w:vAlign w:val="bottom"/>
            <w:gridSpan w:val="6"/>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Sales of autonomous driving products and</w:t>
            </w:r>
          </w:p>
        </w:tc>
        <w:tc>
          <w:tcPr>
            <w:tcW w:w="0" w:type="dxa"/>
            <w:vAlign w:val="bottom"/>
          </w:tcPr>
          <w:p>
            <w:pPr>
              <w:spacing w:after="0"/>
              <w:rPr>
                <w:sz w:val="1"/>
                <w:szCs w:val="1"/>
                <w:color w:val="auto"/>
              </w:rPr>
            </w:pPr>
          </w:p>
        </w:tc>
      </w:tr>
      <w:tr>
        <w:trPr>
          <w:trHeight w:val="234"/>
        </w:trPr>
        <w:tc>
          <w:tcPr>
            <w:tcW w:w="920" w:type="dxa"/>
            <w:vAlign w:val="bottom"/>
            <w:shd w:val="clear" w:color="auto" w:fill="CCEEFF"/>
          </w:tcPr>
          <w:p>
            <w:pPr>
              <w:spacing w:after="0"/>
              <w:rPr>
                <w:sz w:val="20"/>
                <w:szCs w:val="20"/>
                <w:color w:val="auto"/>
              </w:rPr>
            </w:pPr>
          </w:p>
        </w:tc>
        <w:tc>
          <w:tcPr>
            <w:tcW w:w="440" w:type="dxa"/>
            <w:vAlign w:val="bottom"/>
            <w:tcBorders>
              <w:right w:val="single" w:sz="8" w:color="CCEEFF"/>
            </w:tcBorders>
            <w:shd w:val="clear" w:color="auto" w:fill="CCEEFF"/>
          </w:tcPr>
          <w:p>
            <w:pPr>
              <w:spacing w:after="0"/>
              <w:rPr>
                <w:sz w:val="20"/>
                <w:szCs w:val="20"/>
                <w:color w:val="auto"/>
              </w:rPr>
            </w:pPr>
          </w:p>
        </w:tc>
        <w:tc>
          <w:tcPr>
            <w:tcW w:w="3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mainland</w:t>
            </w:r>
          </w:p>
        </w:tc>
        <w:tc>
          <w:tcPr>
            <w:tcW w:w="19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100%</w:t>
            </w:r>
          </w:p>
        </w:tc>
        <w:tc>
          <w:tcPr>
            <w:tcW w:w="6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provision of related services</w:t>
            </w:r>
          </w:p>
        </w:tc>
        <w:tc>
          <w:tcPr>
            <w:tcW w:w="0" w:type="dxa"/>
            <w:vAlign w:val="bottom"/>
          </w:tcPr>
          <w:p>
            <w:pPr>
              <w:spacing w:after="0"/>
              <w:rPr>
                <w:sz w:val="1"/>
                <w:szCs w:val="1"/>
                <w:color w:val="auto"/>
              </w:rPr>
            </w:pPr>
          </w:p>
        </w:tc>
      </w:tr>
      <w:tr>
        <w:trPr>
          <w:trHeight w:val="198"/>
        </w:trPr>
        <w:tc>
          <w:tcPr>
            <w:tcW w:w="446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Guangzhou Jingqi</w:t>
            </w:r>
          </w:p>
        </w:tc>
        <w:tc>
          <w:tcPr>
            <w:tcW w:w="940" w:type="dxa"/>
            <w:vAlign w:val="bottom"/>
            <w:gridSpan w:val="2"/>
          </w:tcPr>
          <w:p>
            <w:pPr>
              <w:jc w:val="right"/>
              <w:ind w:right="40"/>
              <w:spacing w:after="0" w:line="198" w:lineRule="exact"/>
              <w:rPr>
                <w:sz w:val="20"/>
                <w:szCs w:val="20"/>
                <w:color w:val="auto"/>
              </w:rPr>
            </w:pPr>
            <w:r>
              <w:rPr>
                <w:rFonts w:ascii="Times New Roman" w:cs="Times New Roman" w:eastAsia="Times New Roman" w:hAnsi="Times New Roman"/>
                <w:sz w:val="18"/>
                <w:szCs w:val="18"/>
                <w:color w:val="auto"/>
              </w:rPr>
              <w:t>the PRC</w:t>
            </w: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100" w:type="dxa"/>
            <w:vAlign w:val="bottom"/>
            <w:gridSpan w:val="6"/>
          </w:tcPr>
          <w:p>
            <w:pPr>
              <w:jc w:val="right"/>
              <w:spacing w:after="0" w:line="198" w:lineRule="exact"/>
              <w:rPr>
                <w:sz w:val="20"/>
                <w:szCs w:val="20"/>
                <w:color w:val="auto"/>
              </w:rPr>
            </w:pPr>
            <w:r>
              <w:rPr>
                <w:rFonts w:ascii="Times New Roman" w:cs="Times New Roman" w:eastAsia="Times New Roman" w:hAnsi="Times New Roman"/>
                <w:sz w:val="18"/>
                <w:szCs w:val="18"/>
                <w:color w:val="auto"/>
              </w:rPr>
              <w:t>Sales of autonomous driving products and</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mainland</w:t>
            </w:r>
          </w:p>
        </w:tc>
        <w:tc>
          <w:tcPr>
            <w:tcW w:w="19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100%</w:t>
            </w: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provision of related services</w:t>
            </w:r>
          </w:p>
        </w:tc>
        <w:tc>
          <w:tcPr>
            <w:tcW w:w="0" w:type="dxa"/>
            <w:vAlign w:val="bottom"/>
          </w:tcPr>
          <w:p>
            <w:pPr>
              <w:spacing w:after="0"/>
              <w:rPr>
                <w:sz w:val="1"/>
                <w:szCs w:val="1"/>
                <w:color w:val="auto"/>
              </w:rPr>
            </w:pPr>
          </w:p>
        </w:tc>
      </w:tr>
      <w:tr>
        <w:trPr>
          <w:trHeight w:val="198"/>
        </w:trPr>
        <w:tc>
          <w:tcPr>
            <w:tcW w:w="446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Wenyuan Suxing (Jiangsu) Technology Co., Ltd.</w:t>
            </w:r>
          </w:p>
        </w:tc>
        <w:tc>
          <w:tcPr>
            <w:tcW w:w="940" w:type="dxa"/>
            <w:vAlign w:val="bottom"/>
            <w:gridSpan w:val="2"/>
            <w:shd w:val="clear" w:color="auto" w:fill="CCEEFF"/>
          </w:tcPr>
          <w:p>
            <w:pPr>
              <w:jc w:val="right"/>
              <w:ind w:right="40"/>
              <w:spacing w:after="0" w:line="198" w:lineRule="exact"/>
              <w:rPr>
                <w:sz w:val="20"/>
                <w:szCs w:val="20"/>
                <w:color w:val="auto"/>
              </w:rPr>
            </w:pPr>
            <w:r>
              <w:rPr>
                <w:rFonts w:ascii="Times New Roman" w:cs="Times New Roman" w:eastAsia="Times New Roman" w:hAnsi="Times New Roman"/>
                <w:sz w:val="18"/>
                <w:szCs w:val="18"/>
                <w:color w:val="auto"/>
              </w:rPr>
              <w:t>the PRC</w:t>
            </w: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100" w:type="dxa"/>
            <w:vAlign w:val="bottom"/>
            <w:gridSpan w:val="6"/>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Sales of autonomous driving products and</w:t>
            </w:r>
          </w:p>
        </w:tc>
        <w:tc>
          <w:tcPr>
            <w:tcW w:w="0" w:type="dxa"/>
            <w:vAlign w:val="bottom"/>
          </w:tcPr>
          <w:p>
            <w:pPr>
              <w:spacing w:after="0"/>
              <w:rPr>
                <w:sz w:val="1"/>
                <w:szCs w:val="1"/>
                <w:color w:val="auto"/>
              </w:rPr>
            </w:pPr>
          </w:p>
        </w:tc>
      </w:tr>
      <w:tr>
        <w:trPr>
          <w:trHeight w:val="234"/>
        </w:trPr>
        <w:tc>
          <w:tcPr>
            <w:tcW w:w="920" w:type="dxa"/>
            <w:vAlign w:val="bottom"/>
            <w:shd w:val="clear" w:color="auto" w:fill="CCEEFF"/>
          </w:tcPr>
          <w:p>
            <w:pPr>
              <w:spacing w:after="0"/>
              <w:rPr>
                <w:sz w:val="20"/>
                <w:szCs w:val="20"/>
                <w:color w:val="auto"/>
              </w:rPr>
            </w:pPr>
          </w:p>
        </w:tc>
        <w:tc>
          <w:tcPr>
            <w:tcW w:w="440" w:type="dxa"/>
            <w:vAlign w:val="bottom"/>
            <w:tcBorders>
              <w:right w:val="single" w:sz="8" w:color="CCEEFF"/>
            </w:tcBorders>
            <w:shd w:val="clear" w:color="auto" w:fill="CCEEFF"/>
          </w:tcPr>
          <w:p>
            <w:pPr>
              <w:spacing w:after="0"/>
              <w:rPr>
                <w:sz w:val="20"/>
                <w:szCs w:val="20"/>
                <w:color w:val="auto"/>
              </w:rPr>
            </w:pPr>
          </w:p>
        </w:tc>
        <w:tc>
          <w:tcPr>
            <w:tcW w:w="3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mainland</w:t>
            </w:r>
          </w:p>
        </w:tc>
        <w:tc>
          <w:tcPr>
            <w:tcW w:w="19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100%</w:t>
            </w:r>
          </w:p>
        </w:tc>
        <w:tc>
          <w:tcPr>
            <w:tcW w:w="6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provision of related services</w:t>
            </w:r>
          </w:p>
        </w:tc>
        <w:tc>
          <w:tcPr>
            <w:tcW w:w="0" w:type="dxa"/>
            <w:vAlign w:val="bottom"/>
          </w:tcPr>
          <w:p>
            <w:pPr>
              <w:spacing w:after="0"/>
              <w:rPr>
                <w:sz w:val="1"/>
                <w:szCs w:val="1"/>
                <w:color w:val="auto"/>
              </w:rPr>
            </w:pPr>
          </w:p>
        </w:tc>
      </w:tr>
      <w:tr>
        <w:trPr>
          <w:trHeight w:val="198"/>
        </w:trPr>
        <w:tc>
          <w:tcPr>
            <w:tcW w:w="446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Wenyuan Yuexing (Guangdong) Travel Technology</w:t>
            </w:r>
          </w:p>
        </w:tc>
        <w:tc>
          <w:tcPr>
            <w:tcW w:w="940" w:type="dxa"/>
            <w:vAlign w:val="bottom"/>
            <w:gridSpan w:val="2"/>
          </w:tcPr>
          <w:p>
            <w:pPr>
              <w:jc w:val="right"/>
              <w:ind w:right="40"/>
              <w:spacing w:after="0" w:line="198" w:lineRule="exact"/>
              <w:rPr>
                <w:sz w:val="20"/>
                <w:szCs w:val="20"/>
                <w:color w:val="auto"/>
              </w:rPr>
            </w:pPr>
            <w:r>
              <w:rPr>
                <w:rFonts w:ascii="Times New Roman" w:cs="Times New Roman" w:eastAsia="Times New Roman" w:hAnsi="Times New Roman"/>
                <w:sz w:val="18"/>
                <w:szCs w:val="18"/>
                <w:color w:val="auto"/>
              </w:rPr>
              <w:t>the PRC</w:t>
            </w: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100" w:type="dxa"/>
            <w:vAlign w:val="bottom"/>
            <w:gridSpan w:val="6"/>
          </w:tcPr>
          <w:p>
            <w:pPr>
              <w:jc w:val="right"/>
              <w:spacing w:after="0" w:line="198" w:lineRule="exact"/>
              <w:rPr>
                <w:sz w:val="20"/>
                <w:szCs w:val="20"/>
                <w:color w:val="auto"/>
              </w:rPr>
            </w:pPr>
            <w:r>
              <w:rPr>
                <w:rFonts w:ascii="Times New Roman" w:cs="Times New Roman" w:eastAsia="Times New Roman" w:hAnsi="Times New Roman"/>
                <w:sz w:val="18"/>
                <w:szCs w:val="18"/>
                <w:color w:val="auto"/>
              </w:rPr>
              <w:t>Sales of autonomous driving products and</w:t>
            </w:r>
          </w:p>
        </w:tc>
        <w:tc>
          <w:tcPr>
            <w:tcW w:w="0" w:type="dxa"/>
            <w:vAlign w:val="bottom"/>
          </w:tcPr>
          <w:p>
            <w:pPr>
              <w:spacing w:after="0"/>
              <w:rPr>
                <w:sz w:val="1"/>
                <w:szCs w:val="1"/>
                <w:color w:val="auto"/>
              </w:rPr>
            </w:pPr>
          </w:p>
        </w:tc>
      </w:tr>
      <w:tr>
        <w:trPr>
          <w:trHeight w:val="234"/>
        </w:trPr>
        <w:tc>
          <w:tcPr>
            <w:tcW w:w="44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 Ltd.</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mainland</w:t>
            </w:r>
          </w:p>
        </w:tc>
        <w:tc>
          <w:tcPr>
            <w:tcW w:w="19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100%</w:t>
            </w: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provision of related services</w:t>
            </w:r>
          </w:p>
        </w:tc>
        <w:tc>
          <w:tcPr>
            <w:tcW w:w="0" w:type="dxa"/>
            <w:vAlign w:val="bottom"/>
          </w:tcPr>
          <w:p>
            <w:pPr>
              <w:spacing w:after="0"/>
              <w:rPr>
                <w:sz w:val="1"/>
                <w:szCs w:val="1"/>
                <w:color w:val="auto"/>
              </w:rPr>
            </w:pPr>
          </w:p>
        </w:tc>
      </w:tr>
      <w:tr>
        <w:trPr>
          <w:trHeight w:val="581"/>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32   Material related party transactions</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(a)   Name and relationship with related parties</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446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Name of related parties</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20" w:type="dxa"/>
            <w:vAlign w:val="bottom"/>
            <w:gridSpan w:val="4"/>
          </w:tcPr>
          <w:p>
            <w:pPr>
              <w:spacing w:after="0"/>
              <w:rPr>
                <w:sz w:val="20"/>
                <w:szCs w:val="20"/>
                <w:color w:val="auto"/>
              </w:rPr>
            </w:pPr>
            <w:r>
              <w:rPr>
                <w:rFonts w:ascii="Times New Roman" w:cs="Times New Roman" w:eastAsia="Times New Roman" w:hAnsi="Times New Roman"/>
                <w:sz w:val="14"/>
                <w:szCs w:val="14"/>
                <w:i w:val="1"/>
                <w:iCs w:val="1"/>
                <w:color w:val="auto"/>
              </w:rPr>
              <w:t>Relationship with the Group</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1360" w:type="dxa"/>
            <w:vAlign w:val="bottom"/>
            <w:tcBorders>
              <w:top w:val="single" w:sz="8" w:color="auto"/>
            </w:tcBorders>
            <w:gridSpan w:val="2"/>
          </w:tcPr>
          <w:p>
            <w:pPr>
              <w:spacing w:after="0" w:line="185" w:lineRule="exact"/>
              <w:rPr>
                <w:sz w:val="20"/>
                <w:szCs w:val="20"/>
                <w:color w:val="auto"/>
              </w:rPr>
            </w:pPr>
            <w:r>
              <w:rPr>
                <w:rFonts w:ascii="Times New Roman" w:cs="Times New Roman" w:eastAsia="Times New Roman" w:hAnsi="Times New Roman"/>
                <w:sz w:val="18"/>
                <w:szCs w:val="18"/>
                <w:color w:val="auto"/>
              </w:rPr>
              <w:t>Dr. Tony Xu Han</w:t>
            </w:r>
          </w:p>
        </w:tc>
        <w:tc>
          <w:tcPr>
            <w:tcW w:w="3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520" w:type="dxa"/>
            <w:vAlign w:val="bottom"/>
            <w:tcBorders>
              <w:top w:val="single" w:sz="8" w:color="auto"/>
            </w:tcBorders>
            <w:gridSpan w:val="4"/>
          </w:tcPr>
          <w:p>
            <w:pPr>
              <w:spacing w:after="0" w:line="185" w:lineRule="exact"/>
              <w:rPr>
                <w:sz w:val="20"/>
                <w:szCs w:val="20"/>
                <w:color w:val="auto"/>
              </w:rPr>
            </w:pPr>
            <w:r>
              <w:rPr>
                <w:rFonts w:ascii="Times New Roman" w:cs="Times New Roman" w:eastAsia="Times New Roman" w:hAnsi="Times New Roman"/>
                <w:sz w:val="18"/>
                <w:szCs w:val="18"/>
                <w:color w:val="auto"/>
              </w:rPr>
              <w:t>Founder, Director and CEO</w:t>
            </w:r>
          </w:p>
        </w:tc>
        <w:tc>
          <w:tcPr>
            <w:tcW w:w="6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Mr. Yan Li</w:t>
            </w: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Co-founder, Director and Chief Technology Officer</w:t>
            </w:r>
          </w:p>
        </w:tc>
        <w:tc>
          <w:tcPr>
            <w:tcW w:w="0" w:type="dxa"/>
            <w:vAlign w:val="bottom"/>
          </w:tcPr>
          <w:p>
            <w:pPr>
              <w:spacing w:after="0"/>
              <w:rPr>
                <w:sz w:val="1"/>
                <w:szCs w:val="1"/>
                <w:color w:val="auto"/>
              </w:rPr>
            </w:pPr>
          </w:p>
        </w:tc>
      </w:tr>
      <w:tr>
        <w:trPr>
          <w:trHeight w:val="216"/>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Mr. Hua Zhong</w:t>
            </w: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Senior Vice President</w:t>
            </w: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Mr. Li Zhang</w:t>
            </w: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COO</w:t>
            </w: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Mr. Qingxiong Yang</w:t>
            </w: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Vice President</w:t>
            </w: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Ms. Jennifer Xuan Li</w:t>
            </w: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Vice President</w:t>
            </w: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Mr. Huazhong Ning</w:t>
            </w: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Vice President</w:t>
            </w: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Alliance Automotive R&amp;D (Shanghai) Co., Ltd.</w:t>
            </w: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Affiliate of a shareholder</w:t>
            </w: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Zhengzhou Yutong Bus Co., Ltd.</w:t>
            </w: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Affiliate of a shareholder</w:t>
            </w: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Zhengzhou Yutong Heavy Industry Co., Ltd.</w:t>
            </w: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Affiliate of a shareholder</w:t>
            </w: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Yutong Heavy Equipment Co., Ltd.</w:t>
            </w: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Affiliate of a shareholder</w:t>
            </w: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Guangzhou Yuji Technology Co., Ltd.</w:t>
            </w: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Entity over which the Group has significant influence</w:t>
            </w:r>
          </w:p>
        </w:tc>
        <w:tc>
          <w:tcPr>
            <w:tcW w:w="0" w:type="dxa"/>
            <w:vAlign w:val="bottom"/>
          </w:tcPr>
          <w:p>
            <w:pPr>
              <w:spacing w:after="0"/>
              <w:rPr>
                <w:sz w:val="1"/>
                <w:szCs w:val="1"/>
                <w:color w:val="auto"/>
              </w:rPr>
            </w:pPr>
          </w:p>
        </w:tc>
      </w:tr>
      <w:tr>
        <w:trPr>
          <w:trHeight w:val="580"/>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(b)   Key management personnel compensation</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100" w:type="dxa"/>
            <w:vAlign w:val="bottom"/>
            <w:gridSpan w:val="6"/>
          </w:tcPr>
          <w:p>
            <w:pPr>
              <w:jc w:val="right"/>
              <w:ind w:right="1610"/>
              <w:spacing w:after="0"/>
              <w:rPr>
                <w:sz w:val="20"/>
                <w:szCs w:val="20"/>
                <w:color w:val="auto"/>
              </w:rPr>
            </w:pPr>
            <w:r>
              <w:rPr>
                <w:rFonts w:ascii="Times New Roman" w:cs="Times New Roman" w:eastAsia="Times New Roman" w:hAnsi="Times New Roman"/>
                <w:sz w:val="14"/>
                <w:szCs w:val="14"/>
                <w:i w:val="1"/>
                <w:iCs w:val="1"/>
                <w:color w:val="auto"/>
              </w:rPr>
              <w:t>For the year ended</w:t>
            </w: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100" w:type="dxa"/>
            <w:vAlign w:val="bottom"/>
            <w:gridSpan w:val="6"/>
          </w:tcPr>
          <w:p>
            <w:pPr>
              <w:jc w:val="right"/>
              <w:ind w:right="1750"/>
              <w:spacing w:after="0"/>
              <w:rPr>
                <w:sz w:val="20"/>
                <w:szCs w:val="20"/>
                <w:color w:val="auto"/>
              </w:rPr>
            </w:pPr>
            <w:r>
              <w:rPr>
                <w:rFonts w:ascii="Times New Roman" w:cs="Times New Roman" w:eastAsia="Times New Roman" w:hAnsi="Times New Roman"/>
                <w:sz w:val="14"/>
                <w:szCs w:val="14"/>
                <w:i w:val="1"/>
                <w:iCs w:val="1"/>
                <w:color w:val="auto"/>
              </w:rPr>
              <w:t>December 31,</w:t>
            </w:r>
          </w:p>
        </w:tc>
        <w:tc>
          <w:tcPr>
            <w:tcW w:w="0" w:type="dxa"/>
            <w:vAlign w:val="bottom"/>
          </w:tcPr>
          <w:p>
            <w:pPr>
              <w:spacing w:after="0"/>
              <w:rPr>
                <w:sz w:val="1"/>
                <w:szCs w:val="1"/>
                <w:color w:val="auto"/>
              </w:rPr>
            </w:pPr>
          </w:p>
        </w:tc>
      </w:tr>
      <w:tr>
        <w:trPr>
          <w:trHeight w:val="119"/>
        </w:trPr>
        <w:tc>
          <w:tcPr>
            <w:tcW w:w="9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Borders>
              <w:top w:val="single" w:sz="8" w:color="auto"/>
            </w:tcBorders>
          </w:tcPr>
          <w:p>
            <w:pPr>
              <w:jc w:val="right"/>
              <w:ind w:right="76"/>
              <w:spacing w:after="0" w:line="119" w:lineRule="exact"/>
              <w:rPr>
                <w:sz w:val="20"/>
                <w:szCs w:val="20"/>
                <w:color w:val="auto"/>
              </w:rPr>
            </w:pPr>
            <w:r>
              <w:rPr>
                <w:rFonts w:ascii="Times New Roman" w:cs="Times New Roman" w:eastAsia="Times New Roman" w:hAnsi="Times New Roman"/>
                <w:sz w:val="13"/>
                <w:szCs w:val="13"/>
                <w:i w:val="1"/>
                <w:iCs w:val="1"/>
                <w:color w:val="auto"/>
              </w:rPr>
              <w:t>2020</w:t>
            </w:r>
          </w:p>
        </w:tc>
        <w:tc>
          <w:tcPr>
            <w:tcW w:w="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right"/>
              <w:ind w:right="88"/>
              <w:spacing w:after="0" w:line="119" w:lineRule="exact"/>
              <w:rPr>
                <w:sz w:val="20"/>
                <w:szCs w:val="20"/>
                <w:color w:val="auto"/>
              </w:rPr>
            </w:pPr>
            <w:r>
              <w:rPr>
                <w:rFonts w:ascii="Times New Roman" w:cs="Times New Roman" w:eastAsia="Times New Roman" w:hAnsi="Times New Roman"/>
                <w:sz w:val="13"/>
                <w:szCs w:val="13"/>
                <w:i w:val="1"/>
                <w:iCs w:val="1"/>
                <w:color w:val="auto"/>
              </w:rPr>
              <w:t>2021</w:t>
            </w:r>
          </w:p>
        </w:tc>
        <w:tc>
          <w:tcPr>
            <w:tcW w:w="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RMB’000</w:t>
            </w:r>
          </w:p>
        </w:tc>
        <w:tc>
          <w:tcPr>
            <w:tcW w:w="420" w:type="dxa"/>
            <w:vAlign w:val="bottom"/>
          </w:tcPr>
          <w:p>
            <w:pPr>
              <w:spacing w:after="0"/>
              <w:rPr>
                <w:sz w:val="14"/>
                <w:szCs w:val="14"/>
                <w:color w:val="auto"/>
              </w:rPr>
            </w:pPr>
          </w:p>
        </w:tc>
        <w:tc>
          <w:tcPr>
            <w:tcW w:w="2020" w:type="dxa"/>
            <w:vAlign w:val="bottom"/>
            <w:gridSpan w:val="3"/>
          </w:tcPr>
          <w:p>
            <w:pPr>
              <w:jc w:val="center"/>
              <w:ind w:right="1310"/>
              <w:spacing w:after="0"/>
              <w:rPr>
                <w:sz w:val="20"/>
                <w:szCs w:val="20"/>
                <w:color w:val="auto"/>
              </w:rPr>
            </w:pPr>
            <w:r>
              <w:rPr>
                <w:rFonts w:ascii="Times New Roman" w:cs="Times New Roman" w:eastAsia="Times New Roman" w:hAnsi="Times New Roman"/>
                <w:sz w:val="14"/>
                <w:szCs w:val="14"/>
                <w:color w:val="auto"/>
              </w:rPr>
              <w:t>RMB’000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40" w:type="dxa"/>
            <w:vAlign w:val="bottom"/>
            <w:tcBorders>
              <w:right w:val="single" w:sz="8" w:color="CCEEFF"/>
            </w:tcBorders>
          </w:tcPr>
          <w:p>
            <w:pPr>
              <w:spacing w:after="0"/>
              <w:rPr>
                <w:sz w:val="18"/>
                <w:szCs w:val="18"/>
                <w:color w:val="auto"/>
              </w:rPr>
            </w:pPr>
          </w:p>
        </w:tc>
        <w:tc>
          <w:tcPr>
            <w:tcW w:w="65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employment benefits (excluding discretionary bonus)</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9,623</w:t>
            </w: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15,670</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Discretionary bonus</w:t>
            </w: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9,131</w:t>
            </w: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9,421</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40" w:type="dxa"/>
            <w:vAlign w:val="bottom"/>
            <w:tcBorders>
              <w:right w:val="single" w:sz="8" w:color="CCEEFF"/>
            </w:tcBorders>
          </w:tcPr>
          <w:p>
            <w:pPr>
              <w:spacing w:after="0"/>
              <w:rPr>
                <w:sz w:val="18"/>
                <w:szCs w:val="18"/>
                <w:color w:val="auto"/>
              </w:rPr>
            </w:pPr>
          </w:p>
        </w:tc>
        <w:tc>
          <w:tcPr>
            <w:tcW w:w="4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Contributions to defined contribution retirement plans</w:t>
            </w: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166</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Equity-settled share-based payment expenses</w:t>
            </w: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1,983</w:t>
            </w: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10,372</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440" w:type="dxa"/>
            <w:vAlign w:val="bottom"/>
            <w:tcBorders>
              <w:right w:val="single" w:sz="8" w:color="CCEEFF"/>
            </w:tcBorders>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20,750</w:t>
            </w: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35,629</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460" w:type="dxa"/>
            <w:vAlign w:val="bottom"/>
            <w:gridSpan w:val="6"/>
            <w:vMerge w:val="restart"/>
          </w:tcPr>
          <w:p>
            <w:pPr>
              <w:ind w:left="880"/>
              <w:spacing w:after="0"/>
              <w:rPr>
                <w:sz w:val="20"/>
                <w:szCs w:val="20"/>
                <w:color w:val="auto"/>
              </w:rPr>
            </w:pPr>
            <w:r>
              <w:rPr>
                <w:rFonts w:ascii="Times New Roman" w:cs="Times New Roman" w:eastAsia="Times New Roman" w:hAnsi="Times New Roman"/>
                <w:sz w:val="18"/>
                <w:szCs w:val="18"/>
                <w:color w:val="auto"/>
              </w:rPr>
              <w:t>F-66</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460" w:type="dxa"/>
            <w:vAlign w:val="bottom"/>
            <w:gridSpan w:val="6"/>
            <w:vMerge w:val="continue"/>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319" w:name="page320"/>
    <w:bookmarkEnd w:id="3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23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Other transactions with related parties</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In addition to the balances disclosed elsewhere in these consolidated financial statements, the Group entered into the following material related party transactions during the periods presented:</w:t>
      </w:r>
    </w:p>
    <w:p>
      <w:pPr>
        <w:spacing w:after="0" w:line="182"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4"/>
          <w:szCs w:val="14"/>
          <w:i w:val="1"/>
          <w:iCs w:val="1"/>
          <w:color w:val="auto"/>
        </w:rPr>
        <w:t>For the year ended</w:t>
      </w:r>
    </w:p>
    <w:p>
      <w:pPr>
        <w:jc w:val="center"/>
        <w:ind w:left="6520"/>
        <w:spacing w:after="0"/>
        <w:rPr>
          <w:sz w:val="20"/>
          <w:szCs w:val="20"/>
          <w:color w:val="auto"/>
        </w:rPr>
      </w:pPr>
      <w:r>
        <w:rPr>
          <w:rFonts w:ascii="Times New Roman" w:cs="Times New Roman" w:eastAsia="Times New Roman" w:hAnsi="Times New Roman"/>
          <w:sz w:val="14"/>
          <w:szCs w:val="14"/>
          <w:i w:val="1"/>
          <w:iCs w:val="1"/>
          <w:color w:val="auto"/>
        </w:rPr>
        <w:t>December 31,</w:t>
      </w:r>
    </w:p>
    <w:tbl>
      <w:tblPr>
        <w:tblLayout w:type="fixed"/>
        <w:tblInd w:w="120" w:type="dxa"/>
        <w:tblCellMar>
          <w:top w:w="0" w:type="dxa"/>
          <w:left w:w="0" w:type="dxa"/>
          <w:bottom w:w="0" w:type="dxa"/>
          <w:right w:w="0" w:type="dxa"/>
        </w:tblCellMar>
      </w:tblPr>
      <w:tr>
        <w:trPr>
          <w:trHeight w:val="119"/>
        </w:trPr>
        <w:tc>
          <w:tcPr>
            <w:tcW w:w="1320" w:type="dxa"/>
            <w:vAlign w:val="bottom"/>
          </w:tcPr>
          <w:p>
            <w:pPr>
              <w:spacing w:after="0"/>
              <w:rPr>
                <w:sz w:val="10"/>
                <w:szCs w:val="10"/>
                <w:color w:val="auto"/>
              </w:rPr>
            </w:pPr>
          </w:p>
        </w:tc>
        <w:tc>
          <w:tcPr>
            <w:tcW w:w="6600" w:type="dxa"/>
            <w:vAlign w:val="bottom"/>
          </w:tcPr>
          <w:p>
            <w:pPr>
              <w:spacing w:after="0"/>
              <w:rPr>
                <w:sz w:val="10"/>
                <w:szCs w:val="10"/>
                <w:color w:val="auto"/>
              </w:rPr>
            </w:pPr>
          </w:p>
        </w:tc>
        <w:tc>
          <w:tcPr>
            <w:tcW w:w="54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i w:val="1"/>
                <w:iCs w:val="1"/>
                <w:color w:val="auto"/>
              </w:rPr>
              <w:t>2020</w:t>
            </w: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jc w:val="right"/>
              <w:ind w:right="74"/>
              <w:spacing w:after="0" w:line="119" w:lineRule="exact"/>
              <w:rPr>
                <w:sz w:val="20"/>
                <w:szCs w:val="20"/>
                <w:color w:val="auto"/>
              </w:rPr>
            </w:pPr>
            <w:r>
              <w:rPr>
                <w:rFonts w:ascii="Times New Roman" w:cs="Times New Roman" w:eastAsia="Times New Roman" w:hAnsi="Times New Roman"/>
                <w:sz w:val="13"/>
                <w:szCs w:val="13"/>
                <w:i w:val="1"/>
                <w:iCs w:val="1"/>
                <w:color w:val="auto"/>
              </w:rPr>
              <w:t>2021</w:t>
            </w:r>
          </w:p>
        </w:tc>
        <w:tc>
          <w:tcPr>
            <w:tcW w:w="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02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color w:val="auto"/>
              </w:rPr>
              <w:t>RMB’000</w:t>
            </w:r>
          </w:p>
        </w:tc>
        <w:tc>
          <w:tcPr>
            <w:tcW w:w="74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RMB’000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6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Sales of goods to:</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Zhengzhou Yutong Bus Co., Ltd</w:t>
            </w:r>
          </w:p>
        </w:tc>
        <w:tc>
          <w:tcPr>
            <w:tcW w:w="102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color w:val="auto"/>
              </w:rPr>
              <w:t>42</w:t>
            </w:r>
          </w:p>
        </w:tc>
        <w:tc>
          <w:tcPr>
            <w:tcW w:w="7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14,282</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6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Zhengzhou Yutong Heavy Industries Co., Ltd.</w:t>
            </w:r>
          </w:p>
        </w:tc>
        <w:tc>
          <w:tcPr>
            <w:tcW w:w="1020" w:type="dxa"/>
            <w:vAlign w:val="bottom"/>
            <w:gridSpan w:val="4"/>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4,167</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Yutong Heavy Equipment Co., Ltd.</w:t>
            </w:r>
          </w:p>
        </w:tc>
        <w:tc>
          <w:tcPr>
            <w:tcW w:w="1020" w:type="dxa"/>
            <w:vAlign w:val="bottom"/>
            <w:gridSpan w:val="4"/>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6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Alliance Automotive R&amp;D (Shanghai) Co., Ltd.</w:t>
            </w:r>
          </w:p>
        </w:tc>
        <w:tc>
          <w:tcPr>
            <w:tcW w:w="102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1,902</w:t>
            </w:r>
          </w:p>
        </w:tc>
        <w:tc>
          <w:tcPr>
            <w:tcW w:w="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380" w:type="dxa"/>
            <w:vAlign w:val="bottom"/>
          </w:tcPr>
          <w:p>
            <w:pPr>
              <w:spacing w:after="0"/>
              <w:rPr>
                <w:sz w:val="19"/>
                <w:szCs w:val="19"/>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18,857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20" w:type="dxa"/>
            <w:vAlign w:val="bottom"/>
          </w:tcPr>
          <w:p>
            <w:pPr>
              <w:spacing w:after="0"/>
              <w:rPr>
                <w:sz w:val="18"/>
                <w:szCs w:val="18"/>
                <w:color w:val="auto"/>
              </w:rPr>
            </w:pPr>
          </w:p>
        </w:tc>
        <w:tc>
          <w:tcPr>
            <w:tcW w:w="66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Purchases of goods from:</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Zhengzhou Yutong Bus Co., Ltd.</w:t>
            </w:r>
          </w:p>
        </w:tc>
        <w:tc>
          <w:tcPr>
            <w:tcW w:w="1020" w:type="dxa"/>
            <w:vAlign w:val="bottom"/>
            <w:gridSpan w:val="4"/>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116,500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6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Zhengzhou Yutong Heavy Industry Co., Ltd.</w:t>
            </w:r>
          </w:p>
        </w:tc>
        <w:tc>
          <w:tcPr>
            <w:tcW w:w="1020" w:type="dxa"/>
            <w:vAlign w:val="bottom"/>
            <w:gridSpan w:val="4"/>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3,380</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640" w:type="dxa"/>
            <w:vAlign w:val="bottom"/>
            <w:tcBorders>
              <w:top w:val="single" w:sz="8" w:color="auto"/>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119,880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20" w:type="dxa"/>
            <w:vAlign w:val="bottom"/>
          </w:tcPr>
          <w:p>
            <w:pPr>
              <w:spacing w:after="0"/>
              <w:rPr>
                <w:sz w:val="19"/>
                <w:szCs w:val="19"/>
                <w:color w:val="auto"/>
              </w:rPr>
            </w:pPr>
          </w:p>
        </w:tc>
        <w:tc>
          <w:tcPr>
            <w:tcW w:w="6600" w:type="dxa"/>
            <w:vAlign w:val="bottom"/>
            <w:tcBorders>
              <w:right w:val="single" w:sz="8" w:color="CCEEFF"/>
            </w:tcBorders>
            <w:shd w:val="clear" w:color="auto" w:fill="CCEEFF"/>
          </w:tcPr>
          <w:p>
            <w:pPr>
              <w:spacing w:after="0" w:line="207" w:lineRule="exact"/>
              <w:rPr>
                <w:sz w:val="20"/>
                <w:szCs w:val="20"/>
                <w:color w:val="auto"/>
              </w:rPr>
            </w:pPr>
            <w:r>
              <w:rPr>
                <w:rFonts w:ascii="Times New Roman" w:cs="Times New Roman" w:eastAsia="Times New Roman" w:hAnsi="Times New Roman"/>
                <w:sz w:val="18"/>
                <w:szCs w:val="18"/>
                <w:b w:val="1"/>
                <w:bCs w:val="1"/>
                <w:color w:val="auto"/>
              </w:rPr>
              <w:t>Service rendered to</w:t>
            </w:r>
            <w:r>
              <w:rPr>
                <w:rFonts w:ascii="MS PGothic" w:cs="MS PGothic" w:eastAsia="MS PGothic" w:hAnsi="MS PGothic"/>
                <w:sz w:val="16"/>
                <w:szCs w:val="16"/>
                <w:color w:val="auto"/>
              </w:rPr>
              <w:t>：</w:t>
            </w: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Alliance Automotive R&amp;D (Shanghai) Co., Ltd.</w:t>
            </w:r>
          </w:p>
        </w:tc>
        <w:tc>
          <w:tcPr>
            <w:tcW w:w="102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color w:val="auto"/>
              </w:rPr>
              <w:t>6,181</w:t>
            </w:r>
          </w:p>
        </w:tc>
        <w:tc>
          <w:tcPr>
            <w:tcW w:w="7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17,481</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6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Zhengzhou Yutong Bus Co., Ltd.</w:t>
            </w:r>
          </w:p>
        </w:tc>
        <w:tc>
          <w:tcPr>
            <w:tcW w:w="1020" w:type="dxa"/>
            <w:vAlign w:val="bottom"/>
            <w:gridSpan w:val="4"/>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918</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6,181</w:t>
            </w:r>
          </w:p>
        </w:tc>
        <w:tc>
          <w:tcPr>
            <w:tcW w:w="380" w:type="dxa"/>
            <w:vAlign w:val="bottom"/>
          </w:tcPr>
          <w:p>
            <w:pPr>
              <w:spacing w:after="0"/>
              <w:rPr>
                <w:sz w:val="19"/>
                <w:szCs w:val="19"/>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18,399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Balances with related parties</w:t>
            </w: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792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3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760" w:type="dxa"/>
            <w:vAlign w:val="bottom"/>
            <w:gridSpan w:val="8"/>
          </w:tcPr>
          <w:p>
            <w:pPr>
              <w:jc w:val="right"/>
              <w:ind w:right="380"/>
              <w:spacing w:after="0"/>
              <w:rPr>
                <w:sz w:val="20"/>
                <w:szCs w:val="20"/>
                <w:color w:val="auto"/>
              </w:rPr>
            </w:pPr>
            <w:r>
              <w:rPr>
                <w:rFonts w:ascii="Times New Roman" w:cs="Times New Roman" w:eastAsia="Times New Roman" w:hAnsi="Times New Roman"/>
                <w:sz w:val="14"/>
                <w:szCs w:val="14"/>
                <w:i w:val="1"/>
                <w:iCs w:val="1"/>
                <w:color w:val="auto"/>
              </w:rPr>
              <w:t>As of December 31,</w:t>
            </w:r>
          </w:p>
        </w:tc>
        <w:tc>
          <w:tcPr>
            <w:tcW w:w="0" w:type="dxa"/>
            <w:vAlign w:val="bottom"/>
          </w:tcPr>
          <w:p>
            <w:pPr>
              <w:spacing w:after="0"/>
              <w:rPr>
                <w:sz w:val="1"/>
                <w:szCs w:val="1"/>
                <w:color w:val="auto"/>
              </w:rPr>
            </w:pPr>
          </w:p>
        </w:tc>
      </w:tr>
      <w:tr>
        <w:trPr>
          <w:trHeight w:val="119"/>
        </w:trPr>
        <w:tc>
          <w:tcPr>
            <w:tcW w:w="1320" w:type="dxa"/>
            <w:vAlign w:val="bottom"/>
          </w:tcPr>
          <w:p>
            <w:pPr>
              <w:spacing w:after="0"/>
              <w:rPr>
                <w:sz w:val="10"/>
                <w:szCs w:val="10"/>
                <w:color w:val="auto"/>
              </w:rPr>
            </w:pPr>
          </w:p>
        </w:tc>
        <w:tc>
          <w:tcPr>
            <w:tcW w:w="6600" w:type="dxa"/>
            <w:vAlign w:val="bottom"/>
          </w:tcPr>
          <w:p>
            <w:pPr>
              <w:spacing w:after="0"/>
              <w:rPr>
                <w:sz w:val="10"/>
                <w:szCs w:val="10"/>
                <w:color w:val="auto"/>
              </w:rPr>
            </w:pPr>
          </w:p>
        </w:tc>
        <w:tc>
          <w:tcPr>
            <w:tcW w:w="540" w:type="dxa"/>
            <w:vAlign w:val="bottom"/>
            <w:tcBorders>
              <w:top w:val="single" w:sz="8" w:color="auto"/>
            </w:tcBorders>
          </w:tcPr>
          <w:p>
            <w:pPr>
              <w:jc w:val="right"/>
              <w:ind w:right="74"/>
              <w:spacing w:after="0" w:line="119" w:lineRule="exact"/>
              <w:rPr>
                <w:sz w:val="20"/>
                <w:szCs w:val="20"/>
                <w:color w:val="auto"/>
              </w:rPr>
            </w:pPr>
            <w:r>
              <w:rPr>
                <w:rFonts w:ascii="Times New Roman" w:cs="Times New Roman" w:eastAsia="Times New Roman" w:hAnsi="Times New Roman"/>
                <w:sz w:val="13"/>
                <w:szCs w:val="13"/>
                <w:i w:val="1"/>
                <w:iCs w:val="1"/>
                <w:color w:val="auto"/>
              </w:rPr>
              <w:t>2020</w:t>
            </w: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jc w:val="right"/>
              <w:ind w:right="74"/>
              <w:spacing w:after="0" w:line="119" w:lineRule="exact"/>
              <w:rPr>
                <w:sz w:val="20"/>
                <w:szCs w:val="20"/>
                <w:color w:val="auto"/>
              </w:rPr>
            </w:pPr>
            <w:r>
              <w:rPr>
                <w:rFonts w:ascii="Times New Roman" w:cs="Times New Roman" w:eastAsia="Times New Roman" w:hAnsi="Times New Roman"/>
                <w:sz w:val="13"/>
                <w:szCs w:val="13"/>
                <w:i w:val="1"/>
                <w:iCs w:val="1"/>
                <w:color w:val="auto"/>
              </w:rPr>
              <w:t>2021</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02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color w:val="auto"/>
                <w:w w:val="91"/>
              </w:rPr>
              <w:t>RMB’000</w:t>
            </w:r>
          </w:p>
        </w:tc>
        <w:tc>
          <w:tcPr>
            <w:tcW w:w="40" w:type="dxa"/>
            <w:vAlign w:val="bottom"/>
          </w:tcPr>
          <w:p>
            <w:pPr>
              <w:spacing w:after="0"/>
              <w:rPr>
                <w:sz w:val="14"/>
                <w:szCs w:val="14"/>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RMB’000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6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Amounts due from related parties</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 from:</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60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Alliance Automotive R&amp;D (Shanghai) Co., Ltd.</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5,484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Less: loss allowance</w:t>
            </w: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380" w:type="dxa"/>
            <w:vAlign w:val="bottom"/>
          </w:tcPr>
          <w:p>
            <w:pPr>
              <w:spacing w:after="0"/>
              <w:rPr>
                <w:sz w:val="19"/>
                <w:szCs w:val="19"/>
                <w:color w:val="auto"/>
              </w:rPr>
            </w:pPr>
          </w:p>
        </w:tc>
        <w:tc>
          <w:tcPr>
            <w:tcW w:w="7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6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to:</w:t>
            </w: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Guangzhou Yuji Technology Co., Ltd.</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660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660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13,308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Amounts due to related parties</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20" w:type="dxa"/>
            <w:vAlign w:val="bottom"/>
          </w:tcPr>
          <w:p>
            <w:pPr>
              <w:spacing w:after="0"/>
              <w:rPr>
                <w:sz w:val="18"/>
                <w:szCs w:val="18"/>
                <w:color w:val="auto"/>
              </w:rPr>
            </w:pPr>
          </w:p>
        </w:tc>
        <w:tc>
          <w:tcPr>
            <w:tcW w:w="660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6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 to:</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Zhengzhou Yutong Bus Co., Ltd.</w:t>
            </w:r>
          </w:p>
        </w:tc>
        <w:tc>
          <w:tcPr>
            <w:tcW w:w="1020" w:type="dxa"/>
            <w:vAlign w:val="bottom"/>
            <w:gridSpan w:val="4"/>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16,330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60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Zhengzhou Yutong Heavy Industry Co., Ltd.</w:t>
            </w:r>
          </w:p>
        </w:tc>
        <w:tc>
          <w:tcPr>
            <w:tcW w:w="1020" w:type="dxa"/>
            <w:vAlign w:val="bottom"/>
            <w:gridSpan w:val="4"/>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Received in advance from:</w:t>
            </w:r>
          </w:p>
        </w:tc>
        <w:tc>
          <w:tcPr>
            <w:tcW w:w="5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60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Zhengzhou Yutong Bus Co., Ltd</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4,167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24,751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43,447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1894205</wp:posOffset>
            </wp:positionH>
            <wp:positionV relativeFrom="paragraph">
              <wp:posOffset>-3437255</wp:posOffset>
            </wp:positionV>
            <wp:extent cx="41275" cy="8191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41275" cy="81915"/>
                    </a:xfrm>
                    <a:prstGeom prst="rect">
                      <a:avLst/>
                    </a:prstGeom>
                    <a:noFill/>
                  </pic:spPr>
                </pic:pic>
              </a:graphicData>
            </a:graphic>
          </wp:anchor>
        </w:drawing>
      </w:r>
    </w:p>
    <w:p>
      <w:pPr>
        <w:spacing w:after="0" w:line="1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2020 and 2021, amounts due from related parties are unsecured, interest-free and repayable on demand.</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F-67</w:t>
      </w:r>
    </w:p>
    <w:p>
      <w:pPr>
        <w:sectPr>
          <w:pgSz w:w="11900" w:h="16838" w:orient="portrait"/>
          <w:cols w:equalWidth="0" w:num="1">
            <w:col w:w="10840"/>
          </w:cols>
          <w:pgMar w:left="320" w:top="455" w:right="739" w:bottom="1440" w:gutter="0" w:footer="0" w:header="0"/>
        </w:sectPr>
      </w:pPr>
    </w:p>
    <w:bookmarkStart w:id="320" w:name="page321"/>
    <w:bookmarkEnd w:id="3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33</w:t>
        <w:tab/>
        <w:t>Company level financial position</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following parent company financial information of the Company has been prepared using the same accounting policies as set out in the accompanying consolidated financial statements. As of December 31, 2021, there were no material contingencies, significant provisions of long-term obligations, mandatory dividend or redemption requirements of preferred shares and other financial instruments subject to redemption and other preferential rights of the Company, except for those, which have been separately disclosed in the consolidated financial statements:</w:t>
      </w:r>
    </w:p>
    <w:p>
      <w:pPr>
        <w:spacing w:after="0" w:line="324"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(a)</w:t>
        <w:tab/>
        <w:t>Condensed Statements of Profit or Loss</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0" w:type="dxa"/>
            <w:vAlign w:val="bottom"/>
            <w:gridSpan w:val="8"/>
          </w:tcPr>
          <w:p>
            <w:pPr>
              <w:jc w:val="center"/>
              <w:ind w:right="900"/>
              <w:spacing w:after="0"/>
              <w:rPr>
                <w:sz w:val="20"/>
                <w:szCs w:val="20"/>
                <w:color w:val="auto"/>
              </w:rPr>
            </w:pPr>
            <w:r>
              <w:rPr>
                <w:rFonts w:ascii="Times New Roman" w:cs="Times New Roman" w:eastAsia="Times New Roman" w:hAnsi="Times New Roman"/>
                <w:sz w:val="14"/>
                <w:szCs w:val="14"/>
                <w:i w:val="1"/>
                <w:iCs w:val="1"/>
                <w:color w:val="auto"/>
              </w:rPr>
              <w:t>For the year ended</w:t>
            </w: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0" w:type="dxa"/>
            <w:vAlign w:val="bottom"/>
            <w:gridSpan w:val="8"/>
          </w:tcPr>
          <w:p>
            <w:pPr>
              <w:jc w:val="center"/>
              <w:ind w:right="900"/>
              <w:spacing w:after="0"/>
              <w:rPr>
                <w:sz w:val="20"/>
                <w:szCs w:val="20"/>
                <w:color w:val="auto"/>
              </w:rPr>
            </w:pPr>
            <w:r>
              <w:rPr>
                <w:rFonts w:ascii="Times New Roman" w:cs="Times New Roman" w:eastAsia="Times New Roman" w:hAnsi="Times New Roman"/>
                <w:sz w:val="14"/>
                <w:szCs w:val="14"/>
                <w:i w:val="1"/>
                <w:iCs w:val="1"/>
                <w:color w:val="auto"/>
              </w:rPr>
              <w:t>December 31,</w:t>
            </w:r>
          </w:p>
        </w:tc>
        <w:tc>
          <w:tcPr>
            <w:tcW w:w="0" w:type="dxa"/>
            <w:vAlign w:val="bottom"/>
          </w:tcPr>
          <w:p>
            <w:pPr>
              <w:spacing w:after="0"/>
              <w:rPr>
                <w:sz w:val="1"/>
                <w:szCs w:val="1"/>
                <w:color w:val="auto"/>
              </w:rPr>
            </w:pPr>
          </w:p>
        </w:tc>
      </w:tr>
      <w:tr>
        <w:trPr>
          <w:trHeight w:val="119"/>
        </w:trPr>
        <w:tc>
          <w:tcPr>
            <w:tcW w:w="8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Borders>
              <w:top w:val="single" w:sz="8" w:color="auto"/>
            </w:tcBorders>
            <w:gridSpan w:val="2"/>
          </w:tcPr>
          <w:p>
            <w:pPr>
              <w:jc w:val="right"/>
              <w:ind w:right="179"/>
              <w:spacing w:after="0" w:line="119" w:lineRule="exact"/>
              <w:rPr>
                <w:sz w:val="20"/>
                <w:szCs w:val="20"/>
                <w:color w:val="auto"/>
              </w:rPr>
            </w:pPr>
            <w:r>
              <w:rPr>
                <w:rFonts w:ascii="Times New Roman" w:cs="Times New Roman" w:eastAsia="Times New Roman" w:hAnsi="Times New Roman"/>
                <w:sz w:val="13"/>
                <w:szCs w:val="13"/>
                <w:i w:val="1"/>
                <w:iCs w:val="1"/>
                <w:color w:val="auto"/>
              </w:rPr>
              <w:t>2020</w:t>
            </w:r>
          </w:p>
        </w:tc>
        <w:tc>
          <w:tcPr>
            <w:tcW w:w="3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right"/>
              <w:ind w:right="256"/>
              <w:spacing w:after="0" w:line="119" w:lineRule="exact"/>
              <w:rPr>
                <w:sz w:val="20"/>
                <w:szCs w:val="20"/>
                <w:color w:val="auto"/>
              </w:rPr>
            </w:pPr>
            <w:r>
              <w:rPr>
                <w:rFonts w:ascii="Times New Roman" w:cs="Times New Roman" w:eastAsia="Times New Roman" w:hAnsi="Times New Roman"/>
                <w:sz w:val="13"/>
                <w:szCs w:val="13"/>
                <w:i w:val="1"/>
                <w:iCs w:val="1"/>
                <w:color w:val="auto"/>
              </w:rPr>
              <w:t>2021</w:t>
            </w: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color w:val="auto"/>
              </w:rPr>
              <w:t>RMB’000</w:t>
            </w:r>
          </w:p>
        </w:tc>
        <w:tc>
          <w:tcPr>
            <w:tcW w:w="1500" w:type="dxa"/>
            <w:vAlign w:val="bottom"/>
            <w:gridSpan w:val="5"/>
          </w:tcPr>
          <w:p>
            <w:pPr>
              <w:jc w:val="center"/>
              <w:ind w:right="640"/>
              <w:spacing w:after="0"/>
              <w:rPr>
                <w:sz w:val="20"/>
                <w:szCs w:val="20"/>
                <w:color w:val="auto"/>
              </w:rPr>
            </w:pPr>
            <w:r>
              <w:rPr>
                <w:rFonts w:ascii="Times New Roman" w:cs="Times New Roman" w:eastAsia="Times New Roman" w:hAnsi="Times New Roman"/>
                <w:sz w:val="14"/>
                <w:szCs w:val="14"/>
                <w:color w:val="auto"/>
              </w:rPr>
              <w:t>RMB’000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(9,082)</w:t>
            </w:r>
          </w:p>
        </w:tc>
        <w:tc>
          <w:tcPr>
            <w:tcW w:w="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(10,169)</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(9,082)</w:t>
            </w:r>
          </w:p>
        </w:tc>
        <w:tc>
          <w:tcPr>
            <w:tcW w:w="36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(10,169)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8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finance costs</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(45)</w:t>
            </w:r>
          </w:p>
        </w:tc>
        <w:tc>
          <w:tcPr>
            <w:tcW w:w="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(1,436)</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Inducement charges of warrants</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(211,016)</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changes of financial liabilities measured at FVTPL</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(12,876)</w:t>
            </w:r>
          </w:p>
        </w:tc>
        <w:tc>
          <w:tcPr>
            <w:tcW w:w="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(259,872)</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Changes in the carrying amounts of preferred shares and other financial</w:t>
            </w: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instruments subject to redemption and other preferential rights</w:t>
            </w: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(3,259)</w:t>
            </w:r>
          </w:p>
        </w:tc>
        <w:tc>
          <w:tcPr>
            <w:tcW w:w="60" w:type="dxa"/>
            <w:vAlign w:val="bottom"/>
          </w:tcPr>
          <w:p>
            <w:pPr>
              <w:spacing w:after="0"/>
              <w:rPr>
                <w:sz w:val="20"/>
                <w:szCs w:val="20"/>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(268,142)</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loss from subsidiaries and VIE</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(458,610)</w:t>
            </w:r>
          </w:p>
        </w:tc>
        <w:tc>
          <w:tcPr>
            <w:tcW w:w="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(467,632)</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taxation</w:t>
            </w: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(694,888)</w:t>
            </w:r>
          </w:p>
        </w:tc>
        <w:tc>
          <w:tcPr>
            <w:tcW w:w="36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(1,007,251)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year</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(694,888)</w:t>
            </w:r>
          </w:p>
        </w:tc>
        <w:tc>
          <w:tcPr>
            <w:tcW w:w="6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(1,007,251)</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(b)   Condensed Statements of Financial Position</w:t>
            </w: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6520" w:type="dxa"/>
            <w:vAlign w:val="bottom"/>
            <w:gridSpan w:val="3"/>
            <w:vMerge w:val="continue"/>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i w:val="1"/>
                <w:iCs w:val="1"/>
                <w:color w:val="auto"/>
              </w:rPr>
              <w:t>As of</w:t>
            </w:r>
          </w:p>
        </w:tc>
        <w:tc>
          <w:tcPr>
            <w:tcW w:w="320" w:type="dxa"/>
            <w:vAlign w:val="bottom"/>
          </w:tcPr>
          <w:p>
            <w:pPr>
              <w:spacing w:after="0"/>
              <w:rPr>
                <w:sz w:val="24"/>
                <w:szCs w:val="24"/>
                <w:color w:val="auto"/>
              </w:rPr>
            </w:pPr>
          </w:p>
        </w:tc>
        <w:tc>
          <w:tcPr>
            <w:tcW w:w="90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i w:val="1"/>
                <w:iCs w:val="1"/>
                <w:color w:val="auto"/>
              </w:rPr>
              <w:t>As of</w:t>
            </w:r>
          </w:p>
        </w:tc>
        <w:tc>
          <w:tcPr>
            <w:tcW w:w="500" w:type="dxa"/>
            <w:vAlign w:val="bottom"/>
          </w:tcPr>
          <w:p>
            <w:pPr>
              <w:spacing w:after="0"/>
              <w:rPr>
                <w:sz w:val="24"/>
                <w:szCs w:val="24"/>
                <w:color w:val="auto"/>
              </w:rPr>
            </w:pPr>
          </w:p>
        </w:tc>
        <w:tc>
          <w:tcPr>
            <w:tcW w:w="100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i w:val="1"/>
                <w:iCs w:val="1"/>
                <w:color w:val="auto"/>
                <w:w w:val="98"/>
              </w:rPr>
              <w:t>As of</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i w:val="1"/>
                <w:iCs w:val="1"/>
                <w:color w:val="auto"/>
              </w:rPr>
              <w:t>January 1,</w:t>
            </w:r>
          </w:p>
        </w:tc>
        <w:tc>
          <w:tcPr>
            <w:tcW w:w="320" w:type="dxa"/>
            <w:vAlign w:val="bottom"/>
          </w:tcPr>
          <w:p>
            <w:pPr>
              <w:spacing w:after="0"/>
              <w:rPr>
                <w:sz w:val="12"/>
                <w:szCs w:val="12"/>
                <w:color w:val="auto"/>
              </w:rPr>
            </w:pPr>
          </w:p>
        </w:tc>
        <w:tc>
          <w:tcPr>
            <w:tcW w:w="90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i w:val="1"/>
                <w:iCs w:val="1"/>
                <w:color w:val="auto"/>
              </w:rPr>
              <w:t>December 31,</w:t>
            </w:r>
          </w:p>
        </w:tc>
        <w:tc>
          <w:tcPr>
            <w:tcW w:w="500" w:type="dxa"/>
            <w:vAlign w:val="bottom"/>
          </w:tcPr>
          <w:p>
            <w:pPr>
              <w:spacing w:after="0"/>
              <w:rPr>
                <w:sz w:val="12"/>
                <w:szCs w:val="12"/>
                <w:color w:val="auto"/>
              </w:rPr>
            </w:pPr>
          </w:p>
        </w:tc>
        <w:tc>
          <w:tcPr>
            <w:tcW w:w="1000" w:type="dxa"/>
            <w:vAlign w:val="bottom"/>
            <w:gridSpan w:val="4"/>
          </w:tcPr>
          <w:p>
            <w:pPr>
              <w:jc w:val="center"/>
              <w:ind w:right="80"/>
              <w:spacing w:after="0" w:line="149" w:lineRule="exact"/>
              <w:rPr>
                <w:sz w:val="20"/>
                <w:szCs w:val="20"/>
                <w:color w:val="auto"/>
              </w:rPr>
            </w:pPr>
            <w:r>
              <w:rPr>
                <w:rFonts w:ascii="Times New Roman" w:cs="Times New Roman" w:eastAsia="Times New Roman" w:hAnsi="Times New Roman"/>
                <w:sz w:val="14"/>
                <w:szCs w:val="14"/>
                <w:i w:val="1"/>
                <w:iCs w:val="1"/>
                <w:color w:val="auto"/>
              </w:rPr>
              <w:t>December 31,</w:t>
            </w: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720" w:type="dxa"/>
            <w:vAlign w:val="bottom"/>
          </w:tcPr>
          <w:p>
            <w:pPr>
              <w:jc w:val="right"/>
              <w:ind w:right="137"/>
              <w:spacing w:after="0"/>
              <w:rPr>
                <w:sz w:val="20"/>
                <w:szCs w:val="20"/>
                <w:color w:val="auto"/>
              </w:rPr>
            </w:pPr>
            <w:r>
              <w:rPr>
                <w:rFonts w:ascii="Times New Roman" w:cs="Times New Roman" w:eastAsia="Times New Roman" w:hAnsi="Times New Roman"/>
                <w:sz w:val="14"/>
                <w:szCs w:val="14"/>
                <w:i w:val="1"/>
                <w:iCs w:val="1"/>
                <w:color w:val="auto"/>
              </w:rPr>
              <w:t>2020</w:t>
            </w:r>
          </w:p>
        </w:tc>
        <w:tc>
          <w:tcPr>
            <w:tcW w:w="180" w:type="dxa"/>
            <w:vAlign w:val="bottom"/>
          </w:tcPr>
          <w:p>
            <w:pPr>
              <w:spacing w:after="0"/>
              <w:rPr>
                <w:sz w:val="15"/>
                <w:szCs w:val="15"/>
                <w:color w:val="auto"/>
              </w:rPr>
            </w:pPr>
          </w:p>
        </w:tc>
        <w:tc>
          <w:tcPr>
            <w:tcW w:w="1160" w:type="dxa"/>
            <w:vAlign w:val="bottom"/>
            <w:gridSpan w:val="3"/>
          </w:tcPr>
          <w:p>
            <w:pPr>
              <w:jc w:val="right"/>
              <w:ind w:right="170"/>
              <w:spacing w:after="0"/>
              <w:rPr>
                <w:sz w:val="20"/>
                <w:szCs w:val="20"/>
                <w:color w:val="auto"/>
              </w:rPr>
            </w:pPr>
            <w:r>
              <w:rPr>
                <w:rFonts w:ascii="Times New Roman" w:cs="Times New Roman" w:eastAsia="Times New Roman" w:hAnsi="Times New Roman"/>
                <w:sz w:val="14"/>
                <w:szCs w:val="14"/>
                <w:i w:val="1"/>
                <w:iCs w:val="1"/>
                <w:color w:val="auto"/>
              </w:rPr>
              <w:t>2020</w:t>
            </w:r>
          </w:p>
        </w:tc>
        <w:tc>
          <w:tcPr>
            <w:tcW w:w="60" w:type="dxa"/>
            <w:vAlign w:val="bottom"/>
          </w:tcPr>
          <w:p>
            <w:pPr>
              <w:spacing w:after="0"/>
              <w:rPr>
                <w:sz w:val="15"/>
                <w:szCs w:val="15"/>
                <w:color w:val="auto"/>
              </w:rPr>
            </w:pPr>
          </w:p>
        </w:tc>
        <w:tc>
          <w:tcPr>
            <w:tcW w:w="142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i w:val="1"/>
                <w:iCs w:val="1"/>
                <w:color w:val="auto"/>
              </w:rPr>
              <w:t>2021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Borders>
              <w:top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500" w:type="dxa"/>
            <w:vAlign w:val="bottom"/>
          </w:tcPr>
          <w:p>
            <w:pPr>
              <w:spacing w:after="0"/>
              <w:rPr>
                <w:sz w:val="12"/>
                <w:szCs w:val="12"/>
                <w:color w:val="auto"/>
              </w:rPr>
            </w:pPr>
          </w:p>
        </w:tc>
        <w:tc>
          <w:tcPr>
            <w:tcW w:w="920" w:type="dxa"/>
            <w:vAlign w:val="bottom"/>
            <w:tcBorders>
              <w:top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in subsidiaries and VIE</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from subsidiaries and VIE</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301,886</w:t>
            </w:r>
          </w:p>
        </w:tc>
        <w:tc>
          <w:tcPr>
            <w:tcW w:w="18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708,060</w:t>
            </w:r>
          </w:p>
        </w:tc>
        <w:tc>
          <w:tcPr>
            <w:tcW w:w="14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1,814,985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20" w:type="dxa"/>
            <w:vAlign w:val="bottom"/>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301,886</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708,060</w:t>
            </w:r>
          </w:p>
        </w:tc>
        <w:tc>
          <w:tcPr>
            <w:tcW w:w="500" w:type="dxa"/>
            <w:vAlign w:val="bottom"/>
          </w:tcPr>
          <w:p>
            <w:pPr>
              <w:spacing w:after="0"/>
              <w:rPr>
                <w:sz w:val="20"/>
                <w:szCs w:val="20"/>
                <w:color w:val="auto"/>
              </w:rPr>
            </w:pPr>
          </w:p>
        </w:tc>
        <w:tc>
          <w:tcPr>
            <w:tcW w:w="9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1,814,985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deposits and other receivables</w:t>
            </w:r>
          </w:p>
        </w:tc>
        <w:tc>
          <w:tcPr>
            <w:tcW w:w="9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14,338</w:t>
            </w:r>
          </w:p>
        </w:tc>
        <w:tc>
          <w:tcPr>
            <w:tcW w:w="500" w:type="dxa"/>
            <w:vAlign w:val="bottom"/>
          </w:tcPr>
          <w:p>
            <w:pPr>
              <w:spacing w:after="0"/>
              <w:rPr>
                <w:sz w:val="19"/>
                <w:szCs w:val="19"/>
                <w:color w:val="auto"/>
              </w:rPr>
            </w:pP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1,084,196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14,338</w:t>
            </w:r>
          </w:p>
        </w:tc>
        <w:tc>
          <w:tcPr>
            <w:tcW w:w="500" w:type="dxa"/>
            <w:vAlign w:val="bottom"/>
            <w:shd w:val="clear" w:color="auto" w:fill="CCEEFF"/>
          </w:tcPr>
          <w:p>
            <w:pPr>
              <w:spacing w:after="0"/>
              <w:rPr>
                <w:sz w:val="18"/>
                <w:szCs w:val="18"/>
                <w:color w:val="auto"/>
              </w:rPr>
            </w:pPr>
          </w:p>
        </w:tc>
        <w:tc>
          <w:tcPr>
            <w:tcW w:w="9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1,084,334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20" w:type="dxa"/>
            <w:vAlign w:val="bottom"/>
            <w:gridSpan w:val="3"/>
            <w:vMerge w:val="restart"/>
          </w:tcPr>
          <w:p>
            <w:pPr>
              <w:ind w:left="8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20" w:type="dxa"/>
            <w:vAlign w:val="bottom"/>
            <w:gridSpan w:val="3"/>
            <w:vMerge w:val="continue"/>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302,167</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722,398</w:t>
            </w:r>
          </w:p>
        </w:tc>
        <w:tc>
          <w:tcPr>
            <w:tcW w:w="500" w:type="dxa"/>
            <w:vAlign w:val="bottom"/>
          </w:tcPr>
          <w:p>
            <w:pPr>
              <w:spacing w:after="0"/>
              <w:rPr>
                <w:sz w:val="18"/>
                <w:szCs w:val="18"/>
                <w:color w:val="auto"/>
              </w:rPr>
            </w:pPr>
          </w:p>
        </w:tc>
        <w:tc>
          <w:tcPr>
            <w:tcW w:w="9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2,899,319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0" w:type="dxa"/>
            <w:vAlign w:val="bottom"/>
            <w:vMerge w:val="restart"/>
          </w:tcPr>
          <w:p>
            <w:pPr>
              <w:ind w:left="4020"/>
              <w:spacing w:after="0"/>
              <w:rPr>
                <w:sz w:val="20"/>
                <w:szCs w:val="20"/>
                <w:color w:val="auto"/>
              </w:rPr>
            </w:pPr>
            <w:r>
              <w:rPr>
                <w:rFonts w:ascii="Times New Roman" w:cs="Times New Roman" w:eastAsia="Times New Roman" w:hAnsi="Times New Roman"/>
                <w:sz w:val="18"/>
                <w:szCs w:val="18"/>
                <w:color w:val="auto"/>
              </w:rPr>
              <w:t>F-68</w:t>
            </w: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320" w:top="455" w:right="699" w:bottom="1440" w:gutter="0" w:footer="0" w:header="0"/>
        </w:sectPr>
      </w:pPr>
    </w:p>
    <w:bookmarkStart w:id="321" w:name="page322"/>
    <w:bookmarkEnd w:id="3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i w:val="1"/>
                <w:iCs w:val="1"/>
                <w:color w:val="auto"/>
              </w:rPr>
              <w:t>As of</w:t>
            </w:r>
          </w:p>
        </w:tc>
        <w:tc>
          <w:tcPr>
            <w:tcW w:w="200" w:type="dxa"/>
            <w:vAlign w:val="bottom"/>
          </w:tcPr>
          <w:p>
            <w:pPr>
              <w:spacing w:after="0"/>
              <w:rPr>
                <w:sz w:val="13"/>
                <w:szCs w:val="13"/>
                <w:color w:val="auto"/>
              </w:rPr>
            </w:pPr>
          </w:p>
        </w:tc>
        <w:tc>
          <w:tcPr>
            <w:tcW w:w="1080" w:type="dxa"/>
            <w:vAlign w:val="bottom"/>
            <w:gridSpan w:val="4"/>
          </w:tcPr>
          <w:p>
            <w:pPr>
              <w:jc w:val="right"/>
              <w:ind w:right="460"/>
              <w:spacing w:after="0"/>
              <w:rPr>
                <w:sz w:val="20"/>
                <w:szCs w:val="20"/>
                <w:color w:val="auto"/>
              </w:rPr>
            </w:pPr>
            <w:r>
              <w:rPr>
                <w:rFonts w:ascii="Times New Roman" w:cs="Times New Roman" w:eastAsia="Times New Roman" w:hAnsi="Times New Roman"/>
                <w:sz w:val="14"/>
                <w:szCs w:val="14"/>
                <w:i w:val="1"/>
                <w:iCs w:val="1"/>
                <w:color w:val="auto"/>
              </w:rPr>
              <w:t>As of</w:t>
            </w:r>
          </w:p>
        </w:tc>
        <w:tc>
          <w:tcPr>
            <w:tcW w:w="300" w:type="dxa"/>
            <w:vAlign w:val="bottom"/>
          </w:tcPr>
          <w:p>
            <w:pPr>
              <w:spacing w:after="0"/>
              <w:rPr>
                <w:sz w:val="13"/>
                <w:szCs w:val="13"/>
                <w:color w:val="auto"/>
              </w:rPr>
            </w:pPr>
          </w:p>
        </w:tc>
        <w:tc>
          <w:tcPr>
            <w:tcW w:w="1160" w:type="dxa"/>
            <w:vAlign w:val="bottom"/>
            <w:gridSpan w:val="4"/>
          </w:tcPr>
          <w:p>
            <w:pPr>
              <w:jc w:val="right"/>
              <w:ind w:right="520"/>
              <w:spacing w:after="0"/>
              <w:rPr>
                <w:sz w:val="20"/>
                <w:szCs w:val="20"/>
                <w:color w:val="auto"/>
              </w:rPr>
            </w:pPr>
            <w:r>
              <w:rPr>
                <w:rFonts w:ascii="Times New Roman" w:cs="Times New Roman" w:eastAsia="Times New Roman" w:hAnsi="Times New Roman"/>
                <w:sz w:val="14"/>
                <w:szCs w:val="14"/>
                <w:i w:val="1"/>
                <w:iCs w:val="1"/>
                <w:color w:val="auto"/>
              </w:rPr>
              <w:t>As of</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16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i w:val="1"/>
                <w:iCs w:val="1"/>
                <w:color w:val="auto"/>
              </w:rPr>
              <w:t>January 1,</w:t>
            </w:r>
          </w:p>
        </w:tc>
        <w:tc>
          <w:tcPr>
            <w:tcW w:w="200" w:type="dxa"/>
            <w:vAlign w:val="bottom"/>
          </w:tcPr>
          <w:p>
            <w:pPr>
              <w:spacing w:after="0"/>
              <w:rPr>
                <w:sz w:val="12"/>
                <w:szCs w:val="12"/>
                <w:color w:val="auto"/>
              </w:rPr>
            </w:pPr>
          </w:p>
        </w:tc>
        <w:tc>
          <w:tcPr>
            <w:tcW w:w="1080" w:type="dxa"/>
            <w:vAlign w:val="bottom"/>
            <w:gridSpan w:val="4"/>
          </w:tcPr>
          <w:p>
            <w:pPr>
              <w:jc w:val="right"/>
              <w:ind w:right="200"/>
              <w:spacing w:after="0" w:line="149" w:lineRule="exact"/>
              <w:rPr>
                <w:sz w:val="20"/>
                <w:szCs w:val="20"/>
                <w:color w:val="auto"/>
              </w:rPr>
            </w:pPr>
            <w:r>
              <w:rPr>
                <w:rFonts w:ascii="Times New Roman" w:cs="Times New Roman" w:eastAsia="Times New Roman" w:hAnsi="Times New Roman"/>
                <w:sz w:val="14"/>
                <w:szCs w:val="14"/>
                <w:i w:val="1"/>
                <w:iCs w:val="1"/>
                <w:color w:val="auto"/>
              </w:rPr>
              <w:t>December 31,</w:t>
            </w:r>
          </w:p>
        </w:tc>
        <w:tc>
          <w:tcPr>
            <w:tcW w:w="300" w:type="dxa"/>
            <w:vAlign w:val="bottom"/>
          </w:tcPr>
          <w:p>
            <w:pPr>
              <w:spacing w:after="0"/>
              <w:rPr>
                <w:sz w:val="12"/>
                <w:szCs w:val="12"/>
                <w:color w:val="auto"/>
              </w:rPr>
            </w:pPr>
          </w:p>
        </w:tc>
        <w:tc>
          <w:tcPr>
            <w:tcW w:w="1160" w:type="dxa"/>
            <w:vAlign w:val="bottom"/>
            <w:gridSpan w:val="4"/>
          </w:tcPr>
          <w:p>
            <w:pPr>
              <w:jc w:val="right"/>
              <w:ind w:right="260"/>
              <w:spacing w:after="0" w:line="149" w:lineRule="exact"/>
              <w:rPr>
                <w:sz w:val="20"/>
                <w:szCs w:val="20"/>
                <w:color w:val="auto"/>
              </w:rPr>
            </w:pPr>
            <w:r>
              <w:rPr>
                <w:rFonts w:ascii="Times New Roman" w:cs="Times New Roman" w:eastAsia="Times New Roman" w:hAnsi="Times New Roman"/>
                <w:sz w:val="14"/>
                <w:szCs w:val="14"/>
                <w:i w:val="1"/>
                <w:iCs w:val="1"/>
                <w:color w:val="auto"/>
              </w:rPr>
              <w:t>December 31,</w:t>
            </w: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960" w:type="dxa"/>
            <w:vAlign w:val="bottom"/>
          </w:tcPr>
          <w:p>
            <w:pPr>
              <w:jc w:val="right"/>
              <w:ind w:right="253"/>
              <w:spacing w:after="0"/>
              <w:rPr>
                <w:sz w:val="20"/>
                <w:szCs w:val="20"/>
                <w:color w:val="auto"/>
              </w:rPr>
            </w:pPr>
            <w:r>
              <w:rPr>
                <w:rFonts w:ascii="Times New Roman" w:cs="Times New Roman" w:eastAsia="Times New Roman" w:hAnsi="Times New Roman"/>
                <w:sz w:val="14"/>
                <w:szCs w:val="14"/>
                <w:i w:val="1"/>
                <w:iCs w:val="1"/>
                <w:color w:val="auto"/>
              </w:rPr>
              <w:t>2020</w:t>
            </w:r>
          </w:p>
        </w:tc>
        <w:tc>
          <w:tcPr>
            <w:tcW w:w="200" w:type="dxa"/>
            <w:vAlign w:val="bottom"/>
          </w:tcPr>
          <w:p>
            <w:pPr>
              <w:spacing w:after="0"/>
              <w:rPr>
                <w:sz w:val="15"/>
                <w:szCs w:val="15"/>
                <w:color w:val="auto"/>
              </w:rPr>
            </w:pPr>
          </w:p>
        </w:tc>
        <w:tc>
          <w:tcPr>
            <w:tcW w:w="1080" w:type="dxa"/>
            <w:vAlign w:val="bottom"/>
            <w:gridSpan w:val="3"/>
          </w:tcPr>
          <w:p>
            <w:pPr>
              <w:jc w:val="right"/>
              <w:ind w:right="170"/>
              <w:spacing w:after="0"/>
              <w:rPr>
                <w:sz w:val="20"/>
                <w:szCs w:val="20"/>
                <w:color w:val="auto"/>
              </w:rPr>
            </w:pPr>
            <w:r>
              <w:rPr>
                <w:rFonts w:ascii="Times New Roman" w:cs="Times New Roman" w:eastAsia="Times New Roman" w:hAnsi="Times New Roman"/>
                <w:sz w:val="14"/>
                <w:szCs w:val="14"/>
                <w:i w:val="1"/>
                <w:iCs w:val="1"/>
                <w:color w:val="auto"/>
              </w:rPr>
              <w:t>2020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i w:val="1"/>
                <w:iCs w:val="1"/>
                <w:color w:val="auto"/>
              </w:rPr>
              <w:t>2021</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Borders>
              <w:top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Borders>
              <w:top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EQUITY/(DEFICIT)</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2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Ordinary shares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24"/>
                <w:szCs w:val="24"/>
                <w:color w:val="auto"/>
              </w:rPr>
            </w:pP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4"/>
                <w:szCs w:val="24"/>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Seed-1 Convertible Preferred Shares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Seed-2 Convertible Preferred Shares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Convertible Preferred Shares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premium</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947,560</w:t>
            </w:r>
          </w:p>
        </w:tc>
        <w:tc>
          <w:tcPr>
            <w:tcW w:w="200" w:type="dxa"/>
            <w:vAlign w:val="bottom"/>
          </w:tcPr>
          <w:p>
            <w:pPr>
              <w:spacing w:after="0"/>
              <w:rPr>
                <w:sz w:val="18"/>
                <w:szCs w:val="18"/>
                <w:color w:val="auto"/>
              </w:rPr>
            </w:pP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987,440</w:t>
            </w:r>
          </w:p>
        </w:tc>
        <w:tc>
          <w:tcPr>
            <w:tcW w:w="100" w:type="dxa"/>
            <w:vAlign w:val="bottom"/>
          </w:tcPr>
          <w:p>
            <w:pPr>
              <w:spacing w:after="0"/>
              <w:rPr>
                <w:sz w:val="18"/>
                <w:szCs w:val="18"/>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1,046,621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683,241</w:t>
            </w:r>
          </w:p>
        </w:tc>
        <w:tc>
          <w:tcPr>
            <w:tcW w:w="2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738,694</w:t>
            </w:r>
          </w:p>
        </w:tc>
        <w:tc>
          <w:tcPr>
            <w:tcW w:w="10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1,210,223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losses</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(1,433,161)</w:t>
            </w:r>
          </w:p>
        </w:tc>
        <w:tc>
          <w:tcPr>
            <w:tcW w:w="128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(2,128,049)</w:t>
            </w:r>
          </w:p>
        </w:tc>
        <w:tc>
          <w:tcPr>
            <w:tcW w:w="146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(3,131,134)</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shares</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(91,841)</w:t>
            </w:r>
          </w:p>
        </w:tc>
        <w:tc>
          <w:tcPr>
            <w:tcW w:w="0" w:type="dxa"/>
            <w:vAlign w:val="bottom"/>
          </w:tcPr>
          <w:p>
            <w:pPr>
              <w:spacing w:after="0"/>
              <w:rPr>
                <w:sz w:val="1"/>
                <w:szCs w:val="1"/>
                <w:color w:val="auto"/>
              </w:rPr>
            </w:pPr>
          </w:p>
        </w:tc>
      </w:tr>
      <w:tr>
        <w:trPr>
          <w:trHeight w:val="223"/>
        </w:trPr>
        <w:tc>
          <w:tcPr>
            <w:tcW w:w="6240" w:type="dxa"/>
            <w:vAlign w:val="bottom"/>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rPr>
              <w:t>Total equity/(deficit)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197,659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(401,893)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(966,109)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880" w:type="dxa"/>
            <w:vAlign w:val="bottom"/>
            <w:vMerge w:val="restart"/>
          </w:tcPr>
          <w:p>
            <w:pPr>
              <w:spacing w:after="0"/>
              <w:rPr>
                <w:sz w:val="10"/>
                <w:szCs w:val="10"/>
                <w:color w:val="auto"/>
              </w:rPr>
            </w:pPr>
          </w:p>
        </w:tc>
        <w:tc>
          <w:tcPr>
            <w:tcW w:w="440" w:type="dxa"/>
            <w:vAlign w:val="bottom"/>
          </w:tcPr>
          <w:p>
            <w:pPr>
              <w:spacing w:after="0"/>
              <w:rPr>
                <w:sz w:val="10"/>
                <w:szCs w:val="10"/>
                <w:color w:val="auto"/>
              </w:rPr>
            </w:pPr>
          </w:p>
        </w:tc>
        <w:tc>
          <w:tcPr>
            <w:tcW w:w="49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LIABILITES</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6"/>
        </w:trPr>
        <w:tc>
          <w:tcPr>
            <w:tcW w:w="62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Preferred shares and other financial instruments subject to redemption</w:t>
            </w: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880" w:type="dxa"/>
            <w:vAlign w:val="bottom"/>
          </w:tcPr>
          <w:p>
            <w:pPr>
              <w:spacing w:after="0"/>
              <w:rPr>
                <w:sz w:val="20"/>
                <w:szCs w:val="20"/>
                <w:color w:val="auto"/>
              </w:rPr>
            </w:pPr>
          </w:p>
        </w:tc>
        <w:tc>
          <w:tcPr>
            <w:tcW w:w="5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and other preferential rights</w:t>
            </w:r>
          </w:p>
        </w:tc>
        <w:tc>
          <w:tcPr>
            <w:tcW w:w="9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688,350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3,790,636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688,350</w:t>
            </w:r>
          </w:p>
        </w:tc>
        <w:tc>
          <w:tcPr>
            <w:tcW w:w="10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3,790,636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Other payables, deposits received and accrued expenses</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61,684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and borrowings</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48,937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liabilities measured at FVTPL</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103,961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325,320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74,357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104,508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435,941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74,792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gridSpan w:val="3"/>
            <w:vMerge w:val="restart"/>
          </w:tcPr>
          <w:p>
            <w:pPr>
              <w:ind w:left="8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gridSpan w:val="3"/>
            <w:vMerge w:val="continue"/>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104,508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1,124,291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3,865,428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equity/(deficit) and liabilities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302,167</w:t>
            </w:r>
          </w:p>
        </w:tc>
        <w:tc>
          <w:tcPr>
            <w:tcW w:w="2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722,398</w:t>
            </w:r>
          </w:p>
        </w:tc>
        <w:tc>
          <w:tcPr>
            <w:tcW w:w="10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2,899,319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(c)   Condensed Statements of Cash Flow</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6240" w:type="dxa"/>
            <w:vAlign w:val="bottom"/>
            <w:gridSpan w:val="3"/>
            <w:vMerge w:val="continue"/>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gridSpan w:val="9"/>
          </w:tcPr>
          <w:p>
            <w:pPr>
              <w:jc w:val="right"/>
              <w:ind w:right="1120"/>
              <w:spacing w:after="0"/>
              <w:rPr>
                <w:sz w:val="20"/>
                <w:szCs w:val="20"/>
                <w:color w:val="auto"/>
              </w:rPr>
            </w:pPr>
            <w:r>
              <w:rPr>
                <w:rFonts w:ascii="Times New Roman" w:cs="Times New Roman" w:eastAsia="Times New Roman" w:hAnsi="Times New Roman"/>
                <w:sz w:val="14"/>
                <w:szCs w:val="14"/>
                <w:i w:val="1"/>
                <w:iCs w:val="1"/>
                <w:color w:val="auto"/>
              </w:rPr>
              <w:t>For the year ended</w:t>
            </w: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40" w:type="dxa"/>
            <w:vAlign w:val="bottom"/>
            <w:gridSpan w:val="9"/>
          </w:tcPr>
          <w:p>
            <w:pPr>
              <w:jc w:val="right"/>
              <w:ind w:right="1260"/>
              <w:spacing w:after="0"/>
              <w:rPr>
                <w:sz w:val="20"/>
                <w:szCs w:val="20"/>
                <w:color w:val="auto"/>
              </w:rPr>
            </w:pPr>
            <w:r>
              <w:rPr>
                <w:rFonts w:ascii="Times New Roman" w:cs="Times New Roman" w:eastAsia="Times New Roman" w:hAnsi="Times New Roman"/>
                <w:sz w:val="14"/>
                <w:szCs w:val="14"/>
                <w:i w:val="1"/>
                <w:iCs w:val="1"/>
                <w:color w:val="auto"/>
              </w:rPr>
              <w:t>December 31,</w:t>
            </w:r>
          </w:p>
        </w:tc>
        <w:tc>
          <w:tcPr>
            <w:tcW w:w="0" w:type="dxa"/>
            <w:vAlign w:val="bottom"/>
          </w:tcPr>
          <w:p>
            <w:pPr>
              <w:spacing w:after="0"/>
              <w:rPr>
                <w:sz w:val="1"/>
                <w:szCs w:val="1"/>
                <w:color w:val="auto"/>
              </w:rPr>
            </w:pPr>
          </w:p>
        </w:tc>
      </w:tr>
      <w:tr>
        <w:trPr>
          <w:trHeight w:val="119"/>
        </w:trPr>
        <w:tc>
          <w:tcPr>
            <w:tcW w:w="8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9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Borders>
              <w:top w:val="single" w:sz="8" w:color="auto"/>
            </w:tcBorders>
            <w:gridSpan w:val="2"/>
          </w:tcPr>
          <w:p>
            <w:pPr>
              <w:jc w:val="right"/>
              <w:ind w:right="178"/>
              <w:spacing w:after="0" w:line="119" w:lineRule="exact"/>
              <w:rPr>
                <w:sz w:val="20"/>
                <w:szCs w:val="20"/>
                <w:color w:val="auto"/>
              </w:rPr>
            </w:pPr>
            <w:r>
              <w:rPr>
                <w:rFonts w:ascii="Times New Roman" w:cs="Times New Roman" w:eastAsia="Times New Roman" w:hAnsi="Times New Roman"/>
                <w:sz w:val="13"/>
                <w:szCs w:val="13"/>
                <w:i w:val="1"/>
                <w:iCs w:val="1"/>
                <w:color w:val="auto"/>
              </w:rPr>
              <w:t>2020</w:t>
            </w:r>
          </w:p>
        </w:tc>
        <w:tc>
          <w:tcPr>
            <w:tcW w:w="2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right"/>
              <w:ind w:right="296"/>
              <w:spacing w:after="0" w:line="119" w:lineRule="exact"/>
              <w:rPr>
                <w:sz w:val="20"/>
                <w:szCs w:val="20"/>
                <w:color w:val="auto"/>
              </w:rPr>
            </w:pPr>
            <w:r>
              <w:rPr>
                <w:rFonts w:ascii="Times New Roman" w:cs="Times New Roman" w:eastAsia="Times New Roman" w:hAnsi="Times New Roman"/>
                <w:sz w:val="13"/>
                <w:szCs w:val="13"/>
                <w:i w:val="1"/>
                <w:iCs w:val="1"/>
                <w:color w:val="auto"/>
              </w:rPr>
              <w:t>2021</w:t>
            </w: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5"/>
          </w:tcPr>
          <w:p>
            <w:pPr>
              <w:jc w:val="center"/>
              <w:ind w:right="480"/>
              <w:spacing w:after="0"/>
              <w:rPr>
                <w:sz w:val="20"/>
                <w:szCs w:val="20"/>
                <w:color w:val="auto"/>
              </w:rPr>
            </w:pPr>
            <w:r>
              <w:rPr>
                <w:rFonts w:ascii="Times New Roman" w:cs="Times New Roman" w:eastAsia="Times New Roman" w:hAnsi="Times New Roman"/>
                <w:sz w:val="14"/>
                <w:szCs w:val="14"/>
                <w:color w:val="auto"/>
              </w:rPr>
              <w:t>RMB’000</w:t>
            </w:r>
          </w:p>
        </w:tc>
        <w:tc>
          <w:tcPr>
            <w:tcW w:w="1460" w:type="dxa"/>
            <w:vAlign w:val="bottom"/>
            <w:gridSpan w:val="5"/>
          </w:tcPr>
          <w:p>
            <w:pPr>
              <w:jc w:val="center"/>
              <w:ind w:right="820"/>
              <w:spacing w:after="0"/>
              <w:rPr>
                <w:sz w:val="20"/>
                <w:szCs w:val="20"/>
                <w:color w:val="auto"/>
              </w:rPr>
            </w:pPr>
            <w:r>
              <w:rPr>
                <w:rFonts w:ascii="Times New Roman" w:cs="Times New Roman" w:eastAsia="Times New Roman" w:hAnsi="Times New Roman"/>
                <w:sz w:val="14"/>
                <w:szCs w:val="14"/>
                <w:color w:val="auto"/>
              </w:rPr>
              <w:t>RMB’000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(7,639)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(55,404)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(1,229,146)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generated from financing activities</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104,283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2,343,121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47,986</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1,106,336</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8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9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gridSpan w:val="2"/>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gridSpan w:val="2"/>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as of January 1</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14,338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exchange rate changes</w:t>
            </w: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(33,929)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(36,478)</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as of December 31</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14,338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1,084,196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920" w:type="dxa"/>
            <w:vAlign w:val="bottom"/>
            <w:vMerge w:val="restart"/>
          </w:tcPr>
          <w:p>
            <w:pPr>
              <w:ind w:left="4020"/>
              <w:spacing w:after="0"/>
              <w:rPr>
                <w:sz w:val="20"/>
                <w:szCs w:val="20"/>
                <w:color w:val="auto"/>
              </w:rPr>
            </w:pPr>
            <w:r>
              <w:rPr>
                <w:rFonts w:ascii="Times New Roman" w:cs="Times New Roman" w:eastAsia="Times New Roman" w:hAnsi="Times New Roman"/>
                <w:sz w:val="18"/>
                <w:szCs w:val="18"/>
                <w:color w:val="auto"/>
              </w:rPr>
              <w:t>F-69</w:t>
            </w: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9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60"/>
          </w:cols>
          <w:pgMar w:left="320" w:top="455" w:right="1319" w:bottom="1440" w:gutter="0" w:footer="0" w:header="0"/>
        </w:sectPr>
      </w:pPr>
    </w:p>
    <w:bookmarkStart w:id="322" w:name="page323"/>
    <w:bookmarkEnd w:id="3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34</w:t>
        <w:tab/>
        <w:t>Standards issued but not yet effective</w:t>
      </w:r>
    </w:p>
    <w:p>
      <w:pPr>
        <w:spacing w:after="0" w:line="121" w:lineRule="exact"/>
        <w:rPr>
          <w:sz w:val="20"/>
          <w:szCs w:val="20"/>
          <w:color w:val="auto"/>
        </w:rPr>
      </w:pPr>
    </w:p>
    <w:p>
      <w:pPr>
        <w:ind w:left="120" w:right="600"/>
        <w:spacing w:after="0" w:line="266" w:lineRule="auto"/>
        <w:rPr>
          <w:sz w:val="20"/>
          <w:szCs w:val="20"/>
          <w:color w:val="auto"/>
        </w:rPr>
      </w:pPr>
      <w:r>
        <w:rPr>
          <w:rFonts w:ascii="Times New Roman" w:cs="Times New Roman" w:eastAsia="Times New Roman" w:hAnsi="Times New Roman"/>
          <w:sz w:val="18"/>
          <w:szCs w:val="18"/>
          <w:color w:val="auto"/>
        </w:rPr>
        <w:t xml:space="preserve">Up to the date of issue of these consolidated financial statements, the IASB has issued a number of amendments, and a new standard, IFRS 17, </w:t>
      </w:r>
      <w:r>
        <w:rPr>
          <w:rFonts w:ascii="Times New Roman" w:cs="Times New Roman" w:eastAsia="Times New Roman" w:hAnsi="Times New Roman"/>
          <w:sz w:val="18"/>
          <w:szCs w:val="18"/>
          <w:i w:val="1"/>
          <w:iCs w:val="1"/>
          <w:color w:val="auto"/>
        </w:rPr>
        <w:t>Insurance contracts</w:t>
      </w:r>
      <w:r>
        <w:rPr>
          <w:rFonts w:ascii="Times New Roman" w:cs="Times New Roman" w:eastAsia="Times New Roman" w:hAnsi="Times New Roman"/>
          <w:sz w:val="18"/>
          <w:szCs w:val="18"/>
          <w:color w:val="auto"/>
        </w:rPr>
        <w:t>, which are not yet effective for the year ended 31 December 2021 and have not been adopted in these consolidated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These developments include the following which may be relevant to the Group.</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20" w:type="dxa"/>
            <w:vAlign w:val="bottom"/>
          </w:tcPr>
          <w:p>
            <w:pPr>
              <w:spacing w:after="0"/>
              <w:rPr>
                <w:sz w:val="13"/>
                <w:szCs w:val="13"/>
                <w:color w:val="auto"/>
              </w:rPr>
            </w:pPr>
          </w:p>
        </w:tc>
        <w:tc>
          <w:tcPr>
            <w:tcW w:w="2380" w:type="dxa"/>
            <w:vAlign w:val="bottom"/>
          </w:tcPr>
          <w:p>
            <w:pPr>
              <w:jc w:val="center"/>
              <w:ind w:left="1075"/>
              <w:spacing w:after="0"/>
              <w:rPr>
                <w:sz w:val="20"/>
                <w:szCs w:val="20"/>
                <w:color w:val="auto"/>
              </w:rPr>
            </w:pPr>
            <w:r>
              <w:rPr>
                <w:rFonts w:ascii="Times New Roman" w:cs="Times New Roman" w:eastAsia="Times New Roman" w:hAnsi="Times New Roman"/>
                <w:sz w:val="14"/>
                <w:szCs w:val="14"/>
                <w:i w:val="1"/>
                <w:iCs w:val="1"/>
                <w:color w:val="auto"/>
              </w:rPr>
              <w:t>Effective for</w:t>
            </w:r>
          </w:p>
        </w:tc>
      </w:tr>
      <w:tr>
        <w:trPr>
          <w:trHeight w:val="148"/>
        </w:trPr>
        <w:tc>
          <w:tcPr>
            <w:tcW w:w="8420" w:type="dxa"/>
            <w:vAlign w:val="bottom"/>
          </w:tcPr>
          <w:p>
            <w:pPr>
              <w:spacing w:after="0"/>
              <w:rPr>
                <w:sz w:val="12"/>
                <w:szCs w:val="12"/>
                <w:color w:val="auto"/>
              </w:rPr>
            </w:pPr>
          </w:p>
        </w:tc>
        <w:tc>
          <w:tcPr>
            <w:tcW w:w="2380" w:type="dxa"/>
            <w:vAlign w:val="bottom"/>
          </w:tcPr>
          <w:p>
            <w:pPr>
              <w:jc w:val="center"/>
              <w:ind w:left="1075"/>
              <w:spacing w:after="0" w:line="149" w:lineRule="exact"/>
              <w:rPr>
                <w:sz w:val="20"/>
                <w:szCs w:val="20"/>
                <w:color w:val="auto"/>
              </w:rPr>
            </w:pPr>
            <w:r>
              <w:rPr>
                <w:rFonts w:ascii="Times New Roman" w:cs="Times New Roman" w:eastAsia="Times New Roman" w:hAnsi="Times New Roman"/>
                <w:sz w:val="14"/>
                <w:szCs w:val="14"/>
                <w:i w:val="1"/>
                <w:iCs w:val="1"/>
                <w:color w:val="auto"/>
              </w:rPr>
              <w:t>accounting periods</w:t>
            </w:r>
          </w:p>
        </w:tc>
      </w:tr>
      <w:tr>
        <w:trPr>
          <w:trHeight w:val="155"/>
        </w:trPr>
        <w:tc>
          <w:tcPr>
            <w:tcW w:w="8420" w:type="dxa"/>
            <w:vAlign w:val="bottom"/>
          </w:tcPr>
          <w:p>
            <w:pPr>
              <w:spacing w:after="0"/>
              <w:rPr>
                <w:sz w:val="13"/>
                <w:szCs w:val="13"/>
                <w:color w:val="auto"/>
              </w:rPr>
            </w:pPr>
          </w:p>
        </w:tc>
        <w:tc>
          <w:tcPr>
            <w:tcW w:w="2380" w:type="dxa"/>
            <w:vAlign w:val="bottom"/>
          </w:tcPr>
          <w:p>
            <w:pPr>
              <w:jc w:val="center"/>
              <w:ind w:left="1075"/>
              <w:spacing w:after="0" w:line="155" w:lineRule="exact"/>
              <w:rPr>
                <w:sz w:val="20"/>
                <w:szCs w:val="20"/>
                <w:color w:val="auto"/>
              </w:rPr>
            </w:pPr>
            <w:r>
              <w:rPr>
                <w:rFonts w:ascii="Times New Roman" w:cs="Times New Roman" w:eastAsia="Times New Roman" w:hAnsi="Times New Roman"/>
                <w:sz w:val="14"/>
                <w:szCs w:val="14"/>
                <w:i w:val="1"/>
                <w:iCs w:val="1"/>
                <w:color w:val="auto"/>
              </w:rPr>
              <w:t>beginning on or after</w:t>
            </w:r>
          </w:p>
        </w:tc>
      </w:tr>
      <w:tr>
        <w:trPr>
          <w:trHeight w:val="216"/>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Amendments to IFRS 3, Reference to the Conceptual Framework</w:t>
            </w:r>
          </w:p>
        </w:tc>
        <w:tc>
          <w:tcPr>
            <w:tcW w:w="2380" w:type="dxa"/>
            <w:vAlign w:val="bottom"/>
          </w:tcPr>
          <w:p>
            <w:pPr>
              <w:jc w:val="center"/>
              <w:ind w:left="1075"/>
              <w:spacing w:after="0"/>
              <w:rPr>
                <w:sz w:val="20"/>
                <w:szCs w:val="20"/>
                <w:color w:val="auto"/>
              </w:rPr>
            </w:pPr>
            <w:r>
              <w:rPr>
                <w:rFonts w:ascii="Times New Roman" w:cs="Times New Roman" w:eastAsia="Times New Roman" w:hAnsi="Times New Roman"/>
                <w:sz w:val="18"/>
                <w:szCs w:val="18"/>
                <w:color w:val="auto"/>
                <w:w w:val="99"/>
              </w:rPr>
              <w:t>1 January 2022</w:t>
            </w:r>
          </w:p>
        </w:tc>
      </w:tr>
      <w:tr>
        <w:trPr>
          <w:trHeight w:val="216"/>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Amendments to IAS 16, Property, Plant and Equipment: Proceeds before Intended Use</w:t>
            </w:r>
          </w:p>
        </w:tc>
        <w:tc>
          <w:tcPr>
            <w:tcW w:w="2380" w:type="dxa"/>
            <w:vAlign w:val="bottom"/>
          </w:tcPr>
          <w:p>
            <w:pPr>
              <w:jc w:val="center"/>
              <w:ind w:left="1075"/>
              <w:spacing w:after="0"/>
              <w:rPr>
                <w:sz w:val="20"/>
                <w:szCs w:val="20"/>
                <w:color w:val="auto"/>
              </w:rPr>
            </w:pPr>
            <w:r>
              <w:rPr>
                <w:rFonts w:ascii="Times New Roman" w:cs="Times New Roman" w:eastAsia="Times New Roman" w:hAnsi="Times New Roman"/>
                <w:sz w:val="18"/>
                <w:szCs w:val="18"/>
                <w:color w:val="auto"/>
                <w:w w:val="99"/>
              </w:rPr>
              <w:t>1 January 2022</w:t>
            </w:r>
          </w:p>
        </w:tc>
      </w:tr>
      <w:tr>
        <w:trPr>
          <w:trHeight w:val="216"/>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Amendments to IAS 37, Onerous Contracts-Cost of Fulfilling a Contract</w:t>
            </w:r>
          </w:p>
        </w:tc>
        <w:tc>
          <w:tcPr>
            <w:tcW w:w="2380" w:type="dxa"/>
            <w:vAlign w:val="bottom"/>
          </w:tcPr>
          <w:p>
            <w:pPr>
              <w:jc w:val="center"/>
              <w:ind w:left="1075"/>
              <w:spacing w:after="0"/>
              <w:rPr>
                <w:sz w:val="20"/>
                <w:szCs w:val="20"/>
                <w:color w:val="auto"/>
              </w:rPr>
            </w:pPr>
            <w:r>
              <w:rPr>
                <w:rFonts w:ascii="Times New Roman" w:cs="Times New Roman" w:eastAsia="Times New Roman" w:hAnsi="Times New Roman"/>
                <w:sz w:val="18"/>
                <w:szCs w:val="18"/>
                <w:color w:val="auto"/>
                <w:w w:val="99"/>
              </w:rPr>
              <w:t>1 January 2022</w:t>
            </w:r>
          </w:p>
        </w:tc>
      </w:tr>
      <w:tr>
        <w:trPr>
          <w:trHeight w:val="216"/>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Annual Improvements to IFRSs 2018-2020 Cycle</w:t>
            </w:r>
          </w:p>
        </w:tc>
        <w:tc>
          <w:tcPr>
            <w:tcW w:w="2380" w:type="dxa"/>
            <w:vAlign w:val="bottom"/>
          </w:tcPr>
          <w:p>
            <w:pPr>
              <w:jc w:val="center"/>
              <w:ind w:left="1075"/>
              <w:spacing w:after="0"/>
              <w:rPr>
                <w:sz w:val="20"/>
                <w:szCs w:val="20"/>
                <w:color w:val="auto"/>
              </w:rPr>
            </w:pPr>
            <w:r>
              <w:rPr>
                <w:rFonts w:ascii="Times New Roman" w:cs="Times New Roman" w:eastAsia="Times New Roman" w:hAnsi="Times New Roman"/>
                <w:sz w:val="18"/>
                <w:szCs w:val="18"/>
                <w:color w:val="auto"/>
                <w:w w:val="99"/>
              </w:rPr>
              <w:t>1 January 2022</w:t>
            </w:r>
          </w:p>
        </w:tc>
      </w:tr>
      <w:tr>
        <w:trPr>
          <w:trHeight w:val="216"/>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Amendments to IAS 1, Classification of liabilities as current or non-current</w:t>
            </w:r>
          </w:p>
        </w:tc>
        <w:tc>
          <w:tcPr>
            <w:tcW w:w="2380" w:type="dxa"/>
            <w:vAlign w:val="bottom"/>
          </w:tcPr>
          <w:p>
            <w:pPr>
              <w:jc w:val="center"/>
              <w:ind w:left="1075"/>
              <w:spacing w:after="0"/>
              <w:rPr>
                <w:sz w:val="20"/>
                <w:szCs w:val="20"/>
                <w:color w:val="auto"/>
              </w:rPr>
            </w:pPr>
            <w:r>
              <w:rPr>
                <w:rFonts w:ascii="Times New Roman" w:cs="Times New Roman" w:eastAsia="Times New Roman" w:hAnsi="Times New Roman"/>
                <w:sz w:val="18"/>
                <w:szCs w:val="18"/>
                <w:color w:val="auto"/>
                <w:w w:val="99"/>
              </w:rPr>
              <w:t>1 January 2023</w:t>
            </w:r>
          </w:p>
        </w:tc>
      </w:tr>
      <w:tr>
        <w:trPr>
          <w:trHeight w:val="216"/>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Amendments to IAS 1 and IFRS 2 Practice Statement 2, Disclosure of accounting policies</w:t>
            </w:r>
          </w:p>
        </w:tc>
        <w:tc>
          <w:tcPr>
            <w:tcW w:w="2380" w:type="dxa"/>
            <w:vAlign w:val="bottom"/>
          </w:tcPr>
          <w:p>
            <w:pPr>
              <w:jc w:val="center"/>
              <w:ind w:left="1075"/>
              <w:spacing w:after="0"/>
              <w:rPr>
                <w:sz w:val="20"/>
                <w:szCs w:val="20"/>
                <w:color w:val="auto"/>
              </w:rPr>
            </w:pPr>
            <w:r>
              <w:rPr>
                <w:rFonts w:ascii="Times New Roman" w:cs="Times New Roman" w:eastAsia="Times New Roman" w:hAnsi="Times New Roman"/>
                <w:sz w:val="18"/>
                <w:szCs w:val="18"/>
                <w:color w:val="auto"/>
                <w:w w:val="99"/>
              </w:rPr>
              <w:t>1 January 2023</w:t>
            </w:r>
          </w:p>
        </w:tc>
      </w:tr>
      <w:tr>
        <w:trPr>
          <w:trHeight w:val="216"/>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Amendments to IAS 8, Definition of accounting estimates</w:t>
            </w:r>
          </w:p>
        </w:tc>
        <w:tc>
          <w:tcPr>
            <w:tcW w:w="2380" w:type="dxa"/>
            <w:vAlign w:val="bottom"/>
          </w:tcPr>
          <w:p>
            <w:pPr>
              <w:jc w:val="center"/>
              <w:ind w:left="1075"/>
              <w:spacing w:after="0"/>
              <w:rPr>
                <w:sz w:val="20"/>
                <w:szCs w:val="20"/>
                <w:color w:val="auto"/>
              </w:rPr>
            </w:pPr>
            <w:r>
              <w:rPr>
                <w:rFonts w:ascii="Times New Roman" w:cs="Times New Roman" w:eastAsia="Times New Roman" w:hAnsi="Times New Roman"/>
                <w:sz w:val="18"/>
                <w:szCs w:val="18"/>
                <w:color w:val="auto"/>
                <w:w w:val="99"/>
              </w:rPr>
              <w:t>1 January 2023</w:t>
            </w:r>
          </w:p>
        </w:tc>
      </w:tr>
      <w:tr>
        <w:trPr>
          <w:trHeight w:val="234"/>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Amendments to IAS 12, Deferred tax related to assets and liabilities arising from a single transaction</w:t>
            </w:r>
          </w:p>
        </w:tc>
        <w:tc>
          <w:tcPr>
            <w:tcW w:w="2380" w:type="dxa"/>
            <w:vAlign w:val="bottom"/>
          </w:tcPr>
          <w:p>
            <w:pPr>
              <w:jc w:val="center"/>
              <w:ind w:left="1075"/>
              <w:spacing w:after="0"/>
              <w:rPr>
                <w:sz w:val="20"/>
                <w:szCs w:val="20"/>
                <w:color w:val="auto"/>
              </w:rPr>
            </w:pPr>
            <w:r>
              <w:rPr>
                <w:rFonts w:ascii="Times New Roman" w:cs="Times New Roman" w:eastAsia="Times New Roman" w:hAnsi="Times New Roman"/>
                <w:sz w:val="18"/>
                <w:szCs w:val="18"/>
                <w:color w:val="auto"/>
                <w:w w:val="99"/>
              </w:rPr>
              <w:t>1 January 2023</w:t>
            </w:r>
          </w:p>
        </w:tc>
      </w:tr>
    </w:tbl>
    <w:p>
      <w:pPr>
        <w:spacing w:after="0" w:line="198"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 Group is in the process of making an assessment of what the impact of these developments is expected to be in the period of initial application. So far it has concluded that the adoption of them is unlikely to have a significant impact on the consolidated financial statements.</w:t>
      </w:r>
    </w:p>
    <w:p>
      <w:pPr>
        <w:spacing w:after="0" w:line="306"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35</w:t>
        <w:tab/>
        <w:t>Impacts of covid-19 pandemic</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COVID-19 pandemic since early 2020 has brought about additional uncertainties in the Group’s operating environment.</w:t>
      </w:r>
    </w:p>
    <w:p>
      <w:pPr>
        <w:spacing w:after="0" w:line="225"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Group has been closely monitoring the impact of the developments on the Group’s business and has put in place contingency measures. These contingency measures include reassessing fluctuation to the sales volume and improving the Group’s cash management by negotiating with suppliers on payment terms. The Group will keep the contingency measures under review as the situation evolves.</w:t>
      </w:r>
    </w:p>
    <w:p>
      <w:pPr>
        <w:spacing w:after="0" w:line="320"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36</w:t>
        <w:tab/>
        <w:t>Subsequent events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Management has considered subsequent events through February 23, 2023, which was the date the consolidated financial statements were issued.</w:t>
      </w:r>
    </w:p>
    <w:p>
      <w:pPr>
        <w:spacing w:after="0" w:line="374"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color w:val="auto"/>
        </w:rPr>
        <w:t>(i).</w:t>
        <w:tab/>
        <w:t>Issuance of Series D Preferred Shares</w:t>
      </w:r>
    </w:p>
    <w:p>
      <w:pPr>
        <w:spacing w:after="0" w:line="117"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Company entered into a shares purchase agreement with certain investors, to issue 59,765,582 shares of Series D Preferred Shares at the issuance price of USD4.658 per share in exchange for an aggregated cash consideration of USD278.4 million (equivalent to RMB1,868.5 million). The key terms of Series D Preferred Shares including redemption obligations, conversion features, dividend rights and liquidation arrangement, are the same as Series C-1 Preferred Shares (Note 21).</w:t>
      </w:r>
    </w:p>
    <w:p>
      <w:pPr>
        <w:spacing w:after="0" w:line="180"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50,450,834 shares of the subscribed Series D Preferred Shares have been issued and an aggregated cash consideration of USD259.0 million (equivalent to RMB1,738.3 million) was received subsequent to December 31, 2021.</w:t>
      </w:r>
    </w:p>
    <w:p>
      <w:pPr>
        <w:spacing w:after="0" w:line="162" w:lineRule="exact"/>
        <w:rPr>
          <w:sz w:val="20"/>
          <w:szCs w:val="20"/>
          <w:color w:val="auto"/>
        </w:rPr>
      </w:pPr>
    </w:p>
    <w:p>
      <w:pPr>
        <w:ind w:left="120" w:right="780"/>
        <w:spacing w:after="0" w:line="282" w:lineRule="auto"/>
        <w:rPr>
          <w:sz w:val="20"/>
          <w:szCs w:val="20"/>
          <w:color w:val="auto"/>
        </w:rPr>
      </w:pPr>
      <w:r>
        <w:rPr>
          <w:rFonts w:ascii="Times New Roman" w:cs="Times New Roman" w:eastAsia="Times New Roman" w:hAnsi="Times New Roman"/>
          <w:sz w:val="18"/>
          <w:szCs w:val="18"/>
          <w:color w:val="auto"/>
        </w:rPr>
        <w:t>Certain of the leading investors were also granted warrants under which the investors have the rights to subscribe for 25,762,128 shares of the Company’s Series D Preferred Shares at a predetermined price of USD120.0 million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F-70</w:t>
      </w:r>
    </w:p>
    <w:p>
      <w:pPr>
        <w:sectPr>
          <w:pgSz w:w="11900" w:h="16838" w:orient="portrait"/>
          <w:cols w:equalWidth="0" w:num="1">
            <w:col w:w="11100"/>
          </w:cols>
          <w:pgMar w:left="320" w:top="455" w:right="479" w:bottom="1440" w:gutter="0" w:footer="0" w:header="0"/>
        </w:sectPr>
      </w:pPr>
    </w:p>
    <w:bookmarkStart w:id="323" w:name="page324"/>
    <w:bookmarkEnd w:id="3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(equivalent to RMB805.3 million) during a specific period. 10,734,220 of the warrants was exercised to subscribe for 10,734,220 shares of Series D Preferred Shares before expiration in July 2022.</w:t>
      </w:r>
    </w:p>
    <w:p>
      <w:pPr>
        <w:spacing w:after="0" w:line="310"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color w:val="auto"/>
        </w:rPr>
        <w:t>(ii).</w:t>
        <w:tab/>
        <w:t>Issuance of Series D+ Preferred Shares</w:t>
      </w:r>
    </w:p>
    <w:p>
      <w:pPr>
        <w:spacing w:after="0" w:line="117"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 October 2022, the Company entered into a shares purchase agreement with certain investors to issue 22,430,597 shares of Series D+ Preferred Shares at the issuance price of USD5.0429 per share in exchange for an aggregated cash consideration of USD113.1 million (equivalent to RMB759.1 million). The key terms of Series D+ Preferred Shares including clauses about redemption obligations, conversion features, dividend rights and liquidation arrangement, are the same as Series C-1 Preferred Shares (Note 21).</w:t>
      </w:r>
    </w:p>
    <w:p>
      <w:pPr>
        <w:spacing w:after="0" w:line="180"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An aggregated cash consideration of USD69.6 million (equivalent to RMB467.1 million) was received while none of the Series D+ Preferred Shares have been issued due to the completion of the foreign exchange registration procedures for the ODI subsequent to December 31, 2021.</w:t>
      </w:r>
    </w:p>
    <w:p>
      <w:pPr>
        <w:spacing w:after="0" w:line="162"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In October 2022, the Company entered into a share transfer agreement with one investor, pursuant to which, the Company repurchased 1,892,780 ordinary shares and 2,547,980 Series B-3 Preferred Shares from the investor at the price of USD3.4935 per share transfer price for an aggregated cash consideration of USD15.5 million (equivalent to RMB104.0 million).</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F-71</w:t>
      </w:r>
    </w:p>
    <w:p>
      <w:pPr>
        <w:sectPr>
          <w:pgSz w:w="11900" w:h="16838" w:orient="portrait"/>
          <w:cols w:equalWidth="0" w:num="1">
            <w:col w:w="11080"/>
          </w:cols>
          <w:pgMar w:left="320" w:top="455" w:right="499" w:bottom="1440" w:gutter="0" w:footer="0" w:header="0"/>
        </w:sectPr>
      </w:pPr>
    </w:p>
    <w:bookmarkStart w:id="324" w:name="page325"/>
    <w:bookmarkEnd w:id="324"/>
    <w:tbl>
      <w:tblPr>
        <w:tblLayout w:type="fixed"/>
        <w:tblInd w:w="0" w:type="dxa"/>
        <w:tblCellMar>
          <w:top w:w="0" w:type="dxa"/>
          <w:left w:w="0" w:type="dxa"/>
          <w:bottom w:w="0" w:type="dxa"/>
          <w:right w:w="0" w:type="dxa"/>
        </w:tblCellMar>
      </w:tblPr>
      <w:tr>
        <w:trPr>
          <w:trHeight w:val="207"/>
        </w:trPr>
        <w:tc>
          <w:tcPr>
            <w:tcW w:w="8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3"/>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6940" w:type="dxa"/>
            <w:vAlign w:val="bottom"/>
          </w:tcPr>
          <w:p>
            <w:pPr>
              <w:jc w:val="center"/>
              <w:ind w:left="149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Profit or Loss</w:t>
            </w: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940" w:type="dxa"/>
            <w:vAlign w:val="bottom"/>
          </w:tcPr>
          <w:p>
            <w:pPr>
              <w:jc w:val="center"/>
              <w:ind w:left="1490"/>
              <w:spacing w:after="0"/>
              <w:rPr>
                <w:sz w:val="20"/>
                <w:szCs w:val="20"/>
                <w:color w:val="auto"/>
              </w:rPr>
            </w:pPr>
            <w:r>
              <w:rPr>
                <w:rFonts w:ascii="Times New Roman" w:cs="Times New Roman" w:eastAsia="Times New Roman" w:hAnsi="Times New Roman"/>
                <w:sz w:val="18"/>
                <w:szCs w:val="18"/>
                <w:i w:val="1"/>
                <w:iCs w:val="1"/>
                <w:color w:val="auto"/>
                <w:w w:val="99"/>
              </w:rPr>
              <w:t>(Expressed in thousands of Renminbi (“RMB”), except for per share data)</w:t>
            </w: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8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i w:val="1"/>
                <w:iCs w:val="1"/>
                <w:color w:val="auto"/>
              </w:rPr>
              <w:t>For the six months ended</w:t>
            </w:r>
          </w:p>
        </w:tc>
        <w:tc>
          <w:tcPr>
            <w:tcW w:w="0" w:type="dxa"/>
            <w:vAlign w:val="bottom"/>
          </w:tcPr>
          <w:p>
            <w:pPr>
              <w:spacing w:after="0"/>
              <w:rPr>
                <w:sz w:val="1"/>
                <w:szCs w:val="1"/>
                <w:color w:val="auto"/>
              </w:rPr>
            </w:pPr>
          </w:p>
        </w:tc>
      </w:tr>
      <w:tr>
        <w:trPr>
          <w:trHeight w:val="236"/>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4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Note</w:t>
            </w:r>
          </w:p>
        </w:tc>
        <w:tc>
          <w:tcPr>
            <w:tcW w:w="8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June 30,</w:t>
            </w: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94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80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i w:val="1"/>
                <w:iCs w:val="1"/>
                <w:color w:val="auto"/>
              </w:rPr>
              <w:t>2021</w:t>
            </w:r>
          </w:p>
        </w:tc>
        <w:tc>
          <w:tcPr>
            <w:tcW w:w="640" w:type="dxa"/>
            <w:vAlign w:val="bottom"/>
          </w:tcPr>
          <w:p>
            <w:pPr>
              <w:spacing w:after="0"/>
              <w:rPr>
                <w:sz w:val="16"/>
                <w:szCs w:val="16"/>
                <w:color w:val="auto"/>
              </w:rPr>
            </w:pPr>
          </w:p>
        </w:tc>
        <w:tc>
          <w:tcPr>
            <w:tcW w:w="82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i w:val="1"/>
                <w:iCs w:val="1"/>
                <w:color w:val="auto"/>
              </w:rPr>
              <w:t>2022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40" w:type="dxa"/>
            <w:vAlign w:val="bottom"/>
            <w:gridSpan w:val="2"/>
          </w:tcPr>
          <w:p>
            <w:pPr>
              <w:jc w:val="center"/>
              <w:ind w:right="570"/>
              <w:spacing w:after="0"/>
              <w:rPr>
                <w:sz w:val="20"/>
                <w:szCs w:val="20"/>
                <w:color w:val="auto"/>
              </w:rPr>
            </w:pPr>
            <w:r>
              <w:rPr>
                <w:rFonts w:ascii="Times New Roman" w:cs="Times New Roman" w:eastAsia="Times New Roman" w:hAnsi="Times New Roman"/>
                <w:sz w:val="18"/>
                <w:szCs w:val="18"/>
                <w:color w:val="auto"/>
              </w:rPr>
              <w:t>RMB’000</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RMB’000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Product revenue</w:t>
            </w:r>
          </w:p>
        </w:tc>
        <w:tc>
          <w:tcPr>
            <w:tcW w:w="460" w:type="dxa"/>
            <w:vAlign w:val="bottom"/>
          </w:tcPr>
          <w:p>
            <w:pPr>
              <w:spacing w:after="0"/>
              <w:rPr>
                <w:sz w:val="18"/>
                <w:szCs w:val="18"/>
                <w:color w:val="auto"/>
              </w:rPr>
            </w:pPr>
          </w:p>
        </w:tc>
        <w:tc>
          <w:tcPr>
            <w:tcW w:w="144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color w:val="auto"/>
              </w:rPr>
              <w:t>18,470</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92,257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Service revenue</w:t>
            </w:r>
          </w:p>
        </w:tc>
        <w:tc>
          <w:tcPr>
            <w:tcW w:w="4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6,375</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47,468</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4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3</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24,845</w:t>
            </w:r>
          </w:p>
        </w:tc>
        <w:tc>
          <w:tcPr>
            <w:tcW w:w="6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139,725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9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Cost of goods sold</w:t>
            </w:r>
          </w:p>
        </w:tc>
        <w:tc>
          <w:tcPr>
            <w:tcW w:w="4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5</w:t>
            </w:r>
          </w:p>
        </w:tc>
        <w:tc>
          <w:tcPr>
            <w:tcW w:w="144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(18,447)</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(54,233)</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services</w:t>
            </w:r>
          </w:p>
        </w:tc>
        <w:tc>
          <w:tcPr>
            <w:tcW w:w="46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5</w:t>
            </w:r>
          </w:p>
        </w:tc>
        <w:tc>
          <w:tcPr>
            <w:tcW w:w="1440" w:type="dxa"/>
            <w:vAlign w:val="bottom"/>
            <w:gridSpan w:val="2"/>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(1,695)</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(22,063)</w:t>
            </w:r>
          </w:p>
        </w:tc>
        <w:tc>
          <w:tcPr>
            <w:tcW w:w="0" w:type="dxa"/>
            <w:vAlign w:val="bottom"/>
          </w:tcPr>
          <w:p>
            <w:pPr>
              <w:spacing w:after="0"/>
              <w:rPr>
                <w:sz w:val="1"/>
                <w:szCs w:val="1"/>
                <w:color w:val="auto"/>
              </w:rPr>
            </w:pPr>
          </w:p>
        </w:tc>
      </w:tr>
      <w:tr>
        <w:trPr>
          <w:trHeight w:val="232"/>
        </w:trPr>
        <w:tc>
          <w:tcPr>
            <w:tcW w:w="120" w:type="dxa"/>
            <w:vAlign w:val="bottom"/>
          </w:tcPr>
          <w:p>
            <w:pPr>
              <w:spacing w:after="0"/>
              <w:rPr>
                <w:sz w:val="20"/>
                <w:szCs w:val="20"/>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cost of revenue</w:t>
            </w:r>
          </w:p>
        </w:tc>
        <w:tc>
          <w:tcPr>
            <w:tcW w:w="460" w:type="dxa"/>
            <w:vAlign w:val="bottom"/>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(20,142)</w:t>
            </w:r>
          </w:p>
        </w:tc>
        <w:tc>
          <w:tcPr>
            <w:tcW w:w="640" w:type="dxa"/>
            <w:vAlign w:val="bottom"/>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(76,296)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9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4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4,703</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63,429</w:t>
            </w:r>
          </w:p>
        </w:tc>
        <w:tc>
          <w:tcPr>
            <w:tcW w:w="0" w:type="dxa"/>
            <w:vAlign w:val="bottom"/>
          </w:tcPr>
          <w:p>
            <w:pPr>
              <w:spacing w:after="0"/>
              <w:rPr>
                <w:sz w:val="1"/>
                <w:szCs w:val="1"/>
                <w:color w:val="auto"/>
              </w:rPr>
            </w:pPr>
          </w:p>
        </w:tc>
      </w:tr>
      <w:tr>
        <w:trPr>
          <w:trHeight w:val="324"/>
        </w:trPr>
        <w:tc>
          <w:tcPr>
            <w:tcW w:w="120" w:type="dxa"/>
            <w:vAlign w:val="bottom"/>
          </w:tcPr>
          <w:p>
            <w:pPr>
              <w:spacing w:after="0"/>
              <w:rPr>
                <w:sz w:val="24"/>
                <w:szCs w:val="24"/>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net income</w:t>
            </w:r>
          </w:p>
        </w:tc>
        <w:tc>
          <w:tcPr>
            <w:tcW w:w="4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4</w:t>
            </w:r>
          </w:p>
        </w:tc>
        <w:tc>
          <w:tcPr>
            <w:tcW w:w="144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color w:val="auto"/>
              </w:rPr>
              <w:t>24,313</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29,921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46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5</w:t>
            </w:r>
          </w:p>
        </w:tc>
        <w:tc>
          <w:tcPr>
            <w:tcW w:w="1440" w:type="dxa"/>
            <w:vAlign w:val="bottom"/>
            <w:gridSpan w:val="2"/>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(173,979)</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(318,692)</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4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5</w:t>
            </w:r>
          </w:p>
        </w:tc>
        <w:tc>
          <w:tcPr>
            <w:tcW w:w="144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(37,170)</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(76,233)</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46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5</w:t>
            </w:r>
          </w:p>
        </w:tc>
        <w:tc>
          <w:tcPr>
            <w:tcW w:w="1440" w:type="dxa"/>
            <w:vAlign w:val="bottom"/>
            <w:gridSpan w:val="2"/>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(5,100)</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(9,012)</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loss on receivables and contract assets</w:t>
            </w:r>
          </w:p>
        </w:tc>
        <w:tc>
          <w:tcPr>
            <w:tcW w:w="460" w:type="dxa"/>
            <w:vAlign w:val="bottom"/>
          </w:tcPr>
          <w:p>
            <w:pPr>
              <w:spacing w:after="0"/>
              <w:rPr>
                <w:sz w:val="18"/>
                <w:szCs w:val="18"/>
                <w:color w:val="auto"/>
              </w:rPr>
            </w:pPr>
          </w:p>
        </w:tc>
        <w:tc>
          <w:tcPr>
            <w:tcW w:w="144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(152)</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(3,527)</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4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(187,385)</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(314,114)</w:t>
            </w:r>
          </w:p>
        </w:tc>
        <w:tc>
          <w:tcPr>
            <w:tcW w:w="0" w:type="dxa"/>
            <w:vAlign w:val="bottom"/>
          </w:tcPr>
          <w:p>
            <w:pPr>
              <w:spacing w:after="0"/>
              <w:rPr>
                <w:sz w:val="1"/>
                <w:szCs w:val="1"/>
                <w:color w:val="auto"/>
              </w:rPr>
            </w:pPr>
          </w:p>
        </w:tc>
      </w:tr>
      <w:tr>
        <w:trPr>
          <w:trHeight w:val="324"/>
        </w:trPr>
        <w:tc>
          <w:tcPr>
            <w:tcW w:w="120" w:type="dxa"/>
            <w:vAlign w:val="bottom"/>
          </w:tcPr>
          <w:p>
            <w:pPr>
              <w:spacing w:after="0"/>
              <w:rPr>
                <w:sz w:val="24"/>
                <w:szCs w:val="24"/>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changes of financial assets measured at FVTPL</w:t>
            </w:r>
          </w:p>
        </w:tc>
        <w:tc>
          <w:tcPr>
            <w:tcW w:w="460" w:type="dxa"/>
            <w:vAlign w:val="bottom"/>
          </w:tcPr>
          <w:p>
            <w:pPr>
              <w:spacing w:after="0"/>
              <w:rPr>
                <w:sz w:val="24"/>
                <w:szCs w:val="24"/>
                <w:color w:val="auto"/>
              </w:rPr>
            </w:pPr>
          </w:p>
        </w:tc>
        <w:tc>
          <w:tcPr>
            <w:tcW w:w="144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color w:val="auto"/>
              </w:rPr>
              <w:t>3,338</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finance costs</w:t>
            </w:r>
          </w:p>
        </w:tc>
        <w:tc>
          <w:tcPr>
            <w:tcW w:w="46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6</w:t>
            </w:r>
          </w:p>
        </w:tc>
        <w:tc>
          <w:tcPr>
            <w:tcW w:w="1440" w:type="dxa"/>
            <w:vAlign w:val="bottom"/>
            <w:gridSpan w:val="2"/>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(4,359)</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(2,247)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Inducement charges of warrants</w:t>
            </w:r>
          </w:p>
        </w:tc>
        <w:tc>
          <w:tcPr>
            <w:tcW w:w="4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18</w:t>
            </w:r>
          </w:p>
        </w:tc>
        <w:tc>
          <w:tcPr>
            <w:tcW w:w="144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(120,750)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changes of financial liabilities measured at FVTPL</w:t>
            </w:r>
          </w:p>
        </w:tc>
        <w:tc>
          <w:tcPr>
            <w:tcW w:w="46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18</w:t>
            </w:r>
          </w:p>
        </w:tc>
        <w:tc>
          <w:tcPr>
            <w:tcW w:w="1440" w:type="dxa"/>
            <w:vAlign w:val="bottom"/>
            <w:gridSpan w:val="2"/>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(254,240)</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11,162</w:t>
            </w:r>
          </w:p>
        </w:tc>
        <w:tc>
          <w:tcPr>
            <w:tcW w:w="0" w:type="dxa"/>
            <w:vAlign w:val="bottom"/>
          </w:tcPr>
          <w:p>
            <w:pPr>
              <w:spacing w:after="0"/>
              <w:rPr>
                <w:sz w:val="1"/>
                <w:szCs w:val="1"/>
                <w:color w:val="auto"/>
              </w:rPr>
            </w:pPr>
          </w:p>
        </w:tc>
      </w:tr>
      <w:tr>
        <w:trPr>
          <w:trHeight w:val="198"/>
        </w:trPr>
        <w:tc>
          <w:tcPr>
            <w:tcW w:w="120" w:type="dxa"/>
            <w:vAlign w:val="bottom"/>
          </w:tcPr>
          <w:p>
            <w:pPr>
              <w:spacing w:after="0"/>
              <w:rPr>
                <w:sz w:val="17"/>
                <w:szCs w:val="17"/>
                <w:color w:val="auto"/>
              </w:rPr>
            </w:pPr>
          </w:p>
        </w:tc>
        <w:tc>
          <w:tcPr>
            <w:tcW w:w="81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Changes in the carrying amounts of preferred shares and other financial instruments subject to redemption</w:t>
            </w: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and other preferential rights</w:t>
            </w:r>
          </w:p>
        </w:tc>
        <w:tc>
          <w:tcPr>
            <w:tcW w:w="4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16</w:t>
            </w:r>
          </w:p>
        </w:tc>
        <w:tc>
          <w:tcPr>
            <w:tcW w:w="144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(104,350)</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(231,979)</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taxation</w:t>
            </w:r>
          </w:p>
        </w:tc>
        <w:tc>
          <w:tcPr>
            <w:tcW w:w="4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(546,996)</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(657,885)</w:t>
            </w:r>
          </w:p>
        </w:tc>
        <w:tc>
          <w:tcPr>
            <w:tcW w:w="0" w:type="dxa"/>
            <w:vAlign w:val="bottom"/>
          </w:tcPr>
          <w:p>
            <w:pPr>
              <w:spacing w:after="0"/>
              <w:rPr>
                <w:sz w:val="1"/>
                <w:szCs w:val="1"/>
                <w:color w:val="auto"/>
              </w:rPr>
            </w:pPr>
          </w:p>
        </w:tc>
      </w:tr>
      <w:tr>
        <w:trPr>
          <w:trHeight w:val="331"/>
        </w:trPr>
        <w:tc>
          <w:tcPr>
            <w:tcW w:w="120" w:type="dxa"/>
            <w:vAlign w:val="bottom"/>
          </w:tcPr>
          <w:p>
            <w:pPr>
              <w:spacing w:after="0"/>
              <w:rPr>
                <w:sz w:val="24"/>
                <w:szCs w:val="24"/>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w:t>
            </w:r>
          </w:p>
        </w:tc>
        <w:tc>
          <w:tcPr>
            <w:tcW w:w="4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7</w:t>
            </w: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4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(546,996)</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(657,885)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Loss per ordinary share</w:t>
            </w:r>
          </w:p>
        </w:tc>
        <w:tc>
          <w:tcPr>
            <w:tcW w:w="4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818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9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loss per ordinary share (in RMB)</w:t>
            </w:r>
          </w:p>
        </w:tc>
        <w:tc>
          <w:tcPr>
            <w:tcW w:w="46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8</w:t>
            </w:r>
          </w:p>
        </w:tc>
        <w:tc>
          <w:tcPr>
            <w:tcW w:w="1440" w:type="dxa"/>
            <w:vAlign w:val="bottom"/>
            <w:gridSpan w:val="2"/>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(2.43)</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3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interim financial statements.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F-72</w:t>
      </w:r>
    </w:p>
    <w:p>
      <w:pPr>
        <w:sectPr>
          <w:pgSz w:w="11900" w:h="16838" w:orient="portrait"/>
          <w:cols w:equalWidth="0" w:num="1">
            <w:col w:w="11140"/>
          </w:cols>
          <w:pgMar w:left="320" w:top="446" w:right="439" w:bottom="1440" w:gutter="0" w:footer="0" w:header="0"/>
        </w:sectPr>
      </w:pPr>
    </w:p>
    <w:bookmarkStart w:id="325" w:name="page326"/>
    <w:bookmarkEnd w:id="3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Profit or Loss and Other Comprehensive Income</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(Expressed in thousands of RMB)</w:t>
      </w:r>
    </w:p>
    <w:p>
      <w:pPr>
        <w:spacing w:after="0" w:line="232"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8820" w:type="dxa"/>
            <w:vAlign w:val="bottom"/>
          </w:tcPr>
          <w:p>
            <w:pPr>
              <w:spacing w:after="0"/>
              <w:rPr>
                <w:sz w:val="18"/>
                <w:szCs w:val="18"/>
                <w:color w:val="auto"/>
              </w:rPr>
            </w:pPr>
          </w:p>
        </w:tc>
        <w:tc>
          <w:tcPr>
            <w:tcW w:w="220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i w:val="1"/>
                <w:iCs w:val="1"/>
                <w:color w:val="auto"/>
              </w:rPr>
              <w:t>For the six months ended</w:t>
            </w:r>
          </w:p>
        </w:tc>
      </w:tr>
      <w:tr>
        <w:trPr>
          <w:trHeight w:val="236"/>
        </w:trPr>
        <w:tc>
          <w:tcPr>
            <w:tcW w:w="8820" w:type="dxa"/>
            <w:vAlign w:val="bottom"/>
          </w:tcPr>
          <w:p>
            <w:pPr>
              <w:spacing w:after="0"/>
              <w:rPr>
                <w:sz w:val="20"/>
                <w:szCs w:val="20"/>
                <w:color w:val="auto"/>
              </w:rPr>
            </w:pPr>
          </w:p>
        </w:tc>
        <w:tc>
          <w:tcPr>
            <w:tcW w:w="2200" w:type="dxa"/>
            <w:vAlign w:val="bottom"/>
            <w:gridSpan w:val="4"/>
          </w:tcPr>
          <w:p>
            <w:pPr>
              <w:jc w:val="right"/>
              <w:ind w:right="860"/>
              <w:spacing w:after="0"/>
              <w:rPr>
                <w:sz w:val="20"/>
                <w:szCs w:val="20"/>
                <w:color w:val="auto"/>
              </w:rPr>
            </w:pPr>
            <w:r>
              <w:rPr>
                <w:rFonts w:ascii="Times New Roman" w:cs="Times New Roman" w:eastAsia="Times New Roman" w:hAnsi="Times New Roman"/>
                <w:sz w:val="18"/>
                <w:szCs w:val="18"/>
                <w:i w:val="1"/>
                <w:iCs w:val="1"/>
                <w:color w:val="auto"/>
              </w:rPr>
              <w:t>June 30,</w:t>
            </w:r>
          </w:p>
        </w:tc>
      </w:tr>
      <w:tr>
        <w:trPr>
          <w:trHeight w:val="191"/>
        </w:trPr>
        <w:tc>
          <w:tcPr>
            <w:tcW w:w="8820" w:type="dxa"/>
            <w:vAlign w:val="bottom"/>
          </w:tcPr>
          <w:p>
            <w:pPr>
              <w:spacing w:after="0"/>
              <w:rPr>
                <w:sz w:val="16"/>
                <w:szCs w:val="16"/>
                <w:color w:val="auto"/>
              </w:rPr>
            </w:pPr>
          </w:p>
        </w:tc>
        <w:tc>
          <w:tcPr>
            <w:tcW w:w="800" w:type="dxa"/>
            <w:vAlign w:val="bottom"/>
            <w:tcBorders>
              <w:top w:val="single" w:sz="8" w:color="auto"/>
            </w:tcBorders>
          </w:tcPr>
          <w:p>
            <w:pPr>
              <w:jc w:val="right"/>
              <w:ind w:right="130"/>
              <w:spacing w:after="0" w:line="191" w:lineRule="exact"/>
              <w:rPr>
                <w:sz w:val="20"/>
                <w:szCs w:val="20"/>
                <w:color w:val="auto"/>
              </w:rPr>
            </w:pPr>
            <w:r>
              <w:rPr>
                <w:rFonts w:ascii="Times New Roman" w:cs="Times New Roman" w:eastAsia="Times New Roman" w:hAnsi="Times New Roman"/>
                <w:sz w:val="18"/>
                <w:szCs w:val="18"/>
                <w:i w:val="1"/>
                <w:iCs w:val="1"/>
                <w:color w:val="auto"/>
              </w:rPr>
              <w:t>2021</w:t>
            </w:r>
          </w:p>
        </w:tc>
        <w:tc>
          <w:tcPr>
            <w:tcW w:w="4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150"/>
              <w:spacing w:after="0" w:line="191" w:lineRule="exact"/>
              <w:rPr>
                <w:sz w:val="20"/>
                <w:szCs w:val="20"/>
                <w:color w:val="auto"/>
              </w:rPr>
            </w:pPr>
            <w:r>
              <w:rPr>
                <w:rFonts w:ascii="Times New Roman" w:cs="Times New Roman" w:eastAsia="Times New Roman" w:hAnsi="Times New Roman"/>
                <w:sz w:val="18"/>
                <w:szCs w:val="18"/>
                <w:i w:val="1"/>
                <w:iCs w:val="1"/>
                <w:color w:val="auto"/>
              </w:rPr>
              <w:t>2022</w:t>
            </w:r>
          </w:p>
        </w:tc>
        <w:tc>
          <w:tcPr>
            <w:tcW w:w="120" w:type="dxa"/>
            <w:vAlign w:val="bottom"/>
          </w:tcPr>
          <w:p>
            <w:pPr>
              <w:spacing w:after="0"/>
              <w:rPr>
                <w:sz w:val="16"/>
                <w:szCs w:val="16"/>
                <w:color w:val="auto"/>
              </w:rPr>
            </w:pPr>
          </w:p>
        </w:tc>
      </w:tr>
      <w:tr>
        <w:trPr>
          <w:trHeight w:val="234"/>
        </w:trPr>
        <w:tc>
          <w:tcPr>
            <w:tcW w:w="8820" w:type="dxa"/>
            <w:vAlign w:val="bottom"/>
          </w:tcPr>
          <w:p>
            <w:pPr>
              <w:spacing w:after="0"/>
              <w:rPr>
                <w:sz w:val="20"/>
                <w:szCs w:val="20"/>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8"/>
              </w:rPr>
              <w:t>RMB’000</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RMB’000</w:t>
            </w: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(546,996)</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(657,885)</w:t>
            </w:r>
          </w:p>
        </w:tc>
      </w:tr>
      <w:tr>
        <w:trPr>
          <w:trHeight w:val="223"/>
        </w:trPr>
        <w:tc>
          <w:tcPr>
            <w:tcW w:w="8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 for the period (net of nil tax):</w:t>
            </w:r>
          </w:p>
        </w:tc>
        <w:tc>
          <w:tcPr>
            <w:tcW w:w="8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108"/>
        </w:trPr>
        <w:tc>
          <w:tcPr>
            <w:tcW w:w="8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Items that will not be reclassified to profit or loss:</w:t>
            </w: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 Exchange differences on translation of financial statements of foreign operations</w:t>
            </w: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(4,964)</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(116,451)</w:t>
            </w: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Equity investment designated at FVOCI — net movement in fair value reserve</w:t>
            </w: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(8,213)</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 for the period:</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(13,177)</w:t>
            </w:r>
          </w:p>
        </w:tc>
        <w:tc>
          <w:tcPr>
            <w:tcW w:w="4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(116,451)</w:t>
            </w:r>
          </w:p>
        </w:tc>
        <w:tc>
          <w:tcPr>
            <w:tcW w:w="120" w:type="dxa"/>
            <w:vAlign w:val="bottom"/>
          </w:tcPr>
          <w:p>
            <w:pPr>
              <w:spacing w:after="0"/>
              <w:rPr>
                <w:sz w:val="19"/>
                <w:szCs w:val="19"/>
                <w:color w:val="auto"/>
              </w:rPr>
            </w:pPr>
          </w:p>
        </w:tc>
      </w:tr>
      <w:tr>
        <w:trPr>
          <w:trHeight w:val="20"/>
        </w:trPr>
        <w:tc>
          <w:tcPr>
            <w:tcW w:w="88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for the period attributable to equity shareholders of the Company</w:t>
            </w: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(560,173)</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(774,336)</w:t>
            </w:r>
          </w:p>
        </w:tc>
      </w:tr>
      <w:tr>
        <w:trPr>
          <w:trHeight w:val="20"/>
        </w:trPr>
        <w:tc>
          <w:tcPr>
            <w:tcW w:w="88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interim financial statements.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F-73</w:t>
      </w:r>
    </w:p>
    <w:p>
      <w:pPr>
        <w:sectPr>
          <w:pgSz w:w="11900" w:h="16838" w:orient="portrait"/>
          <w:cols w:equalWidth="0" w:num="1">
            <w:col w:w="11140"/>
          </w:cols>
          <w:pgMar w:left="320" w:top="455" w:right="439" w:bottom="1440" w:gutter="0" w:footer="0" w:header="0"/>
        </w:sectPr>
      </w:pPr>
    </w:p>
    <w:bookmarkStart w:id="326" w:name="page327"/>
    <w:bookmarkEnd w:id="326"/>
    <w:tbl>
      <w:tblPr>
        <w:tblLayout w:type="fixed"/>
        <w:tblInd w:w="0" w:type="dxa"/>
        <w:tblCellMar>
          <w:top w:w="0" w:type="dxa"/>
          <w:left w:w="0" w:type="dxa"/>
          <w:bottom w:w="0" w:type="dxa"/>
          <w:right w:w="0" w:type="dxa"/>
        </w:tblCellMar>
      </w:tblPr>
      <w:tr>
        <w:trPr>
          <w:trHeight w:val="207"/>
        </w:trPr>
        <w:tc>
          <w:tcPr>
            <w:tcW w:w="3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4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3"/>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7420" w:type="dxa"/>
            <w:vAlign w:val="bottom"/>
            <w:gridSpan w:val="2"/>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Unaudited Condensed Consolidated Statements of Financial Position</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920" w:type="dxa"/>
            <w:vAlign w:val="bottom"/>
          </w:tcPr>
          <w:p>
            <w:pPr>
              <w:jc w:val="center"/>
              <w:ind w:right="1290"/>
              <w:spacing w:after="0"/>
              <w:rPr>
                <w:sz w:val="20"/>
                <w:szCs w:val="20"/>
                <w:color w:val="auto"/>
              </w:rPr>
            </w:pPr>
            <w:r>
              <w:rPr>
                <w:rFonts w:ascii="Times New Roman" w:cs="Times New Roman" w:eastAsia="Times New Roman" w:hAnsi="Times New Roman"/>
                <w:sz w:val="18"/>
                <w:szCs w:val="18"/>
                <w:i w:val="1"/>
                <w:iCs w:val="1"/>
                <w:color w:val="auto"/>
                <w:w w:val="99"/>
              </w:rPr>
              <w:t>(Expressed in thousands of RMB)</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3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i w:val="1"/>
                <w:iCs w:val="1"/>
                <w:color w:val="auto"/>
              </w:rPr>
              <w:t>As of</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i w:val="1"/>
                <w:iCs w:val="1"/>
                <w:color w:val="auto"/>
              </w:rPr>
              <w:t>As of</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i w:val="1"/>
                <w:iCs w:val="1"/>
                <w:color w:val="auto"/>
              </w:rPr>
              <w:t>December 31,</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i w:val="1"/>
                <w:iCs w:val="1"/>
                <w:color w:val="auto"/>
              </w:rPr>
              <w:t>June 30,</w:t>
            </w:r>
          </w:p>
        </w:tc>
        <w:tc>
          <w:tcPr>
            <w:tcW w:w="0" w:type="dxa"/>
            <w:vAlign w:val="bottom"/>
          </w:tcPr>
          <w:p>
            <w:pPr>
              <w:spacing w:after="0"/>
              <w:rPr>
                <w:sz w:val="1"/>
                <w:szCs w:val="1"/>
                <w:color w:val="auto"/>
              </w:rPr>
            </w:pPr>
          </w:p>
        </w:tc>
      </w:tr>
      <w:tr>
        <w:trPr>
          <w:trHeight w:val="236"/>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920" w:type="dxa"/>
            <w:vAlign w:val="bottom"/>
          </w:tcPr>
          <w:p>
            <w:pPr>
              <w:ind w:left="4360"/>
              <w:spacing w:after="0"/>
              <w:rPr>
                <w:sz w:val="20"/>
                <w:szCs w:val="20"/>
                <w:color w:val="auto"/>
              </w:rPr>
            </w:pPr>
            <w:r>
              <w:rPr>
                <w:rFonts w:ascii="Times New Roman" w:cs="Times New Roman" w:eastAsia="Times New Roman" w:hAnsi="Times New Roman"/>
                <w:sz w:val="18"/>
                <w:szCs w:val="18"/>
                <w:i w:val="1"/>
                <w:iCs w:val="1"/>
                <w:color w:val="auto"/>
              </w:rPr>
              <w:t>Note</w:t>
            </w: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i w:val="1"/>
                <w:iCs w:val="1"/>
                <w:color w:val="auto"/>
              </w:rPr>
              <w:t>2021</w:t>
            </w:r>
          </w:p>
        </w:tc>
        <w:tc>
          <w:tcPr>
            <w:tcW w:w="220" w:type="dxa"/>
            <w:vAlign w:val="bottom"/>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i w:val="1"/>
                <w:iCs w:val="1"/>
                <w:color w:val="auto"/>
              </w:rPr>
              <w:t>2022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RMB’000</w:t>
            </w:r>
          </w:p>
        </w:tc>
        <w:tc>
          <w:tcPr>
            <w:tcW w:w="2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RMB’000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9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49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4920" w:type="dxa"/>
            <w:vAlign w:val="bottom"/>
            <w:shd w:val="clear" w:color="auto" w:fill="CCEEFF"/>
          </w:tcPr>
          <w:p>
            <w:pPr>
              <w:jc w:val="center"/>
              <w:ind w:left="4090"/>
              <w:spacing w:after="0"/>
              <w:rPr>
                <w:sz w:val="20"/>
                <w:szCs w:val="20"/>
                <w:color w:val="auto"/>
              </w:rPr>
            </w:pPr>
            <w:r>
              <w:rPr>
                <w:rFonts w:ascii="Times New Roman" w:cs="Times New Roman" w:eastAsia="Times New Roman" w:hAnsi="Times New Roman"/>
                <w:sz w:val="18"/>
                <w:szCs w:val="18"/>
                <w:color w:val="auto"/>
              </w:rPr>
              <w:t>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85,051</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94,256</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4920" w:type="dxa"/>
            <w:vAlign w:val="bottom"/>
          </w:tcPr>
          <w:p>
            <w:pPr>
              <w:jc w:val="center"/>
              <w:ind w:left="4090"/>
              <w:spacing w:after="0"/>
              <w:rPr>
                <w:sz w:val="20"/>
                <w:szCs w:val="20"/>
                <w:color w:val="auto"/>
              </w:rPr>
            </w:pPr>
            <w:r>
              <w:rPr>
                <w:rFonts w:ascii="Times New Roman" w:cs="Times New Roman" w:eastAsia="Times New Roman" w:hAnsi="Times New Roman"/>
                <w:sz w:val="18"/>
                <w:szCs w:val="18"/>
                <w:color w:val="auto"/>
                <w:w w:val="99"/>
              </w:rPr>
              <w:t>10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88,261</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73,540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49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30,994</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30,753</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49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44,758</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44,758</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 non-current</w:t>
            </w:r>
          </w:p>
        </w:tc>
        <w:tc>
          <w:tcPr>
            <w:tcW w:w="4920" w:type="dxa"/>
            <w:vAlign w:val="bottom"/>
            <w:shd w:val="clear" w:color="auto" w:fill="CCEEFF"/>
          </w:tcPr>
          <w:p>
            <w:pPr>
              <w:jc w:val="center"/>
              <w:ind w:left="4090"/>
              <w:spacing w:after="0"/>
              <w:rPr>
                <w:sz w:val="20"/>
                <w:szCs w:val="20"/>
                <w:color w:val="auto"/>
              </w:rPr>
            </w:pPr>
            <w:r>
              <w:rPr>
                <w:rFonts w:ascii="Times New Roman" w:cs="Times New Roman" w:eastAsia="Times New Roman" w:hAnsi="Times New Roman"/>
                <w:sz w:val="18"/>
                <w:szCs w:val="18"/>
                <w:color w:val="auto"/>
                <w:w w:val="99"/>
              </w:rPr>
              <w:t>11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10,074</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10,604</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49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3,990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3,491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49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23,863</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23,592</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286,991</w:t>
            </w:r>
          </w:p>
        </w:tc>
        <w:tc>
          <w:tcPr>
            <w:tcW w:w="22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280,994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49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w:t>
            </w:r>
          </w:p>
        </w:tc>
        <w:tc>
          <w:tcPr>
            <w:tcW w:w="4920" w:type="dxa"/>
            <w:vAlign w:val="bottom"/>
          </w:tcPr>
          <w:p>
            <w:pPr>
              <w:jc w:val="center"/>
              <w:ind w:left="4090"/>
              <w:spacing w:after="0"/>
              <w:rPr>
                <w:sz w:val="20"/>
                <w:szCs w:val="20"/>
                <w:color w:val="auto"/>
              </w:rPr>
            </w:pPr>
            <w:r>
              <w:rPr>
                <w:rFonts w:ascii="Times New Roman" w:cs="Times New Roman" w:eastAsia="Times New Roman" w:hAnsi="Times New Roman"/>
                <w:sz w:val="18"/>
                <w:szCs w:val="18"/>
                <w:color w:val="auto"/>
                <w:w w:val="99"/>
              </w:rPr>
              <w:t>12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114,553</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178,198</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4920" w:type="dxa"/>
            <w:vAlign w:val="bottom"/>
            <w:shd w:val="clear" w:color="auto" w:fill="CCEEFF"/>
          </w:tcPr>
          <w:p>
            <w:pPr>
              <w:jc w:val="center"/>
              <w:ind w:left="4090"/>
              <w:spacing w:after="0"/>
              <w:rPr>
                <w:sz w:val="20"/>
                <w:szCs w:val="20"/>
                <w:color w:val="auto"/>
              </w:rPr>
            </w:pPr>
            <w:r>
              <w:rPr>
                <w:rFonts w:ascii="Times New Roman" w:cs="Times New Roman" w:eastAsia="Times New Roman" w:hAnsi="Times New Roman"/>
                <w:sz w:val="18"/>
                <w:szCs w:val="18"/>
                <w:color w:val="auto"/>
                <w:w w:val="99"/>
              </w:rPr>
              <w:t>13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30,127</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110,602</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492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30,961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deposits and other receivables</w:t>
            </w:r>
          </w:p>
        </w:tc>
        <w:tc>
          <w:tcPr>
            <w:tcW w:w="4920" w:type="dxa"/>
            <w:vAlign w:val="bottom"/>
            <w:shd w:val="clear" w:color="auto" w:fill="CCEEFF"/>
          </w:tcPr>
          <w:p>
            <w:pPr>
              <w:jc w:val="center"/>
              <w:ind w:left="4090"/>
              <w:spacing w:after="0"/>
              <w:rPr>
                <w:sz w:val="20"/>
                <w:szCs w:val="20"/>
                <w:color w:val="auto"/>
              </w:rPr>
            </w:pPr>
            <w:r>
              <w:rPr>
                <w:rFonts w:ascii="Times New Roman" w:cs="Times New Roman" w:eastAsia="Times New Roman" w:hAnsi="Times New Roman"/>
                <w:sz w:val="18"/>
                <w:szCs w:val="18"/>
                <w:color w:val="auto"/>
                <w:w w:val="99"/>
              </w:rPr>
              <w:t>13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79,186</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84,562</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4920" w:type="dxa"/>
            <w:vAlign w:val="bottom"/>
          </w:tcPr>
          <w:p>
            <w:pPr>
              <w:jc w:val="center"/>
              <w:ind w:left="4090"/>
              <w:spacing w:after="0"/>
              <w:rPr>
                <w:sz w:val="20"/>
                <w:szCs w:val="20"/>
                <w:color w:val="auto"/>
              </w:rPr>
            </w:pPr>
            <w:r>
              <w:rPr>
                <w:rFonts w:ascii="Times New Roman" w:cs="Times New Roman" w:eastAsia="Times New Roman" w:hAnsi="Times New Roman"/>
                <w:sz w:val="18"/>
                <w:szCs w:val="18"/>
                <w:color w:val="auto"/>
                <w:w w:val="97"/>
              </w:rPr>
              <w:t>21(d)</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13,308</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32,127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 measured at FVTPL</w:t>
            </w:r>
          </w:p>
        </w:tc>
        <w:tc>
          <w:tcPr>
            <w:tcW w:w="4920" w:type="dxa"/>
            <w:vAlign w:val="bottom"/>
            <w:shd w:val="clear" w:color="auto" w:fill="CCEEFF"/>
          </w:tcPr>
          <w:p>
            <w:pPr>
              <w:jc w:val="center"/>
              <w:ind w:left="4090"/>
              <w:spacing w:after="0"/>
              <w:rPr>
                <w:sz w:val="20"/>
                <w:szCs w:val="20"/>
                <w:color w:val="auto"/>
              </w:rPr>
            </w:pPr>
            <w:r>
              <w:rPr>
                <w:rFonts w:ascii="Times New Roman" w:cs="Times New Roman" w:eastAsia="Times New Roman" w:hAnsi="Times New Roman"/>
                <w:sz w:val="18"/>
                <w:szCs w:val="18"/>
                <w:color w:val="auto"/>
                <w:w w:val="99"/>
              </w:rPr>
              <w:t>14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53,868</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48,483</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920" w:type="dxa"/>
            <w:vAlign w:val="bottom"/>
          </w:tcPr>
          <w:p>
            <w:pPr>
              <w:jc w:val="center"/>
              <w:ind w:left="4090"/>
              <w:spacing w:after="0"/>
              <w:rPr>
                <w:sz w:val="20"/>
                <w:szCs w:val="20"/>
                <w:color w:val="auto"/>
              </w:rPr>
            </w:pPr>
            <w:r>
              <w:rPr>
                <w:rFonts w:ascii="Times New Roman" w:cs="Times New Roman" w:eastAsia="Times New Roman" w:hAnsi="Times New Roman"/>
                <w:sz w:val="18"/>
                <w:szCs w:val="18"/>
                <w:color w:val="auto"/>
                <w:w w:val="99"/>
              </w:rPr>
              <w:t>15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2,725,568</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3,478,659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 current</w:t>
            </w:r>
          </w:p>
        </w:tc>
        <w:tc>
          <w:tcPr>
            <w:tcW w:w="4920" w:type="dxa"/>
            <w:vAlign w:val="bottom"/>
            <w:shd w:val="clear" w:color="auto" w:fill="CCEEFF"/>
          </w:tcPr>
          <w:p>
            <w:pPr>
              <w:jc w:val="center"/>
              <w:ind w:left="4090"/>
              <w:spacing w:after="0"/>
              <w:rPr>
                <w:sz w:val="20"/>
                <w:szCs w:val="20"/>
                <w:color w:val="auto"/>
              </w:rPr>
            </w:pPr>
            <w:r>
              <w:rPr>
                <w:rFonts w:ascii="Times New Roman" w:cs="Times New Roman" w:eastAsia="Times New Roman" w:hAnsi="Times New Roman"/>
                <w:sz w:val="18"/>
                <w:szCs w:val="18"/>
                <w:color w:val="auto"/>
                <w:w w:val="99"/>
              </w:rPr>
              <w:t>11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3,009</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4,471</w:t>
            </w: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492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346,721</w:t>
            </w:r>
          </w:p>
        </w:tc>
        <w:tc>
          <w:tcPr>
            <w:tcW w:w="0" w:type="dxa"/>
            <w:vAlign w:val="bottom"/>
          </w:tcPr>
          <w:p>
            <w:pPr>
              <w:spacing w:after="0"/>
              <w:rPr>
                <w:sz w:val="1"/>
                <w:szCs w:val="1"/>
                <w:color w:val="auto"/>
              </w:rPr>
            </w:pPr>
          </w:p>
        </w:tc>
      </w:tr>
      <w:tr>
        <w:trPr>
          <w:trHeight w:val="90"/>
        </w:trPr>
        <w:tc>
          <w:tcPr>
            <w:tcW w:w="1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500" w:type="dxa"/>
            <w:vAlign w:val="bottom"/>
          </w:tcPr>
          <w:p>
            <w:pPr>
              <w:spacing w:after="0"/>
              <w:rPr>
                <w:sz w:val="7"/>
                <w:szCs w:val="7"/>
                <w:color w:val="auto"/>
              </w:rPr>
            </w:pPr>
          </w:p>
        </w:tc>
        <w:tc>
          <w:tcPr>
            <w:tcW w:w="49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3,019,619</w:t>
            </w:r>
          </w:p>
        </w:tc>
        <w:tc>
          <w:tcPr>
            <w:tcW w:w="2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4,314,784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9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740" w:type="dxa"/>
            <w:vAlign w:val="bottom"/>
            <w:gridSpan w:val="2"/>
            <w:vMerge w:val="continue"/>
          </w:tcPr>
          <w:p>
            <w:pPr>
              <w:spacing w:after="0"/>
              <w:rPr>
                <w:sz w:val="18"/>
                <w:szCs w:val="18"/>
                <w:color w:val="auto"/>
              </w:rPr>
            </w:pPr>
          </w:p>
        </w:tc>
        <w:tc>
          <w:tcPr>
            <w:tcW w:w="492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3,306,610</w:t>
            </w:r>
          </w:p>
        </w:tc>
        <w:tc>
          <w:tcPr>
            <w:tcW w:w="22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4,595,778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DEFICIT</w:t>
            </w:r>
          </w:p>
        </w:tc>
        <w:tc>
          <w:tcPr>
            <w:tcW w:w="49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20" w:type="dxa"/>
            <w:vAlign w:val="bottom"/>
          </w:tcPr>
          <w:p>
            <w:pPr>
              <w:spacing w:after="0"/>
              <w:rPr>
                <w:sz w:val="24"/>
                <w:szCs w:val="24"/>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Ordinary shares</w:t>
            </w:r>
          </w:p>
        </w:tc>
        <w:tc>
          <w:tcPr>
            <w:tcW w:w="492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Seed-1 Preferred Shares</w:t>
            </w:r>
          </w:p>
        </w:tc>
        <w:tc>
          <w:tcPr>
            <w:tcW w:w="49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Seed-2 Preferred Shares</w:t>
            </w:r>
          </w:p>
        </w:tc>
        <w:tc>
          <w:tcPr>
            <w:tcW w:w="49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Preferred Shares</w:t>
            </w:r>
          </w:p>
        </w:tc>
        <w:tc>
          <w:tcPr>
            <w:tcW w:w="49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premium</w:t>
            </w:r>
          </w:p>
        </w:tc>
        <w:tc>
          <w:tcPr>
            <w:tcW w:w="49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1,046,621</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1,048,128</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Reserves</w:t>
            </w:r>
          </w:p>
        </w:tc>
        <w:tc>
          <w:tcPr>
            <w:tcW w:w="49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1,210,223</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1,175,440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losses</w:t>
            </w:r>
          </w:p>
        </w:tc>
        <w:tc>
          <w:tcPr>
            <w:tcW w:w="49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(3,131,134)</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(3,789,019)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shares</w:t>
            </w:r>
          </w:p>
        </w:tc>
        <w:tc>
          <w:tcPr>
            <w:tcW w:w="49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(91,841)</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(86,868)</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deficit</w:t>
            </w:r>
          </w:p>
        </w:tc>
        <w:tc>
          <w:tcPr>
            <w:tcW w:w="49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(966,109)</w:t>
            </w:r>
          </w:p>
        </w:tc>
        <w:tc>
          <w:tcPr>
            <w:tcW w:w="2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(1,652,297)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interim financial statements.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F-74</w:t>
      </w:r>
    </w:p>
    <w:p>
      <w:pPr>
        <w:sectPr>
          <w:pgSz w:w="11900" w:h="16838" w:orient="portrait"/>
          <w:cols w:equalWidth="0" w:num="1">
            <w:col w:w="11140"/>
          </w:cols>
          <w:pgMar w:left="320" w:top="446" w:right="439" w:bottom="1440" w:gutter="0" w:footer="0" w:header="0"/>
        </w:sectPr>
      </w:pPr>
    </w:p>
    <w:bookmarkStart w:id="327" w:name="page328"/>
    <w:bookmarkEnd w:id="327"/>
    <w:tbl>
      <w:tblPr>
        <w:tblLayout w:type="fixed"/>
        <w:tblInd w:w="0" w:type="dxa"/>
        <w:tblCellMar>
          <w:top w:w="0" w:type="dxa"/>
          <w:left w:w="0" w:type="dxa"/>
          <w:bottom w:w="0" w:type="dxa"/>
          <w:right w:w="0" w:type="dxa"/>
        </w:tblCellMar>
      </w:tblPr>
      <w:tr>
        <w:trPr>
          <w:trHeight w:val="207"/>
        </w:trPr>
        <w:tc>
          <w:tcPr>
            <w:tcW w:w="7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3"/>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7520" w:type="dxa"/>
            <w:vAlign w:val="bottom"/>
            <w:gridSpan w:val="2"/>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Unaudited Condensed Consolidated Statements of Financial Position (continued)</w:t>
            </w: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340" w:type="dxa"/>
            <w:vAlign w:val="bottom"/>
          </w:tcPr>
          <w:p>
            <w:pPr>
              <w:jc w:val="center"/>
              <w:ind w:left="2110"/>
              <w:spacing w:after="0"/>
              <w:rPr>
                <w:sz w:val="20"/>
                <w:szCs w:val="20"/>
                <w:color w:val="auto"/>
              </w:rPr>
            </w:pPr>
            <w:r>
              <w:rPr>
                <w:rFonts w:ascii="Times New Roman" w:cs="Times New Roman" w:eastAsia="Times New Roman" w:hAnsi="Times New Roman"/>
                <w:sz w:val="18"/>
                <w:szCs w:val="18"/>
                <w:i w:val="1"/>
                <w:iCs w:val="1"/>
                <w:color w:val="auto"/>
                <w:w w:val="99"/>
              </w:rPr>
              <w:t>(Expressed in thousands of RMB)</w:t>
            </w:r>
          </w:p>
        </w:tc>
        <w:tc>
          <w:tcPr>
            <w:tcW w:w="1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i w:val="1"/>
                <w:iCs w:val="1"/>
                <w:color w:val="auto"/>
                <w:w w:val="98"/>
              </w:rPr>
              <w:t>As of</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i w:val="1"/>
                <w:iCs w:val="1"/>
                <w:color w:val="auto"/>
              </w:rPr>
              <w:t>As of</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i w:val="1"/>
                <w:iCs w:val="1"/>
                <w:color w:val="auto"/>
                <w:w w:val="98"/>
              </w:rPr>
              <w:t>December 31,</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i w:val="1"/>
                <w:iCs w:val="1"/>
                <w:color w:val="auto"/>
              </w:rPr>
              <w:t>June 30,</w:t>
            </w:r>
          </w:p>
        </w:tc>
        <w:tc>
          <w:tcPr>
            <w:tcW w:w="0" w:type="dxa"/>
            <w:vAlign w:val="bottom"/>
          </w:tcPr>
          <w:p>
            <w:pPr>
              <w:spacing w:after="0"/>
              <w:rPr>
                <w:sz w:val="1"/>
                <w:szCs w:val="1"/>
                <w:color w:val="auto"/>
              </w:rPr>
            </w:pPr>
          </w:p>
        </w:tc>
      </w:tr>
      <w:tr>
        <w:trPr>
          <w:trHeight w:val="236"/>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1180" w:type="dxa"/>
            <w:vAlign w:val="bottom"/>
          </w:tcPr>
          <w:p>
            <w:pPr>
              <w:ind w:left="500"/>
              <w:spacing w:after="0"/>
              <w:rPr>
                <w:sz w:val="20"/>
                <w:szCs w:val="20"/>
                <w:color w:val="auto"/>
              </w:rPr>
            </w:pPr>
            <w:r>
              <w:rPr>
                <w:rFonts w:ascii="Times New Roman" w:cs="Times New Roman" w:eastAsia="Times New Roman" w:hAnsi="Times New Roman"/>
                <w:sz w:val="18"/>
                <w:szCs w:val="18"/>
                <w:i w:val="1"/>
                <w:iCs w:val="1"/>
                <w:color w:val="auto"/>
              </w:rPr>
              <w:t>Note</w:t>
            </w: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i w:val="1"/>
                <w:iCs w:val="1"/>
                <w:color w:val="auto"/>
              </w:rPr>
              <w:t>2021</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i w:val="1"/>
                <w:iCs w:val="1"/>
                <w:color w:val="auto"/>
              </w:rPr>
              <w:t>2022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RMB’000</w:t>
            </w:r>
          </w:p>
        </w:tc>
        <w:tc>
          <w:tcPr>
            <w:tcW w:w="260" w:type="dxa"/>
            <w:vAlign w:val="bottom"/>
            <w:gridSpan w:val="2"/>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RMB’000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 non-current</w:t>
            </w:r>
          </w:p>
        </w:tc>
        <w:tc>
          <w:tcPr>
            <w:tcW w:w="1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61,296</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46,027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Preferred shares and other financial instruments subject to redemption and other preferential rights</w:t>
            </w:r>
          </w:p>
        </w:tc>
        <w:tc>
          <w:tcPr>
            <w:tcW w:w="11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16</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3,790,636</w:t>
            </w:r>
          </w:p>
        </w:tc>
        <w:tc>
          <w:tcPr>
            <w:tcW w:w="2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5,686,058</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Put option liabilities</w:t>
            </w:r>
          </w:p>
        </w:tc>
        <w:tc>
          <w:tcPr>
            <w:tcW w:w="1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39,184</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39,494</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1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7,479</w:t>
            </w:r>
          </w:p>
        </w:tc>
        <w:tc>
          <w:tcPr>
            <w:tcW w:w="2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6,980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139,787</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139,786</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4,038,382</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5,918,345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11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17</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15,948</w:t>
            </w:r>
          </w:p>
        </w:tc>
        <w:tc>
          <w:tcPr>
            <w:tcW w:w="2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16,864</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payables, deposits received and accrued expenses</w:t>
            </w:r>
          </w:p>
        </w:tc>
        <w:tc>
          <w:tcPr>
            <w:tcW w:w="118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17</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64,229</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51,221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1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3,819</w:t>
            </w:r>
          </w:p>
        </w:tc>
        <w:tc>
          <w:tcPr>
            <w:tcW w:w="2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 current</w:t>
            </w:r>
          </w:p>
        </w:tc>
        <w:tc>
          <w:tcPr>
            <w:tcW w:w="1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32,537</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31,884</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11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7"/>
              </w:rPr>
              <w:t>21(d)</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43,447</w:t>
            </w:r>
          </w:p>
        </w:tc>
        <w:tc>
          <w:tcPr>
            <w:tcW w:w="2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37,366</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liabilities measured at FVTPL</w:t>
            </w:r>
          </w:p>
        </w:tc>
        <w:tc>
          <w:tcPr>
            <w:tcW w:w="118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18</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74,357</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191,748</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234,337</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329,730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4,272,719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6,248,075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deficit and liabilities</w:t>
            </w:r>
          </w:p>
        </w:tc>
        <w:tc>
          <w:tcPr>
            <w:tcW w:w="11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7580" w:type="dxa"/>
            <w:vAlign w:val="bottom"/>
            <w:gridSpan w:val="2"/>
            <w:vMerge w:val="continue"/>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3,306,610</w:t>
            </w:r>
          </w:p>
        </w:tc>
        <w:tc>
          <w:tcPr>
            <w:tcW w:w="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4,595,778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interim financial statements.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F-75</w:t>
      </w:r>
    </w:p>
    <w:p>
      <w:pPr>
        <w:sectPr>
          <w:pgSz w:w="11900" w:h="16838" w:orient="portrait"/>
          <w:cols w:equalWidth="0" w:num="1">
            <w:col w:w="11140"/>
          </w:cols>
          <w:pgMar w:left="320" w:top="446" w:right="439" w:bottom="1440" w:gutter="0" w:footer="0" w:header="0"/>
        </w:sectPr>
      </w:pPr>
    </w:p>
    <w:bookmarkStart w:id="328" w:name="page329"/>
    <w:bookmarkEnd w:id="3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Changes in Equity for the six months ended June 30, 2021</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(Expressed in thousands of RMB)</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i w:val="1"/>
                <w:iCs w:val="1"/>
                <w:color w:val="auto"/>
                <w:w w:val="94"/>
              </w:rPr>
              <w:t>Series</w:t>
            </w: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i w:val="1"/>
                <w:iCs w:val="1"/>
                <w:color w:val="auto"/>
                <w:w w:val="94"/>
              </w:rPr>
              <w:t>Series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i w:val="1"/>
                <w:iCs w:val="1"/>
                <w:color w:val="auto"/>
                <w:w w:val="95"/>
              </w:rPr>
              <w:t>Seed-1</w:t>
            </w:r>
          </w:p>
        </w:tc>
        <w:tc>
          <w:tcPr>
            <w:tcW w:w="78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i w:val="1"/>
                <w:iCs w:val="1"/>
                <w:color w:val="auto"/>
                <w:w w:val="95"/>
              </w:rPr>
              <w:t>Seed-2</w:t>
            </w:r>
          </w:p>
        </w:tc>
        <w:tc>
          <w:tcPr>
            <w:tcW w:w="7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i w:val="1"/>
                <w:iCs w:val="1"/>
                <w:color w:val="auto"/>
                <w:w w:val="97"/>
              </w:rPr>
              <w:t>Series A</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i w:val="1"/>
                <w:iCs w:val="1"/>
                <w:color w:val="auto"/>
                <w:w w:val="94"/>
              </w:rPr>
              <w:t>Convertible</w:t>
            </w:r>
          </w:p>
        </w:tc>
        <w:tc>
          <w:tcPr>
            <w:tcW w:w="78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i w:val="1"/>
                <w:iCs w:val="1"/>
                <w:color w:val="auto"/>
                <w:w w:val="94"/>
              </w:rPr>
              <w:t>Convertible</w:t>
            </w:r>
          </w:p>
        </w:tc>
        <w:tc>
          <w:tcPr>
            <w:tcW w:w="7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i w:val="1"/>
                <w:iCs w:val="1"/>
                <w:color w:val="auto"/>
                <w:w w:val="94"/>
              </w:rPr>
              <w:t>Convertible</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8"/>
              </w:rPr>
              <w:t>Share-based</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i w:val="1"/>
                <w:iCs w:val="1"/>
                <w:color w:val="auto"/>
              </w:rPr>
              <w:t>Ordinary</w:t>
            </w:r>
          </w:p>
        </w:tc>
        <w:tc>
          <w:tcPr>
            <w:tcW w:w="7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i w:val="1"/>
                <w:iCs w:val="1"/>
                <w:color w:val="auto"/>
                <w:w w:val="94"/>
              </w:rPr>
              <w:t>Preferred</w:t>
            </w:r>
          </w:p>
        </w:tc>
        <w:tc>
          <w:tcPr>
            <w:tcW w:w="78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i w:val="1"/>
                <w:iCs w:val="1"/>
                <w:color w:val="auto"/>
                <w:w w:val="94"/>
              </w:rPr>
              <w:t>Preferred</w:t>
            </w:r>
          </w:p>
        </w:tc>
        <w:tc>
          <w:tcPr>
            <w:tcW w:w="72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i w:val="1"/>
                <w:iCs w:val="1"/>
                <w:color w:val="auto"/>
                <w:w w:val="94"/>
              </w:rPr>
              <w:t>Preferred</w:t>
            </w:r>
          </w:p>
        </w:tc>
        <w:tc>
          <w:tcPr>
            <w:tcW w:w="820" w:type="dxa"/>
            <w:vAlign w:val="bottom"/>
            <w:gridSpan w:val="2"/>
          </w:tcPr>
          <w:p>
            <w:pPr>
              <w:jc w:val="right"/>
              <w:ind w:right="340"/>
              <w:spacing w:after="0" w:line="135" w:lineRule="exact"/>
              <w:rPr>
                <w:sz w:val="20"/>
                <w:szCs w:val="20"/>
                <w:color w:val="auto"/>
              </w:rPr>
            </w:pPr>
            <w:r>
              <w:rPr>
                <w:rFonts w:ascii="Times New Roman" w:cs="Times New Roman" w:eastAsia="Times New Roman" w:hAnsi="Times New Roman"/>
                <w:sz w:val="13"/>
                <w:szCs w:val="13"/>
                <w:i w:val="1"/>
                <w:iCs w:val="1"/>
                <w:color w:val="auto"/>
              </w:rPr>
              <w:t>Share</w:t>
            </w: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6"/>
              </w:rPr>
              <w:t>compensation</w:t>
            </w:r>
          </w:p>
        </w:tc>
        <w:tc>
          <w:tcPr>
            <w:tcW w:w="100" w:type="dxa"/>
            <w:vAlign w:val="bottom"/>
          </w:tcPr>
          <w:p>
            <w:pPr>
              <w:spacing w:after="0"/>
              <w:rPr>
                <w:sz w:val="11"/>
                <w:szCs w:val="11"/>
                <w:color w:val="auto"/>
              </w:rPr>
            </w:pPr>
          </w:p>
        </w:tc>
        <w:tc>
          <w:tcPr>
            <w:tcW w:w="7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i w:val="1"/>
                <w:iCs w:val="1"/>
                <w:color w:val="auto"/>
                <w:w w:val="95"/>
              </w:rPr>
              <w:t>Translation</w:t>
            </w:r>
          </w:p>
        </w:tc>
        <w:tc>
          <w:tcPr>
            <w:tcW w:w="7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i w:val="1"/>
                <w:iCs w:val="1"/>
                <w:color w:val="auto"/>
                <w:w w:val="95"/>
              </w:rPr>
              <w:t>Fair value</w:t>
            </w:r>
          </w:p>
        </w:tc>
        <w:tc>
          <w:tcPr>
            <w:tcW w:w="6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i w:val="1"/>
                <w:iCs w:val="1"/>
                <w:color w:val="auto"/>
              </w:rPr>
              <w:t>Other</w:t>
            </w:r>
          </w:p>
        </w:tc>
        <w:tc>
          <w:tcPr>
            <w:tcW w:w="9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i w:val="1"/>
                <w:iCs w:val="1"/>
                <w:color w:val="auto"/>
                <w:w w:val="97"/>
              </w:rPr>
              <w:t>Accumulated</w:t>
            </w:r>
          </w:p>
        </w:tc>
        <w:tc>
          <w:tcPr>
            <w:tcW w:w="70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i w:val="1"/>
                <w:iCs w:val="1"/>
                <w:color w:val="auto"/>
                <w:w w:val="93"/>
              </w:rPr>
              <w:t>Treasury</w:t>
            </w:r>
          </w:p>
        </w:tc>
        <w:tc>
          <w:tcPr>
            <w:tcW w:w="720" w:type="dxa"/>
            <w:vAlign w:val="bottom"/>
            <w:gridSpan w:val="2"/>
          </w:tcPr>
          <w:p>
            <w:pPr>
              <w:jc w:val="center"/>
              <w:ind w:right="19"/>
              <w:spacing w:after="0" w:line="135" w:lineRule="exact"/>
              <w:rPr>
                <w:sz w:val="20"/>
                <w:szCs w:val="20"/>
                <w:color w:val="auto"/>
              </w:rPr>
            </w:pPr>
            <w:r>
              <w:rPr>
                <w:rFonts w:ascii="Times New Roman" w:cs="Times New Roman" w:eastAsia="Times New Roman" w:hAnsi="Times New Roman"/>
                <w:sz w:val="13"/>
                <w:szCs w:val="13"/>
                <w:i w:val="1"/>
                <w:iCs w:val="1"/>
                <w:color w:val="auto"/>
                <w:w w:val="94"/>
              </w:rPr>
              <w:t>Total</w:t>
            </w:r>
          </w:p>
        </w:tc>
        <w:tc>
          <w:tcPr>
            <w:tcW w:w="0" w:type="dxa"/>
            <w:vAlign w:val="bottom"/>
          </w:tcPr>
          <w:p>
            <w:pPr>
              <w:spacing w:after="0"/>
              <w:rPr>
                <w:sz w:val="1"/>
                <w:szCs w:val="1"/>
                <w:color w:val="auto"/>
              </w:rPr>
            </w:pPr>
          </w:p>
        </w:tc>
      </w:tr>
      <w:tr>
        <w:trPr>
          <w:trHeight w:val="155"/>
        </w:trPr>
        <w:tc>
          <w:tcPr>
            <w:tcW w:w="1800" w:type="dxa"/>
            <w:vAlign w:val="bottom"/>
          </w:tcPr>
          <w:p>
            <w:pPr>
              <w:spacing w:after="0"/>
              <w:rPr>
                <w:sz w:val="13"/>
                <w:szCs w:val="13"/>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w w:val="94"/>
              </w:rPr>
              <w:t>Note</w:t>
            </w:r>
          </w:p>
        </w:tc>
        <w:tc>
          <w:tcPr>
            <w:tcW w:w="600" w:type="dxa"/>
            <w:vAlign w:val="bottom"/>
            <w:gridSpan w:val="3"/>
          </w:tcPr>
          <w:p>
            <w:pPr>
              <w:ind w:left="100"/>
              <w:spacing w:after="0"/>
              <w:rPr>
                <w:sz w:val="20"/>
                <w:szCs w:val="20"/>
                <w:color w:val="auto"/>
              </w:rPr>
            </w:pPr>
            <w:r>
              <w:rPr>
                <w:rFonts w:ascii="Times New Roman" w:cs="Times New Roman" w:eastAsia="Times New Roman" w:hAnsi="Times New Roman"/>
                <w:sz w:val="13"/>
                <w:szCs w:val="13"/>
                <w:i w:val="1"/>
                <w:iCs w:val="1"/>
                <w:color w:val="auto"/>
              </w:rPr>
              <w:t>shares</w:t>
            </w: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i w:val="1"/>
                <w:iCs w:val="1"/>
                <w:color w:val="auto"/>
                <w:w w:val="95"/>
              </w:rPr>
              <w:t>Shares</w:t>
            </w: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i w:val="1"/>
                <w:iCs w:val="1"/>
                <w:color w:val="auto"/>
                <w:w w:val="95"/>
              </w:rPr>
              <w:t>Shares</w:t>
            </w: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i w:val="1"/>
                <w:iCs w:val="1"/>
                <w:color w:val="auto"/>
                <w:w w:val="95"/>
              </w:rPr>
              <w:t>Shares</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i w:val="1"/>
                <w:iCs w:val="1"/>
                <w:color w:val="auto"/>
              </w:rPr>
              <w:t>premium</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3"/>
              </w:rPr>
              <w:t>reserve</w:t>
            </w:r>
          </w:p>
        </w:tc>
        <w:tc>
          <w:tcPr>
            <w:tcW w:w="100" w:type="dxa"/>
            <w:vAlign w:val="bottom"/>
          </w:tcPr>
          <w:p>
            <w:pPr>
              <w:spacing w:after="0"/>
              <w:rPr>
                <w:sz w:val="13"/>
                <w:szCs w:val="13"/>
                <w:color w:val="auto"/>
              </w:rPr>
            </w:pP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i w:val="1"/>
                <w:iCs w:val="1"/>
                <w:color w:val="auto"/>
                <w:w w:val="93"/>
              </w:rPr>
              <w:t>reserve</w:t>
            </w: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i w:val="1"/>
                <w:iCs w:val="1"/>
                <w:color w:val="auto"/>
                <w:w w:val="96"/>
              </w:rPr>
              <w:t>reserves</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i w:val="1"/>
                <w:iCs w:val="1"/>
                <w:color w:val="auto"/>
              </w:rPr>
              <w:t>reserves</w:t>
            </w: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i w:val="1"/>
                <w:iCs w:val="1"/>
                <w:color w:val="auto"/>
                <w:w w:val="96"/>
              </w:rPr>
              <w:t>losses</w:t>
            </w:r>
          </w:p>
        </w:tc>
        <w:tc>
          <w:tcPr>
            <w:tcW w:w="7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i w:val="1"/>
                <w:iCs w:val="1"/>
                <w:color w:val="auto"/>
                <w:w w:val="94"/>
              </w:rPr>
              <w:t>shares</w:t>
            </w:r>
          </w:p>
        </w:tc>
        <w:tc>
          <w:tcPr>
            <w:tcW w:w="720" w:type="dxa"/>
            <w:vAlign w:val="bottom"/>
            <w:gridSpan w:val="2"/>
          </w:tcPr>
          <w:p>
            <w:pPr>
              <w:jc w:val="center"/>
              <w:ind w:right="39"/>
              <w:spacing w:after="0"/>
              <w:rPr>
                <w:sz w:val="20"/>
                <w:szCs w:val="20"/>
                <w:color w:val="auto"/>
              </w:rPr>
            </w:pPr>
            <w:r>
              <w:rPr>
                <w:rFonts w:ascii="Times New Roman" w:cs="Times New Roman" w:eastAsia="Times New Roman" w:hAnsi="Times New Roman"/>
                <w:sz w:val="13"/>
                <w:szCs w:val="13"/>
                <w:i w:val="1"/>
                <w:iCs w:val="1"/>
                <w:color w:val="auto"/>
                <w:w w:val="98"/>
              </w:rPr>
              <w:t>deficit</w:t>
            </w:r>
          </w:p>
        </w:tc>
        <w:tc>
          <w:tcPr>
            <w:tcW w:w="0" w:type="dxa"/>
            <w:vAlign w:val="bottom"/>
          </w:tcPr>
          <w:p>
            <w:pPr>
              <w:spacing w:after="0"/>
              <w:rPr>
                <w:sz w:val="1"/>
                <w:szCs w:val="1"/>
                <w:color w:val="auto"/>
              </w:rPr>
            </w:pPr>
          </w:p>
        </w:tc>
      </w:tr>
      <w:tr>
        <w:trPr>
          <w:trHeight w:val="129"/>
        </w:trPr>
        <w:tc>
          <w:tcPr>
            <w:tcW w:w="18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0"/>
              </w:rPr>
              <w:t>RMB’000</w:t>
            </w:r>
          </w:p>
        </w:tc>
        <w:tc>
          <w:tcPr>
            <w:tcW w:w="100" w:type="dxa"/>
            <w:vAlign w:val="bottom"/>
            <w:gridSpan w:val="2"/>
          </w:tcPr>
          <w:p>
            <w:pPr>
              <w:spacing w:after="0"/>
              <w:rPr>
                <w:sz w:val="11"/>
                <w:szCs w:val="11"/>
                <w:color w:val="auto"/>
              </w:rPr>
            </w:pPr>
          </w:p>
        </w:tc>
        <w:tc>
          <w:tcPr>
            <w:tcW w:w="6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color w:val="auto"/>
                <w:w w:val="94"/>
              </w:rPr>
              <w:t>RMB’000</w:t>
            </w:r>
          </w:p>
        </w:tc>
        <w:tc>
          <w:tcPr>
            <w:tcW w:w="80" w:type="dxa"/>
            <w:vAlign w:val="bottom"/>
          </w:tcPr>
          <w:p>
            <w:pPr>
              <w:spacing w:after="0"/>
              <w:rPr>
                <w:sz w:val="11"/>
                <w:szCs w:val="11"/>
                <w:color w:val="auto"/>
              </w:rPr>
            </w:pPr>
          </w:p>
        </w:tc>
        <w:tc>
          <w:tcPr>
            <w:tcW w:w="6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color w:val="auto"/>
                <w:w w:val="94"/>
              </w:rPr>
              <w:t>RMB’000</w:t>
            </w:r>
          </w:p>
        </w:tc>
        <w:tc>
          <w:tcPr>
            <w:tcW w:w="160" w:type="dxa"/>
            <w:vAlign w:val="bottom"/>
          </w:tcPr>
          <w:p>
            <w:pPr>
              <w:spacing w:after="0"/>
              <w:rPr>
                <w:sz w:val="11"/>
                <w:szCs w:val="11"/>
                <w:color w:val="auto"/>
              </w:rPr>
            </w:pPr>
          </w:p>
        </w:tc>
        <w:tc>
          <w:tcPr>
            <w:tcW w:w="6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color w:val="auto"/>
                <w:w w:val="94"/>
              </w:rPr>
              <w:t>RMB’000</w:t>
            </w:r>
          </w:p>
        </w:tc>
        <w:tc>
          <w:tcPr>
            <w:tcW w:w="100" w:type="dxa"/>
            <w:vAlign w:val="bottom"/>
          </w:tcPr>
          <w:p>
            <w:pPr>
              <w:spacing w:after="0"/>
              <w:rPr>
                <w:sz w:val="11"/>
                <w:szCs w:val="11"/>
                <w:color w:val="auto"/>
              </w:rPr>
            </w:pPr>
          </w:p>
        </w:tc>
        <w:tc>
          <w:tcPr>
            <w:tcW w:w="680" w:type="dxa"/>
            <w:vAlign w:val="bottom"/>
            <w:tcBorders>
              <w:top w:val="single" w:sz="8" w:color="auto"/>
            </w:tcBorders>
          </w:tcPr>
          <w:p>
            <w:pPr>
              <w:jc w:val="right"/>
              <w:ind w:right="2"/>
              <w:spacing w:after="0" w:line="129" w:lineRule="exact"/>
              <w:rPr>
                <w:sz w:val="20"/>
                <w:szCs w:val="20"/>
                <w:color w:val="auto"/>
              </w:rPr>
            </w:pPr>
            <w:r>
              <w:rPr>
                <w:rFonts w:ascii="Times New Roman" w:cs="Times New Roman" w:eastAsia="Times New Roman" w:hAnsi="Times New Roman"/>
                <w:sz w:val="13"/>
                <w:szCs w:val="13"/>
                <w:color w:val="auto"/>
              </w:rPr>
              <w:t>RMB’000</w:t>
            </w:r>
          </w:p>
        </w:tc>
        <w:tc>
          <w:tcPr>
            <w:tcW w:w="140" w:type="dxa"/>
            <w:vAlign w:val="bottom"/>
          </w:tcPr>
          <w:p>
            <w:pPr>
              <w:spacing w:after="0"/>
              <w:rPr>
                <w:sz w:val="11"/>
                <w:szCs w:val="11"/>
                <w:color w:val="auto"/>
              </w:rPr>
            </w:pPr>
          </w:p>
        </w:tc>
        <w:tc>
          <w:tcPr>
            <w:tcW w:w="700" w:type="dxa"/>
            <w:vAlign w:val="bottom"/>
            <w:tcBorders>
              <w:top w:val="single" w:sz="8" w:color="auto"/>
            </w:tcBorders>
          </w:tcPr>
          <w:p>
            <w:pPr>
              <w:jc w:val="right"/>
              <w:ind w:right="3"/>
              <w:spacing w:after="0" w:line="129" w:lineRule="exact"/>
              <w:rPr>
                <w:sz w:val="20"/>
                <w:szCs w:val="20"/>
                <w:color w:val="auto"/>
              </w:rPr>
            </w:pPr>
            <w:r>
              <w:rPr>
                <w:rFonts w:ascii="Times New Roman" w:cs="Times New Roman" w:eastAsia="Times New Roman" w:hAnsi="Times New Roman"/>
                <w:sz w:val="13"/>
                <w:szCs w:val="13"/>
                <w:color w:val="auto"/>
              </w:rPr>
              <w:t>RMB’000</w:t>
            </w:r>
          </w:p>
        </w:tc>
        <w:tc>
          <w:tcPr>
            <w:tcW w:w="100" w:type="dxa"/>
            <w:vAlign w:val="bottom"/>
          </w:tcPr>
          <w:p>
            <w:pPr>
              <w:spacing w:after="0"/>
              <w:rPr>
                <w:sz w:val="11"/>
                <w:szCs w:val="11"/>
                <w:color w:val="auto"/>
              </w:rPr>
            </w:pPr>
          </w:p>
        </w:tc>
        <w:tc>
          <w:tcPr>
            <w:tcW w:w="6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color w:val="auto"/>
                <w:w w:val="98"/>
              </w:rPr>
              <w:t>RMB’000</w:t>
            </w:r>
          </w:p>
        </w:tc>
        <w:tc>
          <w:tcPr>
            <w:tcW w:w="140" w:type="dxa"/>
            <w:vAlign w:val="bottom"/>
          </w:tcPr>
          <w:p>
            <w:pPr>
              <w:spacing w:after="0"/>
              <w:rPr>
                <w:sz w:val="11"/>
                <w:szCs w:val="11"/>
                <w:color w:val="auto"/>
              </w:rPr>
            </w:pPr>
          </w:p>
        </w:tc>
        <w:tc>
          <w:tcPr>
            <w:tcW w:w="54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color w:val="auto"/>
                <w:w w:val="98"/>
              </w:rPr>
              <w:t>RMB’000</w:t>
            </w:r>
          </w:p>
        </w:tc>
        <w:tc>
          <w:tcPr>
            <w:tcW w:w="160" w:type="dxa"/>
            <w:vAlign w:val="bottom"/>
          </w:tcPr>
          <w:p>
            <w:pPr>
              <w:spacing w:after="0"/>
              <w:rPr>
                <w:sz w:val="11"/>
                <w:szCs w:val="11"/>
                <w:color w:val="auto"/>
              </w:rPr>
            </w:pPr>
          </w:p>
        </w:tc>
        <w:tc>
          <w:tcPr>
            <w:tcW w:w="5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8"/>
              </w:rPr>
              <w:t>RMB’000</w:t>
            </w:r>
          </w:p>
        </w:tc>
        <w:tc>
          <w:tcPr>
            <w:tcW w:w="100" w:type="dxa"/>
            <w:vAlign w:val="bottom"/>
          </w:tcPr>
          <w:p>
            <w:pPr>
              <w:spacing w:after="0"/>
              <w:rPr>
                <w:sz w:val="11"/>
                <w:szCs w:val="11"/>
                <w:color w:val="auto"/>
              </w:rPr>
            </w:pPr>
          </w:p>
        </w:tc>
        <w:tc>
          <w:tcPr>
            <w:tcW w:w="76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color w:val="auto"/>
                <w:w w:val="98"/>
              </w:rPr>
              <w:t>RMB’000</w:t>
            </w:r>
          </w:p>
        </w:tc>
        <w:tc>
          <w:tcPr>
            <w:tcW w:w="160" w:type="dxa"/>
            <w:vAlign w:val="bottom"/>
          </w:tcPr>
          <w:p>
            <w:pPr>
              <w:spacing w:after="0"/>
              <w:rPr>
                <w:sz w:val="11"/>
                <w:szCs w:val="11"/>
                <w:color w:val="auto"/>
              </w:rPr>
            </w:pPr>
          </w:p>
        </w:tc>
        <w:tc>
          <w:tcPr>
            <w:tcW w:w="54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color w:val="auto"/>
                <w:w w:val="98"/>
              </w:rPr>
              <w:t>RMB’000</w:t>
            </w:r>
          </w:p>
        </w:tc>
        <w:tc>
          <w:tcPr>
            <w:tcW w:w="160" w:type="dxa"/>
            <w:vAlign w:val="bottom"/>
          </w:tcPr>
          <w:p>
            <w:pPr>
              <w:spacing w:after="0"/>
              <w:rPr>
                <w:sz w:val="11"/>
                <w:szCs w:val="11"/>
                <w:color w:val="auto"/>
              </w:rPr>
            </w:pPr>
          </w:p>
        </w:tc>
        <w:tc>
          <w:tcPr>
            <w:tcW w:w="6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color w:val="auto"/>
                <w:w w:val="94"/>
              </w:rPr>
              <w:t>RMB’000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January 1,</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2021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7</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b w:val="1"/>
                <w:bCs w:val="1"/>
                <w:color w:val="auto"/>
              </w:rPr>
              <w:t>5</w:t>
            </w:r>
          </w:p>
        </w:tc>
        <w:tc>
          <w:tcPr>
            <w:tcW w:w="7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b w:val="1"/>
                <w:bCs w:val="1"/>
                <w:color w:val="auto"/>
              </w:rPr>
              <w:t>4</w:t>
            </w:r>
          </w:p>
        </w:tc>
        <w:tc>
          <w:tcPr>
            <w:tcW w:w="7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b w:val="1"/>
                <w:bCs w:val="1"/>
                <w:color w:val="auto"/>
              </w:rPr>
              <w:t>6</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987,440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314,260</w:t>
            </w:r>
          </w:p>
        </w:tc>
        <w:tc>
          <w:tcPr>
            <w:tcW w:w="840" w:type="dxa"/>
            <w:vAlign w:val="bottom"/>
            <w:gridSpan w:val="3"/>
            <w:shd w:val="clear" w:color="auto" w:fill="CCEEFF"/>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(4,458)</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12,379</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416,513</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(2,128,049)</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(401,893)</w:t>
            </w:r>
          </w:p>
        </w:tc>
        <w:tc>
          <w:tcPr>
            <w:tcW w:w="0" w:type="dxa"/>
            <w:vAlign w:val="bottom"/>
          </w:tcPr>
          <w:p>
            <w:pPr>
              <w:spacing w:after="0"/>
              <w:rPr>
                <w:sz w:val="1"/>
                <w:szCs w:val="1"/>
                <w:color w:val="auto"/>
              </w:rPr>
            </w:pPr>
          </w:p>
        </w:tc>
      </w:tr>
      <w:tr>
        <w:trPr>
          <w:trHeight w:val="194"/>
        </w:trPr>
        <w:tc>
          <w:tcPr>
            <w:tcW w:w="1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Changes in equity for the</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0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80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1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for the period</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center"/>
              <w:ind w:left="63"/>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(546,996)</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(546,996)</w:t>
            </w:r>
          </w:p>
        </w:tc>
        <w:tc>
          <w:tcPr>
            <w:tcW w:w="0" w:type="dxa"/>
            <w:vAlign w:val="bottom"/>
          </w:tcPr>
          <w:p>
            <w:pPr>
              <w:spacing w:after="0"/>
              <w:rPr>
                <w:sz w:val="1"/>
                <w:szCs w:val="1"/>
                <w:color w:val="auto"/>
              </w:rPr>
            </w:pPr>
          </w:p>
        </w:tc>
      </w:tr>
      <w:tr>
        <w:trPr>
          <w:trHeight w:val="189"/>
        </w:trPr>
        <w:tc>
          <w:tcPr>
            <w:tcW w:w="1800" w:type="dxa"/>
            <w:vAlign w:val="bottom"/>
          </w:tcPr>
          <w:p>
            <w:pPr>
              <w:spacing w:after="0"/>
              <w:rPr>
                <w:sz w:val="20"/>
                <w:szCs w:val="20"/>
                <w:color w:val="auto"/>
              </w:rPr>
            </w:pPr>
            <w:r>
              <w:rPr>
                <w:rFonts w:ascii="Times New Roman" w:cs="Times New Roman" w:eastAsia="Times New Roman" w:hAnsi="Times New Roman"/>
                <w:sz w:val="16"/>
                <w:szCs w:val="16"/>
                <w:color w:val="auto"/>
              </w:rPr>
              <w:t>Fair value changes of</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equity investment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8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designated at FVOCI</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center"/>
              <w:ind w:left="63"/>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(8,213)</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(8,213)</w:t>
            </w:r>
          </w:p>
        </w:tc>
        <w:tc>
          <w:tcPr>
            <w:tcW w:w="0" w:type="dxa"/>
            <w:vAlign w:val="bottom"/>
          </w:tcPr>
          <w:p>
            <w:pPr>
              <w:spacing w:after="0"/>
              <w:rPr>
                <w:sz w:val="1"/>
                <w:szCs w:val="1"/>
                <w:color w:val="auto"/>
              </w:rPr>
            </w:pPr>
          </w:p>
        </w:tc>
      </w:tr>
      <w:tr>
        <w:trPr>
          <w:trHeight w:val="192"/>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translation adjustment,</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net of nil income taxes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3"/>
            <w:shd w:val="clear" w:color="auto" w:fill="CCEEFF"/>
          </w:tcPr>
          <w:p>
            <w:pPr>
              <w:jc w:val="center"/>
              <w:ind w:left="119"/>
              <w:spacing w:after="0"/>
              <w:rPr>
                <w:sz w:val="20"/>
                <w:szCs w:val="20"/>
                <w:color w:val="auto"/>
              </w:rPr>
            </w:pPr>
            <w:r>
              <w:rPr>
                <w:rFonts w:ascii="Times New Roman" w:cs="Times New Roman" w:eastAsia="Times New Roman" w:hAnsi="Times New Roman"/>
                <w:sz w:val="16"/>
                <w:szCs w:val="16"/>
                <w:color w:val="auto"/>
              </w:rPr>
              <w:t>(4,964)</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(4,964)</w:t>
            </w:r>
          </w:p>
        </w:tc>
        <w:tc>
          <w:tcPr>
            <w:tcW w:w="0" w:type="dxa"/>
            <w:vAlign w:val="bottom"/>
          </w:tcPr>
          <w:p>
            <w:pPr>
              <w:spacing w:after="0"/>
              <w:rPr>
                <w:sz w:val="1"/>
                <w:szCs w:val="1"/>
                <w:color w:val="auto"/>
              </w:rPr>
            </w:pPr>
          </w:p>
        </w:tc>
      </w:tr>
      <w:tr>
        <w:trPr>
          <w:trHeight w:val="217"/>
        </w:trPr>
        <w:tc>
          <w:tcPr>
            <w:tcW w:w="1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comprehensive loss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8"/>
                <w:szCs w:val="18"/>
                <w:color w:val="auto"/>
              </w:rPr>
            </w:pPr>
          </w:p>
        </w:tc>
        <w:tc>
          <w:tcPr>
            <w:tcW w:w="62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8"/>
                <w:szCs w:val="18"/>
                <w:color w:val="auto"/>
              </w:rPr>
            </w:pPr>
          </w:p>
        </w:tc>
        <w:tc>
          <w:tcPr>
            <w:tcW w:w="62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(4,964)</w:t>
            </w:r>
          </w:p>
        </w:tc>
        <w:tc>
          <w:tcPr>
            <w:tcW w:w="14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(8,213)</w:t>
            </w:r>
          </w:p>
        </w:tc>
        <w:tc>
          <w:tcPr>
            <w:tcW w:w="16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(546,996)</w:t>
            </w:r>
          </w:p>
        </w:tc>
        <w:tc>
          <w:tcPr>
            <w:tcW w:w="16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(560,173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189"/>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expenses</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13,128</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left="63"/>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800" w:type="dxa"/>
            <w:vAlign w:val="bottom"/>
          </w:tcPr>
          <w:p>
            <w:pPr>
              <w:spacing w:after="0"/>
              <w:rPr>
                <w:sz w:val="20"/>
                <w:szCs w:val="20"/>
                <w:color w:val="auto"/>
              </w:rPr>
            </w:pPr>
            <w:r>
              <w:rPr>
                <w:rFonts w:ascii="Times New Roman" w:cs="Times New Roman" w:eastAsia="Times New Roman" w:hAnsi="Times New Roman"/>
                <w:sz w:val="16"/>
                <w:szCs w:val="16"/>
                <w:color w:val="auto"/>
              </w:rPr>
              <w:t>Conversion of convertible</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notes to subscribe for</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convertible redeemable</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8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preferred shares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center"/>
              <w:ind w:left="63"/>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2,616</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 of warrants to</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subscribe for</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convertible redeemable</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preferred shares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left="63"/>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382,232</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382,232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800" w:type="dxa"/>
            <w:vAlign w:val="bottom"/>
          </w:tcPr>
          <w:p>
            <w:pPr>
              <w:spacing w:after="0"/>
              <w:rPr>
                <w:sz w:val="20"/>
                <w:szCs w:val="20"/>
                <w:color w:val="auto"/>
              </w:rPr>
            </w:pPr>
            <w:r>
              <w:rPr>
                <w:rFonts w:ascii="Times New Roman" w:cs="Times New Roman" w:eastAsia="Times New Roman" w:hAnsi="Times New Roman"/>
                <w:sz w:val="16"/>
                <w:szCs w:val="16"/>
                <w:color w:val="auto"/>
              </w:rPr>
              <w:t>Issuance of new ordinary</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8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shares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33,164</w:t>
            </w: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center"/>
              <w:ind w:left="63"/>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new</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non-redeemable</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preferred shares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28,750</w:t>
            </w: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left="63"/>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800" w:type="dxa"/>
            <w:vAlign w:val="bottom"/>
          </w:tcPr>
          <w:p>
            <w:pPr>
              <w:spacing w:after="0"/>
              <w:rPr>
                <w:sz w:val="20"/>
                <w:szCs w:val="20"/>
                <w:color w:val="auto"/>
              </w:rPr>
            </w:pPr>
            <w:r>
              <w:rPr>
                <w:rFonts w:ascii="Times New Roman" w:cs="Times New Roman" w:eastAsia="Times New Roman" w:hAnsi="Times New Roman"/>
                <w:sz w:val="16"/>
                <w:szCs w:val="16"/>
                <w:color w:val="auto"/>
              </w:rPr>
              <w:t>Cancellation of treasury</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8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shares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(19,355)</w:t>
            </w: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center"/>
              <w:ind w:left="63"/>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19,355</w:t>
            </w:r>
          </w:p>
        </w:tc>
        <w:tc>
          <w:tcPr>
            <w:tcW w:w="160" w:type="dxa"/>
            <w:vAlign w:val="bottom"/>
          </w:tcPr>
          <w:p>
            <w:pPr>
              <w:spacing w:after="0"/>
              <w:rPr>
                <w:sz w:val="18"/>
                <w:szCs w:val="18"/>
                <w:color w:val="auto"/>
              </w:rPr>
            </w:pPr>
          </w:p>
        </w:tc>
        <w:tc>
          <w:tcPr>
            <w:tcW w:w="72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of ordinary</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shares and</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non-redeemable</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preferred shares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left="63"/>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(77,056)</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(77,056)</w:t>
            </w:r>
          </w:p>
        </w:tc>
        <w:tc>
          <w:tcPr>
            <w:tcW w:w="0" w:type="dxa"/>
            <w:vAlign w:val="bottom"/>
          </w:tcPr>
          <w:p>
            <w:pPr>
              <w:spacing w:after="0"/>
              <w:rPr>
                <w:sz w:val="1"/>
                <w:szCs w:val="1"/>
                <w:color w:val="auto"/>
              </w:rPr>
            </w:pPr>
          </w:p>
        </w:tc>
      </w:tr>
      <w:tr>
        <w:trPr>
          <w:trHeight w:val="203"/>
        </w:trPr>
        <w:tc>
          <w:tcPr>
            <w:tcW w:w="1800" w:type="dxa"/>
            <w:vAlign w:val="bottom"/>
          </w:tcPr>
          <w:p>
            <w:pPr>
              <w:spacing w:after="0"/>
              <w:rPr>
                <w:sz w:val="20"/>
                <w:szCs w:val="20"/>
                <w:color w:val="auto"/>
              </w:rPr>
            </w:pPr>
            <w:r>
              <w:rPr>
                <w:rFonts w:ascii="Times New Roman" w:cs="Times New Roman" w:eastAsia="Times New Roman" w:hAnsi="Times New Roman"/>
                <w:sz w:val="16"/>
                <w:szCs w:val="16"/>
                <w:color w:val="auto"/>
              </w:rPr>
              <w:t>Business acquisition</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gridSpan w:val="2"/>
          </w:tcPr>
          <w:p>
            <w:pPr>
              <w:spacing w:after="0"/>
              <w:rPr>
                <w:sz w:val="17"/>
                <w:szCs w:val="17"/>
                <w:color w:val="auto"/>
              </w:rPr>
            </w:pPr>
          </w:p>
        </w:tc>
        <w:tc>
          <w:tcPr>
            <w:tcW w:w="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00" w:type="dxa"/>
            <w:vAlign w:val="bottom"/>
          </w:tcPr>
          <w:p>
            <w:pPr>
              <w:jc w:val="center"/>
              <w:ind w:left="203"/>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(4,166)</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4,166</w:t>
            </w:r>
          </w:p>
        </w:tc>
        <w:tc>
          <w:tcPr>
            <w:tcW w:w="160" w:type="dxa"/>
            <w:vAlign w:val="bottom"/>
          </w:tcPr>
          <w:p>
            <w:pPr>
              <w:spacing w:after="0"/>
              <w:rPr>
                <w:sz w:val="17"/>
                <w:szCs w:val="17"/>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
        </w:trPr>
        <w:tc>
          <w:tcPr>
            <w:tcW w:w="1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gridSpan w:val="2"/>
            <w:shd w:val="clear" w:color="auto" w:fill="CCEEFF"/>
          </w:tcPr>
          <w:p>
            <w:pPr>
              <w:spacing w:after="0"/>
              <w:rPr>
                <w:sz w:val="17"/>
                <w:szCs w:val="17"/>
                <w:color w:val="auto"/>
              </w:rPr>
            </w:pPr>
          </w:p>
        </w:tc>
        <w:tc>
          <w:tcPr>
            <w:tcW w:w="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42,559</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13,128</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center"/>
              <w:ind w:left="203"/>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(4,166)</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384,848</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4,166</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(57,701)</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382,842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Balance as of June 30,</w:t>
            </w: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8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180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2021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7</w:t>
            </w:r>
          </w:p>
        </w:tc>
        <w:tc>
          <w:tcPr>
            <w:tcW w:w="80" w:type="dxa"/>
            <w:vAlign w:val="bottom"/>
          </w:tcPr>
          <w:p>
            <w:pPr>
              <w:spacing w:after="0"/>
              <w:rPr>
                <w:sz w:val="18"/>
                <w:szCs w:val="18"/>
                <w:color w:val="auto"/>
              </w:rPr>
            </w:pPr>
          </w:p>
        </w:tc>
        <w:tc>
          <w:tcPr>
            <w:tcW w:w="700" w:type="dxa"/>
            <w:vAlign w:val="bottom"/>
            <w:gridSpan w:val="2"/>
          </w:tcPr>
          <w:p>
            <w:pPr>
              <w:ind w:left="540"/>
              <w:spacing w:after="0"/>
              <w:rPr>
                <w:sz w:val="20"/>
                <w:szCs w:val="20"/>
                <w:color w:val="auto"/>
              </w:rPr>
            </w:pPr>
            <w:r>
              <w:rPr>
                <w:rFonts w:ascii="Times New Roman" w:cs="Times New Roman" w:eastAsia="Times New Roman" w:hAnsi="Times New Roman"/>
                <w:sz w:val="16"/>
                <w:szCs w:val="16"/>
                <w:b w:val="1"/>
                <w:bCs w:val="1"/>
                <w:color w:val="auto"/>
              </w:rPr>
              <w:t>5</w:t>
            </w:r>
          </w:p>
        </w:tc>
        <w:tc>
          <w:tcPr>
            <w:tcW w:w="780" w:type="dxa"/>
            <w:vAlign w:val="bottom"/>
            <w:gridSpan w:val="2"/>
          </w:tcPr>
          <w:p>
            <w:pPr>
              <w:ind w:left="540"/>
              <w:spacing w:after="0"/>
              <w:rPr>
                <w:sz w:val="20"/>
                <w:szCs w:val="20"/>
                <w:color w:val="auto"/>
              </w:rPr>
            </w:pPr>
            <w:r>
              <w:rPr>
                <w:rFonts w:ascii="Times New Roman" w:cs="Times New Roman" w:eastAsia="Times New Roman" w:hAnsi="Times New Roman"/>
                <w:sz w:val="16"/>
                <w:szCs w:val="16"/>
                <w:b w:val="1"/>
                <w:bCs w:val="1"/>
                <w:color w:val="auto"/>
              </w:rPr>
              <w:t>4</w:t>
            </w:r>
          </w:p>
        </w:tc>
        <w:tc>
          <w:tcPr>
            <w:tcW w:w="720" w:type="dxa"/>
            <w:vAlign w:val="bottom"/>
            <w:gridSpan w:val="2"/>
          </w:tcPr>
          <w:p>
            <w:pPr>
              <w:ind w:left="540"/>
              <w:spacing w:after="0"/>
              <w:rPr>
                <w:sz w:val="20"/>
                <w:szCs w:val="20"/>
                <w:color w:val="auto"/>
              </w:rPr>
            </w:pPr>
            <w:r>
              <w:rPr>
                <w:rFonts w:ascii="Times New Roman" w:cs="Times New Roman" w:eastAsia="Times New Roman" w:hAnsi="Times New Roman"/>
                <w:sz w:val="16"/>
                <w:szCs w:val="16"/>
                <w:b w:val="1"/>
                <w:bCs w:val="1"/>
                <w:color w:val="auto"/>
              </w:rPr>
              <w:t>6</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1,029,999</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327,388</w:t>
            </w:r>
          </w:p>
        </w:tc>
        <w:tc>
          <w:tcPr>
            <w:tcW w:w="840" w:type="dxa"/>
            <w:vAlign w:val="bottom"/>
            <w:gridSpan w:val="3"/>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(9,422)</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801,361</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(2,670,879)</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(57,701)</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(579,232)</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hanging="424"/>
        <w:spacing w:after="0"/>
        <w:tabs>
          <w:tab w:leader="none" w:pos="54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amounts less than RMB1,000.</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interim financial statements.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F-76</w:t>
      </w:r>
    </w:p>
    <w:p>
      <w:pPr>
        <w:sectPr>
          <w:pgSz w:w="11900" w:h="16838" w:orient="portrait"/>
          <w:cols w:equalWidth="0" w:num="1">
            <w:col w:w="11140"/>
          </w:cols>
          <w:pgMar w:left="320" w:top="455" w:right="439" w:bottom="1440" w:gutter="0" w:footer="0" w:header="0"/>
        </w:sectPr>
      </w:pPr>
    </w:p>
    <w:bookmarkStart w:id="329" w:name="page330"/>
    <w:bookmarkEnd w:id="3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Changes in Equity for the six months ended June 30, 2022</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(Expressed in thousands of RMB)</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i w:val="1"/>
                <w:iCs w:val="1"/>
                <w:color w:val="auto"/>
                <w:w w:val="99"/>
              </w:rPr>
              <w:t>Series</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i w:val="1"/>
                <w:iCs w:val="1"/>
                <w:color w:val="auto"/>
                <w:w w:val="99"/>
              </w:rPr>
              <w:t>Series</w:t>
            </w:r>
          </w:p>
        </w:tc>
        <w:tc>
          <w:tcPr>
            <w:tcW w:w="8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i w:val="1"/>
                <w:iCs w:val="1"/>
                <w:color w:val="auto"/>
              </w:rPr>
              <w:t>Series A</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i w:val="1"/>
                <w:iCs w:val="1"/>
                <w:color w:val="auto"/>
                <w:w w:val="99"/>
              </w:rPr>
              <w:t>Seed-1</w:t>
            </w:r>
          </w:p>
        </w:tc>
        <w:tc>
          <w:tcPr>
            <w:tcW w:w="8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i w:val="1"/>
                <w:iCs w:val="1"/>
                <w:color w:val="auto"/>
                <w:w w:val="99"/>
              </w:rPr>
              <w:t>Seed-2</w:t>
            </w:r>
          </w:p>
        </w:tc>
        <w:tc>
          <w:tcPr>
            <w:tcW w:w="80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i w:val="1"/>
                <w:iCs w:val="1"/>
                <w:color w:val="auto"/>
                <w:w w:val="99"/>
              </w:rPr>
              <w:t>Share-based</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Ordinary</w:t>
            </w:r>
          </w:p>
        </w:tc>
        <w:tc>
          <w:tcPr>
            <w:tcW w:w="8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i w:val="1"/>
                <w:iCs w:val="1"/>
                <w:color w:val="auto"/>
                <w:w w:val="99"/>
              </w:rPr>
              <w:t>Convertible</w:t>
            </w:r>
          </w:p>
        </w:tc>
        <w:tc>
          <w:tcPr>
            <w:tcW w:w="8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i w:val="1"/>
                <w:iCs w:val="1"/>
                <w:color w:val="auto"/>
              </w:rPr>
              <w:t>Convertible</w:t>
            </w: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i w:val="1"/>
                <w:iCs w:val="1"/>
                <w:color w:val="auto"/>
                <w:w w:val="99"/>
              </w:rPr>
              <w:t>Convertible</w:t>
            </w:r>
          </w:p>
        </w:tc>
        <w:tc>
          <w:tcPr>
            <w:tcW w:w="8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i w:val="1"/>
                <w:iCs w:val="1"/>
                <w:color w:val="auto"/>
              </w:rPr>
              <w:t>Share</w:t>
            </w:r>
          </w:p>
        </w:tc>
        <w:tc>
          <w:tcPr>
            <w:tcW w:w="920" w:type="dxa"/>
            <w:vAlign w:val="bottom"/>
            <w:gridSpan w:val="2"/>
            <w:vMerge w:val="continue"/>
          </w:tcPr>
          <w:p>
            <w:pPr>
              <w:spacing w:after="0"/>
              <w:rPr>
                <w:sz w:val="12"/>
                <w:szCs w:val="12"/>
                <w:color w:val="auto"/>
              </w:rPr>
            </w:pP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i w:val="1"/>
                <w:iCs w:val="1"/>
                <w:color w:val="auto"/>
              </w:rPr>
              <w:t>Translation</w:t>
            </w:r>
          </w:p>
        </w:tc>
        <w:tc>
          <w:tcPr>
            <w:tcW w:w="7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i w:val="1"/>
                <w:iCs w:val="1"/>
                <w:color w:val="auto"/>
              </w:rPr>
              <w:t>Other</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i w:val="1"/>
                <w:iCs w:val="1"/>
                <w:color w:val="auto"/>
              </w:rPr>
              <w:t>Accumulated</w:t>
            </w: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i w:val="1"/>
                <w:iCs w:val="1"/>
                <w:color w:val="auto"/>
              </w:rPr>
              <w:t>Treasury</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tcPr>
          <w:p>
            <w:pPr>
              <w:spacing w:after="0"/>
              <w:rPr>
                <w:sz w:val="12"/>
                <w:szCs w:val="12"/>
                <w:color w:val="auto"/>
              </w:rPr>
            </w:pPr>
          </w:p>
        </w:tc>
        <w:tc>
          <w:tcPr>
            <w:tcW w:w="3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color w:val="auto"/>
              </w:rPr>
              <w:t>Note</w:t>
            </w:r>
          </w:p>
        </w:tc>
        <w:tc>
          <w:tcPr>
            <w:tcW w:w="700" w:type="dxa"/>
            <w:vAlign w:val="bottom"/>
            <w:gridSpan w:val="2"/>
            <w:vMerge w:val="continue"/>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i w:val="1"/>
                <w:iCs w:val="1"/>
                <w:color w:val="auto"/>
                <w:w w:val="99"/>
              </w:rPr>
              <w:t>Preferred</w:t>
            </w:r>
          </w:p>
        </w:tc>
        <w:tc>
          <w:tcPr>
            <w:tcW w:w="8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i w:val="1"/>
                <w:iCs w:val="1"/>
                <w:color w:val="auto"/>
                <w:w w:val="99"/>
              </w:rPr>
              <w:t>Preferred</w:t>
            </w:r>
          </w:p>
        </w:tc>
        <w:tc>
          <w:tcPr>
            <w:tcW w:w="8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i w:val="1"/>
                <w:iCs w:val="1"/>
                <w:color w:val="auto"/>
              </w:rPr>
              <w:t>Preferred</w:t>
            </w:r>
          </w:p>
        </w:tc>
        <w:tc>
          <w:tcPr>
            <w:tcW w:w="880" w:type="dxa"/>
            <w:vAlign w:val="bottom"/>
            <w:gridSpan w:val="2"/>
            <w:vMerge w:val="continue"/>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i w:val="1"/>
                <w:iCs w:val="1"/>
                <w:color w:val="auto"/>
              </w:rPr>
              <w:t>compensation</w:t>
            </w:r>
          </w:p>
        </w:tc>
        <w:tc>
          <w:tcPr>
            <w:tcW w:w="86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i w:val="1"/>
                <w:iCs w:val="1"/>
                <w:color w:val="auto"/>
              </w:rPr>
              <w:t>Total deficit</w:t>
            </w:r>
          </w:p>
        </w:tc>
        <w:tc>
          <w:tcPr>
            <w:tcW w:w="0" w:type="dxa"/>
            <w:vAlign w:val="bottom"/>
          </w:tcPr>
          <w:p>
            <w:pPr>
              <w:spacing w:after="0"/>
              <w:rPr>
                <w:sz w:val="1"/>
                <w:szCs w:val="1"/>
                <w:color w:val="auto"/>
              </w:rPr>
            </w:pPr>
          </w:p>
        </w:tc>
      </w:tr>
      <w:tr>
        <w:trPr>
          <w:trHeight w:val="173"/>
        </w:trPr>
        <w:tc>
          <w:tcPr>
            <w:tcW w:w="1380" w:type="dxa"/>
            <w:vAlign w:val="bottom"/>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4"/>
                <w:szCs w:val="14"/>
                <w:i w:val="1"/>
                <w:iCs w:val="1"/>
                <w:color w:val="auto"/>
              </w:rPr>
              <w:t>shares</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i w:val="1"/>
                <w:iCs w:val="1"/>
                <w:color w:val="auto"/>
                <w:w w:val="99"/>
              </w:rPr>
              <w:t>Shares</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i w:val="1"/>
                <w:iCs w:val="1"/>
                <w:color w:val="auto"/>
                <w:w w:val="99"/>
              </w:rPr>
              <w:t>Shares</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i w:val="1"/>
                <w:iCs w:val="1"/>
                <w:color w:val="auto"/>
                <w:w w:val="99"/>
              </w:rPr>
              <w:t>Shares</w:t>
            </w: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4"/>
                <w:szCs w:val="14"/>
                <w:i w:val="1"/>
                <w:iCs w:val="1"/>
                <w:color w:val="auto"/>
              </w:rPr>
              <w:t>premium</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i w:val="1"/>
                <w:iCs w:val="1"/>
                <w:color w:val="auto"/>
              </w:rPr>
              <w:t>reserve</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i w:val="1"/>
                <w:iCs w:val="1"/>
                <w:color w:val="auto"/>
              </w:rPr>
              <w:t>reserve</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i w:val="1"/>
                <w:iCs w:val="1"/>
                <w:color w:val="auto"/>
              </w:rPr>
              <w:t>reserves</w:t>
            </w: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i w:val="1"/>
                <w:iCs w:val="1"/>
                <w:color w:val="auto"/>
              </w:rPr>
              <w:t>losses</w:t>
            </w: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i w:val="1"/>
                <w:iCs w:val="1"/>
                <w:color w:val="auto"/>
              </w:rPr>
              <w:t>shares</w:t>
            </w:r>
          </w:p>
        </w:tc>
        <w:tc>
          <w:tcPr>
            <w:tcW w:w="9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100" w:type="dxa"/>
            <w:vAlign w:val="bottom"/>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100" w:type="dxa"/>
            <w:vAlign w:val="bottom"/>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100" w:type="dxa"/>
            <w:vAlign w:val="bottom"/>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120" w:type="dxa"/>
            <w:vAlign w:val="bottom"/>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100" w:type="dxa"/>
            <w:vAlign w:val="bottom"/>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100" w:type="dxa"/>
            <w:vAlign w:val="bottom"/>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16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120" w:type="dxa"/>
            <w:vAlign w:val="bottom"/>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18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160" w:type="dxa"/>
            <w:vAlign w:val="bottom"/>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3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as of</w:t>
            </w: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January 1,</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1,046,621</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370,219</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16,251</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823,753</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(3,131,134)</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(91,841)</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(966,109)</w:t>
            </w:r>
          </w:p>
        </w:tc>
        <w:tc>
          <w:tcPr>
            <w:tcW w:w="0" w:type="dxa"/>
            <w:vAlign w:val="bottom"/>
          </w:tcPr>
          <w:p>
            <w:pPr>
              <w:spacing w:after="0"/>
              <w:rPr>
                <w:sz w:val="1"/>
                <w:szCs w:val="1"/>
                <w:color w:val="auto"/>
              </w:rPr>
            </w:pPr>
          </w:p>
        </w:tc>
      </w:tr>
      <w:tr>
        <w:trPr>
          <w:trHeight w:val="201"/>
        </w:trPr>
        <w:tc>
          <w:tcPr>
            <w:tcW w:w="138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Changes in</w:t>
            </w: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equity for the</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ended June 30,</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Loss for the</w:t>
            </w: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period</w:t>
            </w:r>
          </w:p>
        </w:tc>
        <w:tc>
          <w:tcPr>
            <w:tcW w:w="2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(657,885)</w:t>
            </w: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(657,885)</w:t>
            </w:r>
          </w:p>
        </w:tc>
        <w:tc>
          <w:tcPr>
            <w:tcW w:w="0" w:type="dxa"/>
            <w:vAlign w:val="bottom"/>
          </w:tcPr>
          <w:p>
            <w:pPr>
              <w:spacing w:after="0"/>
              <w:rPr>
                <w:sz w:val="1"/>
                <w:szCs w:val="1"/>
                <w:color w:val="auto"/>
              </w:rPr>
            </w:pPr>
          </w:p>
        </w:tc>
      </w:tr>
      <w:tr>
        <w:trPr>
          <w:trHeight w:val="198"/>
        </w:trPr>
        <w:tc>
          <w:tcPr>
            <w:tcW w:w="1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Foreign currency</w:t>
            </w: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translation</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 net</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nil income</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(116,451)</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(116,451)</w:t>
            </w:r>
          </w:p>
        </w:tc>
        <w:tc>
          <w:tcPr>
            <w:tcW w:w="0" w:type="dxa"/>
            <w:vAlign w:val="bottom"/>
          </w:tcPr>
          <w:p>
            <w:pPr>
              <w:spacing w:after="0"/>
              <w:rPr>
                <w:sz w:val="1"/>
                <w:szCs w:val="1"/>
                <w:color w:val="auto"/>
              </w:rPr>
            </w:pPr>
          </w:p>
        </w:tc>
      </w:tr>
      <w:tr>
        <w:trPr>
          <w:trHeight w:val="194"/>
        </w:trPr>
        <w:tc>
          <w:tcPr>
            <w:tcW w:w="13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loss</w:t>
            </w:r>
          </w:p>
        </w:tc>
        <w:tc>
          <w:tcPr>
            <w:tcW w:w="2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(116,451)</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(657,885)</w:t>
            </w: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(774,336)</w:t>
            </w:r>
          </w:p>
        </w:tc>
        <w:tc>
          <w:tcPr>
            <w:tcW w:w="0" w:type="dxa"/>
            <w:vAlign w:val="bottom"/>
          </w:tcPr>
          <w:p>
            <w:pPr>
              <w:spacing w:after="0"/>
              <w:rPr>
                <w:sz w:val="1"/>
                <w:szCs w:val="1"/>
                <w:color w:val="auto"/>
              </w:rPr>
            </w:pPr>
          </w:p>
        </w:tc>
      </w:tr>
      <w:tr>
        <w:trPr>
          <w:trHeight w:val="205"/>
        </w:trPr>
        <w:tc>
          <w:tcPr>
            <w:tcW w:w="13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Share-based</w:t>
            </w: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20"/>
                <w:szCs w:val="20"/>
                <w:color w:val="auto"/>
              </w:rPr>
            </w:pPr>
          </w:p>
        </w:tc>
        <w:tc>
          <w:tcPr>
            <w:tcW w:w="7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81,668</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81,668</w:t>
            </w:r>
          </w:p>
        </w:tc>
        <w:tc>
          <w:tcPr>
            <w:tcW w:w="0" w:type="dxa"/>
            <w:vAlign w:val="bottom"/>
          </w:tcPr>
          <w:p>
            <w:pPr>
              <w:spacing w:after="0"/>
              <w:rPr>
                <w:sz w:val="1"/>
                <w:szCs w:val="1"/>
                <w:color w:val="auto"/>
              </w:rPr>
            </w:pPr>
          </w:p>
        </w:tc>
      </w:tr>
      <w:tr>
        <w:trPr>
          <w:trHeight w:val="198"/>
        </w:trPr>
        <w:tc>
          <w:tcPr>
            <w:tcW w:w="1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Sales of treasury</w:t>
            </w: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w:t>
            </w:r>
          </w:p>
        </w:tc>
        <w:tc>
          <w:tcPr>
            <w:tcW w:w="2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1,507</w:t>
            </w:r>
          </w:p>
        </w:tc>
        <w:tc>
          <w:tcPr>
            <w:tcW w:w="9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4,973</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6,480</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0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0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8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10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81,668</w:t>
            </w:r>
          </w:p>
        </w:tc>
        <w:tc>
          <w:tcPr>
            <w:tcW w:w="1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4,973</w:t>
            </w:r>
          </w:p>
        </w:tc>
        <w:tc>
          <w:tcPr>
            <w:tcW w:w="1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88,148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13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as of</w:t>
            </w: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2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1,048,128</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451,887</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(100,200)</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823,753</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(3,789,019)</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(86,868)</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(1,652,297)</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interim financial statements.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F-77</w:t>
      </w:r>
    </w:p>
    <w:p>
      <w:pPr>
        <w:sectPr>
          <w:pgSz w:w="11900" w:h="16838" w:orient="portrait"/>
          <w:cols w:equalWidth="0" w:num="1">
            <w:col w:w="11140"/>
          </w:cols>
          <w:pgMar w:left="320" w:top="455" w:right="439" w:bottom="1440" w:gutter="0" w:footer="0" w:header="0"/>
        </w:sectPr>
      </w:pPr>
    </w:p>
    <w:bookmarkStart w:id="330" w:name="page331"/>
    <w:bookmarkEnd w:id="330"/>
    <w:tbl>
      <w:tblPr>
        <w:tblLayout w:type="fixed"/>
        <w:tblInd w:w="0" w:type="dxa"/>
        <w:tblCellMar>
          <w:top w:w="0" w:type="dxa"/>
          <w:left w:w="0" w:type="dxa"/>
          <w:bottom w:w="0" w:type="dxa"/>
          <w:right w:w="0" w:type="dxa"/>
        </w:tblCellMar>
      </w:tblPr>
      <w:tr>
        <w:trPr>
          <w:trHeight w:val="207"/>
        </w:trPr>
        <w:tc>
          <w:tcPr>
            <w:tcW w:w="8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3"/>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7480" w:type="dxa"/>
            <w:vAlign w:val="bottom"/>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9"/>
              </w:rPr>
              <w:t>Unaudited Condensed Consolidated Statements of Cash Flows</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480" w:type="dxa"/>
            <w:vAlign w:val="bottom"/>
          </w:tcPr>
          <w:p>
            <w:pPr>
              <w:jc w:val="center"/>
              <w:ind w:left="970"/>
              <w:spacing w:after="0"/>
              <w:rPr>
                <w:sz w:val="20"/>
                <w:szCs w:val="20"/>
                <w:color w:val="auto"/>
              </w:rPr>
            </w:pPr>
            <w:r>
              <w:rPr>
                <w:rFonts w:ascii="Times New Roman" w:cs="Times New Roman" w:eastAsia="Times New Roman" w:hAnsi="Times New Roman"/>
                <w:sz w:val="18"/>
                <w:szCs w:val="18"/>
                <w:i w:val="1"/>
                <w:iCs w:val="1"/>
                <w:color w:val="auto"/>
                <w:w w:val="99"/>
              </w:rPr>
              <w:t>(Expressed in thousands of RMB)</w:t>
            </w: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230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i w:val="1"/>
                <w:iCs w:val="1"/>
                <w:color w:val="auto"/>
              </w:rPr>
              <w:t>For the six months ended</w:t>
            </w:r>
          </w:p>
        </w:tc>
        <w:tc>
          <w:tcPr>
            <w:tcW w:w="0" w:type="dxa"/>
            <w:vAlign w:val="bottom"/>
          </w:tcPr>
          <w:p>
            <w:pPr>
              <w:spacing w:after="0"/>
              <w:rPr>
                <w:sz w:val="1"/>
                <w:szCs w:val="1"/>
                <w:color w:val="auto"/>
              </w:rPr>
            </w:pPr>
          </w:p>
        </w:tc>
      </w:tr>
      <w:tr>
        <w:trPr>
          <w:trHeight w:val="236"/>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480" w:type="dxa"/>
            <w:vAlign w:val="bottom"/>
            <w:vMerge w:val="restart"/>
          </w:tcPr>
          <w:p>
            <w:pPr>
              <w:ind w:left="6660"/>
              <w:spacing w:after="0"/>
              <w:rPr>
                <w:sz w:val="20"/>
                <w:szCs w:val="20"/>
                <w:color w:val="auto"/>
              </w:rPr>
            </w:pPr>
            <w:r>
              <w:rPr>
                <w:rFonts w:ascii="Times New Roman" w:cs="Times New Roman" w:eastAsia="Times New Roman" w:hAnsi="Times New Roman"/>
                <w:sz w:val="18"/>
                <w:szCs w:val="18"/>
                <w:i w:val="1"/>
                <w:iCs w:val="1"/>
                <w:color w:val="auto"/>
              </w:rPr>
              <w:t>Note</w:t>
            </w: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June 30,</w:t>
            </w:r>
          </w:p>
        </w:tc>
        <w:tc>
          <w:tcPr>
            <w:tcW w:w="7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480" w:type="dxa"/>
            <w:vAlign w:val="bottom"/>
            <w:vMerge w:val="continue"/>
          </w:tcPr>
          <w:p>
            <w:pPr>
              <w:spacing w:after="0"/>
              <w:rPr>
                <w:sz w:val="16"/>
                <w:szCs w:val="16"/>
                <w:color w:val="auto"/>
              </w:rPr>
            </w:pPr>
          </w:p>
        </w:tc>
        <w:tc>
          <w:tcPr>
            <w:tcW w:w="800" w:type="dxa"/>
            <w:vAlign w:val="bottom"/>
          </w:tcPr>
          <w:p>
            <w:pPr>
              <w:ind w:left="220"/>
              <w:spacing w:after="0" w:line="191" w:lineRule="exact"/>
              <w:rPr>
                <w:sz w:val="20"/>
                <w:szCs w:val="20"/>
                <w:color w:val="auto"/>
              </w:rPr>
            </w:pPr>
            <w:r>
              <w:rPr>
                <w:rFonts w:ascii="Times New Roman" w:cs="Times New Roman" w:eastAsia="Times New Roman" w:hAnsi="Times New Roman"/>
                <w:sz w:val="18"/>
                <w:szCs w:val="18"/>
                <w:i w:val="1"/>
                <w:iCs w:val="1"/>
                <w:color w:val="auto"/>
              </w:rPr>
              <w:t>2021</w:t>
            </w: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jc w:val="right"/>
              <w:ind w:right="150"/>
              <w:spacing w:after="0" w:line="191" w:lineRule="exact"/>
              <w:rPr>
                <w:sz w:val="20"/>
                <w:szCs w:val="20"/>
                <w:color w:val="auto"/>
              </w:rPr>
            </w:pPr>
            <w:r>
              <w:rPr>
                <w:rFonts w:ascii="Times New Roman" w:cs="Times New Roman" w:eastAsia="Times New Roman" w:hAnsi="Times New Roman"/>
                <w:sz w:val="18"/>
                <w:szCs w:val="18"/>
                <w:i w:val="1"/>
                <w:iCs w:val="1"/>
                <w:color w:val="auto"/>
              </w:rPr>
              <w:t>2022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140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RMB’000</w:t>
            </w: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RMB’000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used in operations</w:t>
            </w:r>
          </w:p>
        </w:tc>
        <w:tc>
          <w:tcPr>
            <w:tcW w:w="14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(298,483)</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(392,070)</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4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8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400" w:type="dxa"/>
            <w:vAlign w:val="bottom"/>
            <w:tcBorders>
              <w:right w:val="single" w:sz="8" w:color="CCEEFF"/>
            </w:tcBorders>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(298,483)</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(392,070)</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8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4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for purchase of property and equipment</w:t>
            </w:r>
          </w:p>
        </w:tc>
        <w:tc>
          <w:tcPr>
            <w:tcW w:w="1400" w:type="dxa"/>
            <w:vAlign w:val="bottom"/>
            <w:tcBorders>
              <w:right w:val="single" w:sz="8" w:color="CCEEFF"/>
            </w:tcBorders>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(5,793)</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(32,886)</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Payments for purchase of intangible assets</w:t>
            </w:r>
          </w:p>
        </w:tc>
        <w:tc>
          <w:tcPr>
            <w:tcW w:w="14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(172)</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(1,881)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disposal of property, equipment and intangible assets</w:t>
            </w:r>
          </w:p>
        </w:tc>
        <w:tc>
          <w:tcPr>
            <w:tcW w:w="1400" w:type="dxa"/>
            <w:vAlign w:val="bottom"/>
            <w:tcBorders>
              <w:right w:val="single" w:sz="8" w:color="CCEEFF"/>
            </w:tcBorders>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 of time deposits</w:t>
            </w:r>
          </w:p>
        </w:tc>
        <w:tc>
          <w:tcPr>
            <w:tcW w:w="14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(270,000)</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(345,609)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for purchase of financial assets measured at FVTPL</w:t>
            </w:r>
          </w:p>
        </w:tc>
        <w:tc>
          <w:tcPr>
            <w:tcW w:w="1400" w:type="dxa"/>
            <w:vAlign w:val="bottom"/>
            <w:tcBorders>
              <w:right w:val="single" w:sz="8" w:color="CCEEFF"/>
            </w:tcBorders>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(410,962)</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(112,348)</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sales of financial assets measured at FVTPL</w:t>
            </w:r>
          </w:p>
        </w:tc>
        <w:tc>
          <w:tcPr>
            <w:tcW w:w="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9"/>
              </w:rPr>
              <w:t>978,848</w:t>
            </w:r>
          </w:p>
        </w:tc>
        <w:tc>
          <w:tcPr>
            <w:tcW w:w="5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123,854</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a subsidiary, net of cash acquired</w:t>
            </w:r>
          </w:p>
        </w:tc>
        <w:tc>
          <w:tcPr>
            <w:tcW w:w="1400" w:type="dxa"/>
            <w:vAlign w:val="bottom"/>
            <w:tcBorders>
              <w:right w:val="single" w:sz="8" w:color="CCEEFF"/>
            </w:tcBorders>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(30,055)</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generated from/(used in) investing activities</w:t>
            </w:r>
          </w:p>
        </w:tc>
        <w:tc>
          <w:tcPr>
            <w:tcW w:w="80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w w:val="95"/>
              </w:rPr>
              <w:t>261,866</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(368,358)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interim financial statements.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F-78</w:t>
      </w:r>
    </w:p>
    <w:p>
      <w:pPr>
        <w:sectPr>
          <w:pgSz w:w="11900" w:h="16838" w:orient="portrait"/>
          <w:cols w:equalWidth="0" w:num="1">
            <w:col w:w="11140"/>
          </w:cols>
          <w:pgMar w:left="320" w:top="446" w:right="439" w:bottom="1440" w:gutter="0" w:footer="0" w:header="0"/>
        </w:sectPr>
      </w:pPr>
    </w:p>
    <w:bookmarkStart w:id="331" w:name="page332"/>
    <w:bookmarkEnd w:id="331"/>
    <w:tbl>
      <w:tblPr>
        <w:tblLayout w:type="fixed"/>
        <w:tblInd w:w="0" w:type="dxa"/>
        <w:tblCellMar>
          <w:top w:w="0" w:type="dxa"/>
          <w:left w:w="0" w:type="dxa"/>
          <w:bottom w:w="0" w:type="dxa"/>
          <w:right w:w="0" w:type="dxa"/>
        </w:tblCellMar>
      </w:tblPr>
      <w:tr>
        <w:trPr>
          <w:trHeight w:val="207"/>
        </w:trPr>
        <w:tc>
          <w:tcPr>
            <w:tcW w:w="8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3"/>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7120" w:type="dxa"/>
            <w:vAlign w:val="bottom"/>
          </w:tcPr>
          <w:p>
            <w:pPr>
              <w:jc w:val="center"/>
              <w:ind w:left="1330"/>
              <w:spacing w:after="0"/>
              <w:rPr>
                <w:sz w:val="20"/>
                <w:szCs w:val="20"/>
                <w:color w:val="auto"/>
              </w:rPr>
            </w:pPr>
            <w:r>
              <w:rPr>
                <w:rFonts w:ascii="Times New Roman" w:cs="Times New Roman" w:eastAsia="Times New Roman" w:hAnsi="Times New Roman"/>
                <w:sz w:val="18"/>
                <w:szCs w:val="18"/>
                <w:b w:val="1"/>
                <w:bCs w:val="1"/>
                <w:color w:val="auto"/>
                <w:w w:val="99"/>
              </w:rPr>
              <w:t>Unaudited Condensed Consolidated Statements of Cash Flows (continued)</w:t>
            </w: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120" w:type="dxa"/>
            <w:vAlign w:val="bottom"/>
          </w:tcPr>
          <w:p>
            <w:pPr>
              <w:jc w:val="center"/>
              <w:ind w:left="1330"/>
              <w:spacing w:after="0"/>
              <w:rPr>
                <w:sz w:val="20"/>
                <w:szCs w:val="20"/>
                <w:color w:val="auto"/>
              </w:rPr>
            </w:pPr>
            <w:r>
              <w:rPr>
                <w:rFonts w:ascii="Times New Roman" w:cs="Times New Roman" w:eastAsia="Times New Roman" w:hAnsi="Times New Roman"/>
                <w:sz w:val="18"/>
                <w:szCs w:val="18"/>
                <w:i w:val="1"/>
                <w:iCs w:val="1"/>
                <w:color w:val="auto"/>
                <w:w w:val="99"/>
              </w:rPr>
              <w:t>(Expressed in thousands of RMB)</w:t>
            </w:r>
          </w:p>
        </w:tc>
        <w:tc>
          <w:tcPr>
            <w:tcW w:w="5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0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i w:val="1"/>
                <w:iCs w:val="1"/>
                <w:color w:val="auto"/>
              </w:rPr>
              <w:t>For the six months ended</w:t>
            </w:r>
          </w:p>
        </w:tc>
        <w:tc>
          <w:tcPr>
            <w:tcW w:w="0" w:type="dxa"/>
            <w:vAlign w:val="bottom"/>
          </w:tcPr>
          <w:p>
            <w:pPr>
              <w:spacing w:after="0"/>
              <w:rPr>
                <w:sz w:val="1"/>
                <w:szCs w:val="1"/>
                <w:color w:val="auto"/>
              </w:rPr>
            </w:pPr>
          </w:p>
        </w:tc>
      </w:tr>
      <w:tr>
        <w:trPr>
          <w:trHeight w:val="236"/>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120" w:type="dxa"/>
            <w:vAlign w:val="bottom"/>
          </w:tcPr>
          <w:p>
            <w:pPr>
              <w:spacing w:after="0"/>
              <w:rPr>
                <w:sz w:val="20"/>
                <w:szCs w:val="20"/>
                <w:color w:val="auto"/>
              </w:rPr>
            </w:pPr>
          </w:p>
        </w:tc>
        <w:tc>
          <w:tcPr>
            <w:tcW w:w="56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i w:val="1"/>
                <w:iCs w:val="1"/>
                <w:color w:val="auto"/>
                <w:w w:val="99"/>
              </w:rPr>
              <w:t>Note</w:t>
            </w:r>
          </w:p>
        </w:tc>
        <w:tc>
          <w:tcPr>
            <w:tcW w:w="210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i w:val="1"/>
                <w:iCs w:val="1"/>
                <w:color w:val="auto"/>
              </w:rPr>
              <w:t>June 30,</w:t>
            </w: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12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820" w:type="dxa"/>
            <w:vAlign w:val="bottom"/>
            <w:tcBorders>
              <w:top w:val="single" w:sz="8" w:color="auto"/>
            </w:tcBorders>
          </w:tcPr>
          <w:p>
            <w:pPr>
              <w:jc w:val="right"/>
              <w:ind w:right="130"/>
              <w:spacing w:after="0" w:line="191" w:lineRule="exact"/>
              <w:rPr>
                <w:sz w:val="20"/>
                <w:szCs w:val="20"/>
                <w:color w:val="auto"/>
              </w:rPr>
            </w:pPr>
            <w:r>
              <w:rPr>
                <w:rFonts w:ascii="Times New Roman" w:cs="Times New Roman" w:eastAsia="Times New Roman" w:hAnsi="Times New Roman"/>
                <w:sz w:val="18"/>
                <w:szCs w:val="18"/>
                <w:i w:val="1"/>
                <w:iCs w:val="1"/>
                <w:color w:val="auto"/>
              </w:rPr>
              <w:t>2021</w:t>
            </w:r>
          </w:p>
        </w:tc>
        <w:tc>
          <w:tcPr>
            <w:tcW w:w="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150"/>
              <w:spacing w:after="0" w:line="191" w:lineRule="exact"/>
              <w:rPr>
                <w:sz w:val="20"/>
                <w:szCs w:val="20"/>
                <w:color w:val="auto"/>
              </w:rPr>
            </w:pPr>
            <w:r>
              <w:rPr>
                <w:rFonts w:ascii="Times New Roman" w:cs="Times New Roman" w:eastAsia="Times New Roman" w:hAnsi="Times New Roman"/>
                <w:sz w:val="18"/>
                <w:szCs w:val="18"/>
                <w:i w:val="1"/>
                <w:iCs w:val="1"/>
                <w:color w:val="auto"/>
              </w:rPr>
              <w:t>2022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rPr>
              <w:t>RMB’000</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RMB’000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issuance of ordinary shares</w:t>
            </w:r>
          </w:p>
        </w:tc>
        <w:tc>
          <w:tcPr>
            <w:tcW w:w="560" w:type="dxa"/>
            <w:vAlign w:val="bottom"/>
          </w:tcPr>
          <w:p>
            <w:pPr>
              <w:spacing w:after="0"/>
              <w:rPr>
                <w:sz w:val="18"/>
                <w:szCs w:val="18"/>
                <w:color w:val="auto"/>
              </w:rPr>
            </w:pPr>
          </w:p>
        </w:tc>
        <w:tc>
          <w:tcPr>
            <w:tcW w:w="11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33,164</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non-redeemable preferred shares</w:t>
            </w:r>
          </w:p>
        </w:tc>
        <w:tc>
          <w:tcPr>
            <w:tcW w:w="5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28,750</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sales of treasury shares</w:t>
            </w:r>
          </w:p>
        </w:tc>
        <w:tc>
          <w:tcPr>
            <w:tcW w:w="560" w:type="dxa"/>
            <w:vAlign w:val="bottom"/>
          </w:tcPr>
          <w:p>
            <w:pPr>
              <w:spacing w:after="0"/>
              <w:rPr>
                <w:sz w:val="18"/>
                <w:szCs w:val="18"/>
                <w:color w:val="auto"/>
              </w:rPr>
            </w:pPr>
          </w:p>
        </w:tc>
        <w:tc>
          <w:tcPr>
            <w:tcW w:w="114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6,480</w:t>
            </w:r>
          </w:p>
        </w:tc>
        <w:tc>
          <w:tcPr>
            <w:tcW w:w="0" w:type="dxa"/>
            <w:vAlign w:val="bottom"/>
          </w:tcPr>
          <w:p>
            <w:pPr>
              <w:spacing w:after="0"/>
              <w:rPr>
                <w:sz w:val="1"/>
                <w:szCs w:val="1"/>
                <w:color w:val="auto"/>
              </w:rPr>
            </w:pPr>
          </w:p>
        </w:tc>
      </w:tr>
      <w:tr>
        <w:trPr>
          <w:trHeight w:val="198"/>
        </w:trPr>
        <w:tc>
          <w:tcPr>
            <w:tcW w:w="120" w:type="dxa"/>
            <w:vAlign w:val="bottom"/>
          </w:tcPr>
          <w:p>
            <w:pPr>
              <w:spacing w:after="0"/>
              <w:rPr>
                <w:sz w:val="17"/>
                <w:szCs w:val="17"/>
                <w:color w:val="auto"/>
              </w:rPr>
            </w:pPr>
          </w:p>
        </w:tc>
        <w:tc>
          <w:tcPr>
            <w:tcW w:w="83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Proceeds from issuance of preferred shares and other financial instruments subject to redemption and other</w:t>
            </w:r>
          </w:p>
        </w:tc>
        <w:tc>
          <w:tcPr>
            <w:tcW w:w="5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8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preferential rights</w:t>
            </w:r>
          </w:p>
        </w:tc>
        <w:tc>
          <w:tcPr>
            <w:tcW w:w="5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2,612,758</w:t>
            </w:r>
          </w:p>
        </w:tc>
        <w:tc>
          <w:tcPr>
            <w:tcW w:w="3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1,376,615</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issuance of financial liabilities measured at FVTPL</w:t>
            </w:r>
          </w:p>
        </w:tc>
        <w:tc>
          <w:tcPr>
            <w:tcW w:w="560" w:type="dxa"/>
            <w:vAlign w:val="bottom"/>
          </w:tcPr>
          <w:p>
            <w:pPr>
              <w:spacing w:after="0"/>
              <w:rPr>
                <w:sz w:val="18"/>
                <w:szCs w:val="18"/>
                <w:color w:val="auto"/>
              </w:rPr>
            </w:pPr>
          </w:p>
        </w:tc>
        <w:tc>
          <w:tcPr>
            <w:tcW w:w="11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10,970</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capital element of lease liabilities</w:t>
            </w:r>
          </w:p>
        </w:tc>
        <w:tc>
          <w:tcPr>
            <w:tcW w:w="5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(9,817)</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(17,009)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 of interest element of lease liabilities</w:t>
            </w:r>
          </w:p>
        </w:tc>
        <w:tc>
          <w:tcPr>
            <w:tcW w:w="560" w:type="dxa"/>
            <w:vAlign w:val="bottom"/>
          </w:tcPr>
          <w:p>
            <w:pPr>
              <w:spacing w:after="0"/>
              <w:rPr>
                <w:sz w:val="18"/>
                <w:szCs w:val="18"/>
                <w:color w:val="auto"/>
              </w:rPr>
            </w:pPr>
          </w:p>
        </w:tc>
        <w:tc>
          <w:tcPr>
            <w:tcW w:w="11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(1,408)</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(1,937)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for repurchase of ordinary shares and non-redeemable preferred shares</w:t>
            </w:r>
          </w:p>
        </w:tc>
        <w:tc>
          <w:tcPr>
            <w:tcW w:w="5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(77,056)</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of loans and borrowings paid</w:t>
            </w:r>
          </w:p>
        </w:tc>
        <w:tc>
          <w:tcPr>
            <w:tcW w:w="560" w:type="dxa"/>
            <w:vAlign w:val="bottom"/>
          </w:tcPr>
          <w:p>
            <w:pPr>
              <w:spacing w:after="0"/>
              <w:rPr>
                <w:sz w:val="18"/>
                <w:szCs w:val="18"/>
                <w:color w:val="auto"/>
              </w:rPr>
            </w:pPr>
          </w:p>
        </w:tc>
        <w:tc>
          <w:tcPr>
            <w:tcW w:w="11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(2,422)</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loans and borrowings</w:t>
            </w:r>
          </w:p>
        </w:tc>
        <w:tc>
          <w:tcPr>
            <w:tcW w:w="5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(62,409)</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generated from financing activities</w:t>
            </w:r>
          </w:p>
        </w:tc>
        <w:tc>
          <w:tcPr>
            <w:tcW w:w="5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2,532,530</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1,364,149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5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2,495,913</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603,721</w:t>
            </w:r>
          </w:p>
        </w:tc>
        <w:tc>
          <w:tcPr>
            <w:tcW w:w="0" w:type="dxa"/>
            <w:vAlign w:val="bottom"/>
          </w:tcPr>
          <w:p>
            <w:pPr>
              <w:spacing w:after="0"/>
              <w:rPr>
                <w:sz w:val="1"/>
                <w:szCs w:val="1"/>
                <w:color w:val="auto"/>
              </w:rPr>
            </w:pPr>
          </w:p>
        </w:tc>
      </w:tr>
      <w:tr>
        <w:trPr>
          <w:trHeight w:val="324"/>
        </w:trPr>
        <w:tc>
          <w:tcPr>
            <w:tcW w:w="120" w:type="dxa"/>
            <w:vAlign w:val="bottom"/>
          </w:tcPr>
          <w:p>
            <w:pPr>
              <w:spacing w:after="0"/>
              <w:rPr>
                <w:sz w:val="24"/>
                <w:szCs w:val="24"/>
                <w:color w:val="auto"/>
              </w:rPr>
            </w:pPr>
          </w:p>
        </w:tc>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as of January 1</w:t>
            </w:r>
          </w:p>
        </w:tc>
        <w:tc>
          <w:tcPr>
            <w:tcW w:w="5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15</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212,622</w:t>
            </w:r>
          </w:p>
        </w:tc>
        <w:tc>
          <w:tcPr>
            <w:tcW w:w="30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2,725,568</w:t>
            </w: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Effect of foreign exchange rate changes</w:t>
            </w:r>
          </w:p>
        </w:tc>
        <w:tc>
          <w:tcPr>
            <w:tcW w:w="5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(13,617)</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149,370</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as of June 30</w:t>
            </w:r>
          </w:p>
        </w:tc>
        <w:tc>
          <w:tcPr>
            <w:tcW w:w="5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15</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2,694,918</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3,478,659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interim financial statements.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F-79</w:t>
      </w:r>
    </w:p>
    <w:p>
      <w:pPr>
        <w:sectPr>
          <w:pgSz w:w="11900" w:h="16838" w:orient="portrait"/>
          <w:cols w:equalWidth="0" w:num="1">
            <w:col w:w="11140"/>
          </w:cols>
          <w:pgMar w:left="320" w:top="446" w:right="439" w:bottom="1440" w:gutter="0" w:footer="0" w:header="0"/>
        </w:sectPr>
      </w:pPr>
    </w:p>
    <w:bookmarkStart w:id="332" w:name="page333"/>
    <w:bookmarkEnd w:id="3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 to the Unaudited Condensed Consolidated Financial Statements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(Expressed in thousands of RMB, unless otherwise indicated)</w:t>
      </w:r>
    </w:p>
    <w:p>
      <w:pPr>
        <w:spacing w:after="0" w:line="230" w:lineRule="exact"/>
        <w:rPr>
          <w:sz w:val="20"/>
          <w:szCs w:val="20"/>
          <w:color w:val="auto"/>
        </w:rPr>
      </w:pPr>
    </w:p>
    <w:p>
      <w:pPr>
        <w:ind w:left="540" w:hanging="424"/>
        <w:spacing w:after="0"/>
        <w:tabs>
          <w:tab w:leader="none" w:pos="540" w:val="left"/>
        </w:tabs>
        <w:numPr>
          <w:ilvl w:val="0"/>
          <w:numId w:val="2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information and basis of presentation</w:t>
      </w:r>
    </w:p>
    <w:p>
      <w:pPr>
        <w:spacing w:after="0" w:line="131" w:lineRule="exact"/>
        <w:rPr>
          <w:sz w:val="20"/>
          <w:szCs w:val="20"/>
          <w:color w:val="auto"/>
        </w:rPr>
      </w:pPr>
    </w:p>
    <w:p>
      <w:pPr>
        <w:ind w:left="540" w:hanging="424"/>
        <w:spacing w:after="0"/>
        <w:tabs>
          <w:tab w:leader="none" w:pos="540" w:val="left"/>
        </w:tabs>
        <w:numPr>
          <w:ilvl w:val="0"/>
          <w:numId w:val="23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General information</w:t>
      </w:r>
    </w:p>
    <w:p>
      <w:pPr>
        <w:spacing w:after="0" w:line="12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WeRide Inc. (“the Company”), an exempted company with limited liability, was incorporated in Cayman Islands under the Companies Law (Cap. 22, Law 3 of 1961 as consolidated and revised) of the Cayman Islands, on March 13, 2017.</w:t>
      </w:r>
    </w:p>
    <w:p>
      <w:pPr>
        <w:spacing w:after="0" w:line="162"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The Company is an investment holding company. The Company, through its wholly-owned subsidiaries, consolidated variable interest entity (“VIE”) and the VIE’s subsidiaries (collectively referred to as the “Group”), is principally engaged in providing autonomous driving products and services. The Group’s principal operations and geographic markets are mainly in the People’s Republic of China (the “PRC”).</w:t>
      </w:r>
    </w:p>
    <w:p>
      <w:pPr>
        <w:spacing w:after="0" w:line="320" w:lineRule="exact"/>
        <w:rPr>
          <w:sz w:val="20"/>
          <w:szCs w:val="20"/>
          <w:color w:val="auto"/>
        </w:rPr>
      </w:pPr>
    </w:p>
    <w:p>
      <w:pPr>
        <w:ind w:left="540" w:hanging="424"/>
        <w:spacing w:after="0"/>
        <w:tabs>
          <w:tab w:leader="none" w:pos="540" w:val="left"/>
        </w:tabs>
        <w:numPr>
          <w:ilvl w:val="0"/>
          <w:numId w:val="23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Basis of preparation of the financial statements</w:t>
      </w:r>
    </w:p>
    <w:p>
      <w:pPr>
        <w:spacing w:after="0" w:line="11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 xml:space="preserve">These condensed consolidated interim financial statements have been prepared in accordance with IAS 34 </w:t>
      </w:r>
      <w:r>
        <w:rPr>
          <w:rFonts w:ascii="Times New Roman" w:cs="Times New Roman" w:eastAsia="Times New Roman" w:hAnsi="Times New Roman"/>
          <w:sz w:val="18"/>
          <w:szCs w:val="18"/>
          <w:i w:val="1"/>
          <w:iCs w:val="1"/>
          <w:color w:val="auto"/>
        </w:rPr>
        <w:t>Interim Financial Reporting</w:t>
      </w:r>
      <w:r>
        <w:rPr>
          <w:rFonts w:ascii="Times New Roman" w:cs="Times New Roman" w:eastAsia="Times New Roman" w:hAnsi="Times New Roman"/>
          <w:sz w:val="18"/>
          <w:szCs w:val="18"/>
          <w:color w:val="auto"/>
        </w:rPr>
        <w:t xml:space="preserve"> issued by the International Accounting Standards Board and should be read in conjunction with the Group’s last annual consolidated financial statements as of and for the year ended 31 December 2021 (“last annual financial statements”). They do not include all of the information required for a complete set of financial statements prepared in accordance with IFRS Standards. However, selected explanatory notes are included to explain events and transactions that are significant to an understanding of the changes in the Group’s financial position and performance since the last annual financial statements.</w:t>
      </w:r>
    </w:p>
    <w:p>
      <w:pPr>
        <w:spacing w:after="0" w:line="330" w:lineRule="exact"/>
        <w:rPr>
          <w:sz w:val="20"/>
          <w:szCs w:val="20"/>
          <w:color w:val="auto"/>
        </w:rPr>
      </w:pPr>
    </w:p>
    <w:p>
      <w:pPr>
        <w:ind w:left="540" w:hanging="424"/>
        <w:spacing w:after="0"/>
        <w:tabs>
          <w:tab w:leader="none" w:pos="540" w:val="left"/>
        </w:tabs>
        <w:numPr>
          <w:ilvl w:val="0"/>
          <w:numId w:val="23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Summary financial information of the Group’s VIE in the unaudited condensed consolidated financial statements</w:t>
      </w:r>
    </w:p>
    <w:p>
      <w:pPr>
        <w:spacing w:after="0" w:line="12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The following unaudited condensed consolidated assets and liabilities information of the Group’s VIE as of December 31, 2021 and June 30, 2022, and unaudited condensed consolidated revenues, loss and cash flow information for the six-month periods ended June 30, 2021 and 2022, have been included in the accompanying unaudited condensed consolidated financial statements. All intercompany transactions and balances with the Company, and its wholly-owned subsidiaries have been eliminated upon consolidation:</w:t>
      </w:r>
    </w:p>
    <w:p>
      <w:pPr>
        <w:spacing w:after="0" w:line="188"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10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860" w:type="dxa"/>
            <w:vAlign w:val="bottom"/>
          </w:tcPr>
          <w:p>
            <w:pPr>
              <w:jc w:val="right"/>
              <w:ind w:right="201"/>
              <w:spacing w:after="0"/>
              <w:rPr>
                <w:sz w:val="20"/>
                <w:szCs w:val="20"/>
                <w:color w:val="auto"/>
              </w:rPr>
            </w:pPr>
            <w:r>
              <w:rPr>
                <w:rFonts w:ascii="Times New Roman" w:cs="Times New Roman" w:eastAsia="Times New Roman" w:hAnsi="Times New Roman"/>
                <w:sz w:val="14"/>
                <w:szCs w:val="14"/>
                <w:i w:val="1"/>
                <w:iCs w:val="1"/>
                <w:color w:val="auto"/>
              </w:rPr>
              <w:t>As of</w:t>
            </w:r>
          </w:p>
        </w:tc>
        <w:tc>
          <w:tcPr>
            <w:tcW w:w="420" w:type="dxa"/>
            <w:vAlign w:val="bottom"/>
          </w:tcPr>
          <w:p>
            <w:pPr>
              <w:spacing w:after="0"/>
              <w:rPr>
                <w:sz w:val="13"/>
                <w:szCs w:val="13"/>
                <w:color w:val="auto"/>
              </w:rPr>
            </w:pP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i w:val="1"/>
                <w:iCs w:val="1"/>
                <w:color w:val="auto"/>
              </w:rPr>
              <w:t>As of</w:t>
            </w:r>
          </w:p>
        </w:tc>
      </w:tr>
      <w:tr>
        <w:trPr>
          <w:trHeight w:val="148"/>
        </w:trPr>
        <w:tc>
          <w:tcPr>
            <w:tcW w:w="310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i w:val="1"/>
                <w:iCs w:val="1"/>
                <w:color w:val="auto"/>
              </w:rPr>
              <w:t>December 31,</w:t>
            </w:r>
          </w:p>
        </w:tc>
        <w:tc>
          <w:tcPr>
            <w:tcW w:w="42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i w:val="1"/>
                <w:iCs w:val="1"/>
                <w:color w:val="auto"/>
              </w:rPr>
              <w:t>June 30,</w:t>
            </w:r>
          </w:p>
        </w:tc>
      </w:tr>
      <w:tr>
        <w:trPr>
          <w:trHeight w:val="151"/>
        </w:trPr>
        <w:tc>
          <w:tcPr>
            <w:tcW w:w="3100" w:type="dxa"/>
            <w:vAlign w:val="bottom"/>
          </w:tcPr>
          <w:p>
            <w:pPr>
              <w:spacing w:after="0"/>
              <w:rPr>
                <w:sz w:val="13"/>
                <w:szCs w:val="13"/>
                <w:color w:val="auto"/>
              </w:rPr>
            </w:pPr>
          </w:p>
        </w:tc>
        <w:tc>
          <w:tcPr>
            <w:tcW w:w="4960" w:type="dxa"/>
            <w:vAlign w:val="bottom"/>
            <w:gridSpan w:val="2"/>
          </w:tcPr>
          <w:p>
            <w:pPr>
              <w:jc w:val="right"/>
              <w:ind w:right="201"/>
              <w:spacing w:after="0" w:line="151" w:lineRule="exact"/>
              <w:rPr>
                <w:sz w:val="20"/>
                <w:szCs w:val="20"/>
                <w:color w:val="auto"/>
              </w:rPr>
            </w:pPr>
            <w:r>
              <w:rPr>
                <w:rFonts w:ascii="Times New Roman" w:cs="Times New Roman" w:eastAsia="Times New Roman" w:hAnsi="Times New Roman"/>
                <w:sz w:val="14"/>
                <w:szCs w:val="14"/>
                <w:i w:val="1"/>
                <w:iCs w:val="1"/>
                <w:color w:val="auto"/>
              </w:rPr>
              <w:t>2021</w:t>
            </w:r>
          </w:p>
        </w:tc>
        <w:tc>
          <w:tcPr>
            <w:tcW w:w="1120" w:type="dxa"/>
            <w:vAlign w:val="bottom"/>
            <w:gridSpan w:val="2"/>
          </w:tcPr>
          <w:p>
            <w:pPr>
              <w:jc w:val="right"/>
              <w:ind w:right="121"/>
              <w:spacing w:after="0" w:line="151" w:lineRule="exact"/>
              <w:rPr>
                <w:sz w:val="20"/>
                <w:szCs w:val="20"/>
                <w:color w:val="auto"/>
              </w:rPr>
            </w:pPr>
            <w:r>
              <w:rPr>
                <w:rFonts w:ascii="Times New Roman" w:cs="Times New Roman" w:eastAsia="Times New Roman" w:hAnsi="Times New Roman"/>
                <w:sz w:val="14"/>
                <w:szCs w:val="14"/>
                <w:i w:val="1"/>
                <w:iCs w:val="1"/>
                <w:color w:val="auto"/>
              </w:rPr>
              <w:t>2022</w:t>
            </w:r>
          </w:p>
        </w:tc>
        <w:tc>
          <w:tcPr>
            <w:tcW w:w="80" w:type="dxa"/>
            <w:vAlign w:val="bottom"/>
          </w:tcPr>
          <w:p>
            <w:pPr>
              <w:spacing w:after="0"/>
              <w:rPr>
                <w:sz w:val="13"/>
                <w:szCs w:val="13"/>
                <w:color w:val="auto"/>
              </w:rPr>
            </w:pPr>
          </w:p>
        </w:tc>
      </w:tr>
      <w:tr>
        <w:trPr>
          <w:trHeight w:val="171"/>
        </w:trPr>
        <w:tc>
          <w:tcPr>
            <w:tcW w:w="310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RMB’000</w:t>
            </w:r>
          </w:p>
        </w:tc>
        <w:tc>
          <w:tcPr>
            <w:tcW w:w="420" w:type="dxa"/>
            <w:vAlign w:val="bottom"/>
          </w:tcPr>
          <w:p>
            <w:pPr>
              <w:spacing w:after="0"/>
              <w:rPr>
                <w:sz w:val="14"/>
                <w:szCs w:val="14"/>
                <w:color w:val="auto"/>
              </w:rPr>
            </w:pP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RMB’000</w:t>
            </w: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4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4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49,548</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39,664</w:t>
            </w:r>
          </w:p>
        </w:tc>
        <w:tc>
          <w:tcPr>
            <w:tcW w:w="80" w:type="dxa"/>
            <w:vAlign w:val="bottom"/>
            <w:shd w:val="clear" w:color="auto" w:fill="CCEEFF"/>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4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30,518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24,535</w:t>
            </w:r>
          </w:p>
        </w:tc>
        <w:tc>
          <w:tcPr>
            <w:tcW w:w="80" w:type="dxa"/>
            <w:vAlign w:val="bottom"/>
          </w:tcPr>
          <w:p>
            <w:pPr>
              <w:spacing w:after="0"/>
              <w:rPr>
                <w:sz w:val="18"/>
                <w:szCs w:val="18"/>
                <w:color w:val="auto"/>
              </w:rPr>
            </w:pP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4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30,134</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28,124</w:t>
            </w:r>
          </w:p>
        </w:tc>
        <w:tc>
          <w:tcPr>
            <w:tcW w:w="80" w:type="dxa"/>
            <w:vAlign w:val="bottom"/>
            <w:shd w:val="clear" w:color="auto" w:fill="CCEEFF"/>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4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44,758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44,758</w:t>
            </w:r>
          </w:p>
        </w:tc>
        <w:tc>
          <w:tcPr>
            <w:tcW w:w="80" w:type="dxa"/>
            <w:vAlign w:val="bottom"/>
          </w:tcPr>
          <w:p>
            <w:pPr>
              <w:spacing w:after="0"/>
              <w:rPr>
                <w:sz w:val="18"/>
                <w:szCs w:val="18"/>
                <w:color w:val="auto"/>
              </w:rPr>
            </w:pP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4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w:t>
            </w:r>
          </w:p>
        </w:tc>
        <w:tc>
          <w:tcPr>
            <w:tcW w:w="80" w:type="dxa"/>
            <w:vAlign w:val="bottom"/>
            <w:shd w:val="clear" w:color="auto" w:fill="CCEEFF"/>
          </w:tcPr>
          <w:p>
            <w:pPr>
              <w:spacing w:after="0"/>
              <w:rPr>
                <w:sz w:val="18"/>
                <w:szCs w:val="18"/>
                <w:color w:val="auto"/>
              </w:rPr>
            </w:pPr>
          </w:p>
        </w:tc>
      </w:tr>
      <w:tr>
        <w:trPr>
          <w:trHeight w:val="223"/>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41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15,100</w:t>
            </w:r>
          </w:p>
        </w:tc>
        <w:tc>
          <w:tcPr>
            <w:tcW w:w="4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13,373</w:t>
            </w:r>
          </w:p>
        </w:tc>
        <w:tc>
          <w:tcPr>
            <w:tcW w:w="80" w:type="dxa"/>
            <w:vAlign w:val="bottom"/>
          </w:tcPr>
          <w:p>
            <w:pPr>
              <w:spacing w:after="0"/>
              <w:rPr>
                <w:sz w:val="19"/>
                <w:szCs w:val="19"/>
                <w:color w:val="auto"/>
              </w:rPr>
            </w:pPr>
          </w:p>
        </w:tc>
      </w:tr>
      <w:tr>
        <w:trPr>
          <w:trHeight w:val="216"/>
        </w:trPr>
        <w:tc>
          <w:tcPr>
            <w:tcW w:w="310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174,048</w:t>
            </w:r>
          </w:p>
        </w:tc>
        <w:tc>
          <w:tcPr>
            <w:tcW w:w="4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153,945</w:t>
            </w:r>
          </w:p>
        </w:tc>
        <w:tc>
          <w:tcPr>
            <w:tcW w:w="80" w:type="dxa"/>
            <w:vAlign w:val="bottom"/>
            <w:shd w:val="clear" w:color="auto" w:fill="CCEEFF"/>
          </w:tcPr>
          <w:p>
            <w:pPr>
              <w:spacing w:after="0"/>
              <w:rPr>
                <w:sz w:val="18"/>
                <w:szCs w:val="18"/>
                <w:color w:val="auto"/>
              </w:rPr>
            </w:pPr>
          </w:p>
        </w:tc>
      </w:tr>
      <w:tr>
        <w:trPr>
          <w:trHeight w:val="372"/>
        </w:trPr>
        <w:tc>
          <w:tcPr>
            <w:tcW w:w="3100" w:type="dxa"/>
            <w:vAlign w:val="bottom"/>
          </w:tcPr>
          <w:p>
            <w:pPr>
              <w:spacing w:after="0"/>
              <w:rPr>
                <w:sz w:val="24"/>
                <w:szCs w:val="24"/>
                <w:color w:val="auto"/>
              </w:rPr>
            </w:pPr>
          </w:p>
        </w:tc>
        <w:tc>
          <w:tcPr>
            <w:tcW w:w="4960" w:type="dxa"/>
            <w:vAlign w:val="bottom"/>
            <w:gridSpan w:val="2"/>
          </w:tcPr>
          <w:p>
            <w:pPr>
              <w:jc w:val="right"/>
              <w:ind w:right="3181"/>
              <w:spacing w:after="0"/>
              <w:rPr>
                <w:sz w:val="20"/>
                <w:szCs w:val="20"/>
                <w:color w:val="auto"/>
              </w:rPr>
            </w:pPr>
            <w:r>
              <w:rPr>
                <w:rFonts w:ascii="Times New Roman" w:cs="Times New Roman" w:eastAsia="Times New Roman" w:hAnsi="Times New Roman"/>
                <w:sz w:val="18"/>
                <w:szCs w:val="18"/>
                <w:color w:val="auto"/>
              </w:rPr>
              <w:t>F-80</w:t>
            </w: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20"/>
          </w:cols>
          <w:pgMar w:left="320" w:top="455" w:right="459" w:bottom="1440" w:gutter="0" w:footer="0" w:header="0"/>
        </w:sectPr>
      </w:pPr>
    </w:p>
    <w:bookmarkStart w:id="333" w:name="page334"/>
    <w:bookmarkEnd w:id="3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920" w:type="dxa"/>
            <w:vAlign w:val="bottom"/>
          </w:tcPr>
          <w:p>
            <w:pPr>
              <w:spacing w:after="0"/>
              <w:rPr>
                <w:sz w:val="13"/>
                <w:szCs w:val="13"/>
                <w:color w:val="auto"/>
              </w:rPr>
            </w:pPr>
          </w:p>
        </w:tc>
        <w:tc>
          <w:tcPr>
            <w:tcW w:w="960" w:type="dxa"/>
            <w:vAlign w:val="bottom"/>
          </w:tcPr>
          <w:p>
            <w:pPr>
              <w:jc w:val="right"/>
              <w:ind w:right="253"/>
              <w:spacing w:after="0"/>
              <w:rPr>
                <w:sz w:val="20"/>
                <w:szCs w:val="20"/>
                <w:color w:val="auto"/>
              </w:rPr>
            </w:pPr>
            <w:r>
              <w:rPr>
                <w:rFonts w:ascii="Times New Roman" w:cs="Times New Roman" w:eastAsia="Times New Roman" w:hAnsi="Times New Roman"/>
                <w:sz w:val="14"/>
                <w:szCs w:val="14"/>
                <w:i w:val="1"/>
                <w:iCs w:val="1"/>
                <w:color w:val="auto"/>
              </w:rPr>
              <w:t>As of</w:t>
            </w:r>
          </w:p>
        </w:tc>
        <w:tc>
          <w:tcPr>
            <w:tcW w:w="320" w:type="dxa"/>
            <w:vAlign w:val="bottom"/>
          </w:tcPr>
          <w:p>
            <w:pPr>
              <w:spacing w:after="0"/>
              <w:rPr>
                <w:sz w:val="13"/>
                <w:szCs w:val="13"/>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i w:val="1"/>
                <w:iCs w:val="1"/>
                <w:color w:val="auto"/>
              </w:rPr>
              <w:t>As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960" w:type="dxa"/>
            <w:vAlign w:val="bottom"/>
          </w:tcPr>
          <w:p>
            <w:pPr>
              <w:jc w:val="right"/>
              <w:ind w:right="13"/>
              <w:spacing w:after="0" w:line="149" w:lineRule="exact"/>
              <w:rPr>
                <w:sz w:val="20"/>
                <w:szCs w:val="20"/>
                <w:color w:val="auto"/>
              </w:rPr>
            </w:pPr>
            <w:r>
              <w:rPr>
                <w:rFonts w:ascii="Times New Roman" w:cs="Times New Roman" w:eastAsia="Times New Roman" w:hAnsi="Times New Roman"/>
                <w:sz w:val="14"/>
                <w:szCs w:val="14"/>
                <w:i w:val="1"/>
                <w:iCs w:val="1"/>
                <w:color w:val="auto"/>
              </w:rPr>
              <w:t>December 31,</w:t>
            </w:r>
          </w:p>
        </w:tc>
        <w:tc>
          <w:tcPr>
            <w:tcW w:w="320" w:type="dxa"/>
            <w:vAlign w:val="bottom"/>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i w:val="1"/>
                <w:iCs w:val="1"/>
                <w:color w:val="auto"/>
              </w:rPr>
              <w:t>June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920" w:type="dxa"/>
            <w:vAlign w:val="bottom"/>
          </w:tcPr>
          <w:p>
            <w:pPr>
              <w:spacing w:after="0"/>
              <w:rPr>
                <w:sz w:val="15"/>
                <w:szCs w:val="15"/>
                <w:color w:val="auto"/>
              </w:rPr>
            </w:pPr>
          </w:p>
        </w:tc>
        <w:tc>
          <w:tcPr>
            <w:tcW w:w="960" w:type="dxa"/>
            <w:vAlign w:val="bottom"/>
          </w:tcPr>
          <w:p>
            <w:pPr>
              <w:jc w:val="right"/>
              <w:ind w:right="273"/>
              <w:spacing w:after="0"/>
              <w:rPr>
                <w:sz w:val="20"/>
                <w:szCs w:val="20"/>
                <w:color w:val="auto"/>
              </w:rPr>
            </w:pPr>
            <w:r>
              <w:rPr>
                <w:rFonts w:ascii="Times New Roman" w:cs="Times New Roman" w:eastAsia="Times New Roman" w:hAnsi="Times New Roman"/>
                <w:sz w:val="14"/>
                <w:szCs w:val="14"/>
                <w:i w:val="1"/>
                <w:iCs w:val="1"/>
                <w:color w:val="auto"/>
              </w:rPr>
              <w:t>2021</w:t>
            </w:r>
          </w:p>
        </w:tc>
        <w:tc>
          <w:tcPr>
            <w:tcW w:w="1280" w:type="dxa"/>
            <w:vAlign w:val="bottom"/>
            <w:gridSpan w:val="2"/>
          </w:tcPr>
          <w:p>
            <w:pPr>
              <w:jc w:val="right"/>
              <w:ind w:right="256"/>
              <w:spacing w:after="0"/>
              <w:rPr>
                <w:sz w:val="20"/>
                <w:szCs w:val="20"/>
                <w:color w:val="auto"/>
              </w:rPr>
            </w:pPr>
            <w:r>
              <w:rPr>
                <w:rFonts w:ascii="Times New Roman" w:cs="Times New Roman" w:eastAsia="Times New Roman" w:hAnsi="Times New Roman"/>
                <w:sz w:val="14"/>
                <w:szCs w:val="14"/>
                <w:i w:val="1"/>
                <w:iCs w:val="1"/>
                <w:color w:val="auto"/>
              </w:rPr>
              <w:t>2022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32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Prepayments, deposits and other receivables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25,698</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Amounts due from the Company and its subsidiaries*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290,753</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69,459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764,207</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 current</w:t>
            </w: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9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1,087,975</w:t>
            </w:r>
          </w:p>
        </w:tc>
        <w:tc>
          <w:tcPr>
            <w:tcW w:w="3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378,880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1,262,023</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532,825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gridSpan w:val="2"/>
            <w:vMerge w:val="continue"/>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 – non-current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13,855</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Put option liabilities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39,184</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7,479</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49,177</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109,695</w:t>
            </w:r>
          </w:p>
        </w:tc>
        <w:tc>
          <w:tcPr>
            <w:tcW w:w="32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104,994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payables, deposits received and accrued expenses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21,284</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320" w:type="dxa"/>
            <w:vAlign w:val="bottom"/>
          </w:tcPr>
          <w:p>
            <w:pPr>
              <w:spacing w:after="0"/>
              <w:rPr>
                <w:sz w:val="18"/>
                <w:szCs w:val="18"/>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 current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10,341</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Amounts due to the Company and its subsidiaries*</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1,451,315</w:t>
            </w:r>
          </w:p>
        </w:tc>
        <w:tc>
          <w:tcPr>
            <w:tcW w:w="3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869,389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1,485,615</w:t>
            </w:r>
          </w:p>
        </w:tc>
        <w:tc>
          <w:tcPr>
            <w:tcW w:w="3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899,683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9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gridSpan w:val="2"/>
            <w:vMerge w:val="continue"/>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1,595,310</w:t>
            </w:r>
          </w:p>
        </w:tc>
        <w:tc>
          <w:tcPr>
            <w:tcW w:w="32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1,004,677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right="100" w:hanging="224"/>
        <w:spacing w:after="0" w:line="282" w:lineRule="auto"/>
        <w:tabs>
          <w:tab w:leader="none" w:pos="34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due from / to the Company and its subsidiaries represent the amounts due from / to WeRide Inc. and its wholly-owned subsidiaries, which are eliminated upon consolidation.</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700" w:type="dxa"/>
            <w:vAlign w:val="bottom"/>
          </w:tcPr>
          <w:p>
            <w:pPr>
              <w:spacing w:after="0"/>
              <w:rPr>
                <w:sz w:val="15"/>
                <w:szCs w:val="15"/>
                <w:color w:val="auto"/>
              </w:rPr>
            </w:pPr>
          </w:p>
        </w:tc>
        <w:tc>
          <w:tcPr>
            <w:tcW w:w="254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i w:val="1"/>
                <w:iCs w:val="1"/>
                <w:color w:val="auto"/>
              </w:rPr>
              <w:t>For the six months ended June 30,</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700" w:type="dxa"/>
            <w:vAlign w:val="bottom"/>
          </w:tcPr>
          <w:p>
            <w:pPr>
              <w:spacing w:after="0"/>
              <w:rPr>
                <w:sz w:val="10"/>
                <w:szCs w:val="10"/>
                <w:color w:val="auto"/>
              </w:rPr>
            </w:pPr>
          </w:p>
        </w:tc>
        <w:tc>
          <w:tcPr>
            <w:tcW w:w="1320" w:type="dxa"/>
            <w:vAlign w:val="bottom"/>
            <w:tcBorders>
              <w:top w:val="single" w:sz="8" w:color="auto"/>
            </w:tcBorders>
          </w:tcPr>
          <w:p>
            <w:pPr>
              <w:jc w:val="right"/>
              <w:ind w:right="655"/>
              <w:spacing w:after="0" w:line="119" w:lineRule="exact"/>
              <w:rPr>
                <w:sz w:val="20"/>
                <w:szCs w:val="20"/>
                <w:color w:val="auto"/>
              </w:rPr>
            </w:pPr>
            <w:r>
              <w:rPr>
                <w:rFonts w:ascii="Times New Roman" w:cs="Times New Roman" w:eastAsia="Times New Roman" w:hAnsi="Times New Roman"/>
                <w:sz w:val="13"/>
                <w:szCs w:val="13"/>
                <w:i w:val="1"/>
                <w:iCs w:val="1"/>
                <w:color w:val="auto"/>
              </w:rPr>
              <w:t>2021</w:t>
            </w:r>
          </w:p>
        </w:tc>
        <w:tc>
          <w:tcPr>
            <w:tcW w:w="1100" w:type="dxa"/>
            <w:vAlign w:val="bottom"/>
            <w:tcBorders>
              <w:top w:val="single" w:sz="8" w:color="auto"/>
            </w:tcBorders>
          </w:tcPr>
          <w:p>
            <w:pPr>
              <w:jc w:val="right"/>
              <w:ind w:right="194"/>
              <w:spacing w:after="0" w:line="119" w:lineRule="exact"/>
              <w:rPr>
                <w:sz w:val="20"/>
                <w:szCs w:val="20"/>
                <w:color w:val="auto"/>
              </w:rPr>
            </w:pPr>
            <w:r>
              <w:rPr>
                <w:rFonts w:ascii="Times New Roman" w:cs="Times New Roman" w:eastAsia="Times New Roman" w:hAnsi="Times New Roman"/>
                <w:sz w:val="13"/>
                <w:szCs w:val="13"/>
                <w:i w:val="1"/>
                <w:iCs w:val="1"/>
                <w:color w:val="auto"/>
              </w:rPr>
              <w:t>2022</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320" w:type="dxa"/>
            <w:vAlign w:val="bottom"/>
          </w:tcPr>
          <w:p>
            <w:pPr>
              <w:jc w:val="center"/>
              <w:ind w:right="335"/>
              <w:spacing w:after="0"/>
              <w:rPr>
                <w:sz w:val="20"/>
                <w:szCs w:val="20"/>
                <w:color w:val="auto"/>
              </w:rPr>
            </w:pPr>
            <w:r>
              <w:rPr>
                <w:rFonts w:ascii="Times New Roman" w:cs="Times New Roman" w:eastAsia="Times New Roman" w:hAnsi="Times New Roman"/>
                <w:sz w:val="14"/>
                <w:szCs w:val="14"/>
                <w:color w:val="auto"/>
              </w:rPr>
              <w:t>RMB’000</w:t>
            </w:r>
          </w:p>
        </w:tc>
        <w:tc>
          <w:tcPr>
            <w:tcW w:w="1220" w:type="dxa"/>
            <w:vAlign w:val="bottom"/>
            <w:gridSpan w:val="2"/>
          </w:tcPr>
          <w:p>
            <w:pPr>
              <w:jc w:val="center"/>
              <w:ind w:left="34"/>
              <w:spacing w:after="0"/>
              <w:rPr>
                <w:sz w:val="20"/>
                <w:szCs w:val="20"/>
                <w:color w:val="auto"/>
              </w:rPr>
            </w:pPr>
            <w:r>
              <w:rPr>
                <w:rFonts w:ascii="Times New Roman" w:cs="Times New Roman" w:eastAsia="Times New Roman" w:hAnsi="Times New Roman"/>
                <w:sz w:val="14"/>
                <w:szCs w:val="14"/>
                <w:color w:val="auto"/>
              </w:rPr>
              <w:t>RMB’000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32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color w:val="auto"/>
              </w:rPr>
              <w:t>29,245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132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(24,432)</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(138,565)</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67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generated from/(used in) operating activities</w:t>
            </w:r>
          </w:p>
        </w:tc>
        <w:tc>
          <w:tcPr>
            <w:tcW w:w="132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color w:val="auto"/>
              </w:rPr>
              <w:t>1,195</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Net cash generated from/(used in) investing activities</w:t>
            </w:r>
          </w:p>
        </w:tc>
        <w:tc>
          <w:tcPr>
            <w:tcW w:w="1320" w:type="dxa"/>
            <w:vAlign w:val="bottom"/>
          </w:tcPr>
          <w:p>
            <w:pPr>
              <w:jc w:val="right"/>
              <w:ind w:right="335"/>
              <w:spacing w:after="0"/>
              <w:rPr>
                <w:sz w:val="20"/>
                <w:szCs w:val="20"/>
                <w:color w:val="auto"/>
              </w:rPr>
            </w:pPr>
            <w:r>
              <w:rPr>
                <w:rFonts w:ascii="Times New Roman" w:cs="Times New Roman" w:eastAsia="Times New Roman" w:hAnsi="Times New Roman"/>
                <w:sz w:val="18"/>
                <w:szCs w:val="18"/>
                <w:color w:val="auto"/>
              </w:rPr>
              <w:t>247,580</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generated from/(used in) financing activities</w:t>
            </w:r>
          </w:p>
        </w:tc>
        <w:tc>
          <w:tcPr>
            <w:tcW w:w="132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color w:val="auto"/>
              </w:rPr>
              <w:t>924,044</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(496,035)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increase/(decrease) in cash and cash equivalents</w:t>
            </w:r>
          </w:p>
        </w:tc>
        <w:tc>
          <w:tcPr>
            <w:tcW w:w="1320" w:type="dxa"/>
            <w:vAlign w:val="bottom"/>
          </w:tcPr>
          <w:p>
            <w:pPr>
              <w:jc w:val="right"/>
              <w:ind w:right="335"/>
              <w:spacing w:after="0"/>
              <w:rPr>
                <w:sz w:val="20"/>
                <w:szCs w:val="20"/>
                <w:color w:val="auto"/>
              </w:rPr>
            </w:pPr>
            <w:r>
              <w:rPr>
                <w:rFonts w:ascii="Times New Roman" w:cs="Times New Roman" w:eastAsia="Times New Roman" w:hAnsi="Times New Roman"/>
                <w:sz w:val="18"/>
                <w:szCs w:val="18"/>
                <w:color w:val="auto"/>
              </w:rPr>
              <w:t>1,172,819</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(513,539)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period</w:t>
            </w:r>
          </w:p>
        </w:tc>
        <w:tc>
          <w:tcPr>
            <w:tcW w:w="132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color w:val="auto"/>
              </w:rPr>
              <w:t>172,603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764,207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the end of the period</w:t>
            </w:r>
          </w:p>
        </w:tc>
        <w:tc>
          <w:tcPr>
            <w:tcW w:w="1320" w:type="dxa"/>
            <w:vAlign w:val="bottom"/>
          </w:tcPr>
          <w:p>
            <w:pPr>
              <w:jc w:val="right"/>
              <w:ind w:right="335"/>
              <w:spacing w:after="0"/>
              <w:rPr>
                <w:sz w:val="20"/>
                <w:szCs w:val="20"/>
                <w:color w:val="auto"/>
              </w:rPr>
            </w:pPr>
            <w:r>
              <w:rPr>
                <w:rFonts w:ascii="Times New Roman" w:cs="Times New Roman" w:eastAsia="Times New Roman" w:hAnsi="Times New Roman"/>
                <w:sz w:val="18"/>
                <w:szCs w:val="18"/>
                <w:color w:val="auto"/>
              </w:rPr>
              <w:t>1,345,422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250,668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ind w:left="540" w:hanging="424"/>
        <w:spacing w:after="0"/>
        <w:tabs>
          <w:tab w:leader="none" w:pos="540" w:val="left"/>
        </w:tabs>
        <w:numPr>
          <w:ilvl w:val="0"/>
          <w:numId w:val="2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in accounting policies</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Except as described below, the accounting policies applied in these condensed consolidated interim financial statements are the same as those applied in the Group’s consolidated financial statements as of and for the year ended 31 December 2021.</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F-81</w:t>
      </w:r>
    </w:p>
    <w:p>
      <w:pPr>
        <w:sectPr>
          <w:pgSz w:w="11900" w:h="16838" w:orient="portrait"/>
          <w:cols w:equalWidth="0" w:num="1">
            <w:col w:w="11060"/>
          </w:cols>
          <w:pgMar w:left="320" w:top="455" w:right="519" w:bottom="1440" w:gutter="0" w:footer="0" w:header="0"/>
        </w:sectPr>
      </w:pPr>
    </w:p>
    <w:bookmarkStart w:id="334" w:name="page335"/>
    <w:bookmarkEnd w:id="3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The Group has applied the following amendments to IFRSs issued by the IASB to this condensed consolidated interim financial report for the current accounting period:</w:t>
      </w:r>
    </w:p>
    <w:p>
      <w:pPr>
        <w:spacing w:after="0" w:line="67" w:lineRule="exact"/>
        <w:rPr>
          <w:sz w:val="20"/>
          <w:szCs w:val="20"/>
          <w:color w:val="auto"/>
        </w:rPr>
      </w:pPr>
    </w:p>
    <w:p>
      <w:pPr>
        <w:ind w:left="540" w:hanging="316"/>
        <w:spacing w:after="0"/>
        <w:tabs>
          <w:tab w:leader="none" w:pos="54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IAS 16, Property, plant and equipment: Proceeds before intended use;</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IAS 37, Provisions, contingent liabilities and contingent assets: Onerous contracts — cost of fulfilling a contract</w:t>
      </w:r>
    </w:p>
    <w:p>
      <w:pPr>
        <w:spacing w:after="0" w:line="117" w:lineRule="exact"/>
        <w:rPr>
          <w:sz w:val="20"/>
          <w:szCs w:val="20"/>
          <w:color w:val="auto"/>
        </w:rPr>
      </w:pPr>
    </w:p>
    <w:p>
      <w:pPr>
        <w:jc w:val="both"/>
        <w:ind w:left="120" w:right="440"/>
        <w:spacing w:after="0" w:line="266" w:lineRule="auto"/>
        <w:rPr>
          <w:sz w:val="20"/>
          <w:szCs w:val="20"/>
          <w:color w:val="auto"/>
        </w:rPr>
      </w:pPr>
      <w:r>
        <w:rPr>
          <w:rFonts w:ascii="Times New Roman" w:cs="Times New Roman" w:eastAsia="Times New Roman" w:hAnsi="Times New Roman"/>
          <w:sz w:val="18"/>
          <w:szCs w:val="18"/>
          <w:color w:val="auto"/>
        </w:rPr>
        <w:t>None of these developments have had a material effect on how the Group’s results and financial position for the current or prior periods have been prepared or presented in this interim financial report. The Group has not applied any new standard or interpretation that is not yet effective for the current accounting period.</w:t>
      </w:r>
    </w:p>
    <w:p>
      <w:pPr>
        <w:spacing w:after="0" w:line="320" w:lineRule="exact"/>
        <w:rPr>
          <w:sz w:val="20"/>
          <w:szCs w:val="20"/>
          <w:color w:val="auto"/>
        </w:rPr>
      </w:pPr>
    </w:p>
    <w:p>
      <w:pPr>
        <w:ind w:left="540" w:hanging="424"/>
        <w:spacing w:after="0"/>
        <w:tabs>
          <w:tab w:leader="none" w:pos="540" w:val="left"/>
        </w:tabs>
        <w:numPr>
          <w:ilvl w:val="0"/>
          <w:numId w:val="2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principal activities of the Group are (i) the sales of L4 autonomous driving vehicles, primarily including robobuses and robotaxis, and related sensor suites, and (ii) the provision of L4 autonomous driving and advanced driver-assistance system (“ADAS”) services, including the provision of L4 autonomous driving operational and technical support services as well as ADAS research and development services.</w:t>
      </w:r>
    </w:p>
    <w:p>
      <w:pPr>
        <w:spacing w:after="0" w:line="17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Commencing in 2022, the Group started to generate revenue from customized ADAS research and development services for automotive customers based on automotive customers’ specific requirement. Revenue from the provision of these services is recognized over time since the Group’s performance does not create an asset with an alternative use to the Group and the Group has an enforceable right to payment for performance completed to date. Such revenue is recognized by measuring the progress towards complete satisfaction of the performance obligation using input method, which is based on the proportion of the costs incurred for the work performed to date relative to the estimated total costs to complete the contract.</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Disaggregation of revenue from contracts with customers by major products or service lines and timing of revenue recognition are as follows: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2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520" w:type="dxa"/>
            <w:vAlign w:val="bottom"/>
            <w:gridSpan w:val="4"/>
          </w:tcPr>
          <w:p>
            <w:pPr>
              <w:ind w:left="240"/>
              <w:spacing w:after="0"/>
              <w:rPr>
                <w:sz w:val="20"/>
                <w:szCs w:val="20"/>
                <w:color w:val="auto"/>
              </w:rPr>
            </w:pPr>
            <w:r>
              <w:rPr>
                <w:rFonts w:ascii="Times New Roman" w:cs="Times New Roman" w:eastAsia="Times New Roman" w:hAnsi="Times New Roman"/>
                <w:sz w:val="14"/>
                <w:szCs w:val="14"/>
                <w:i w:val="1"/>
                <w:iCs w:val="1"/>
                <w:color w:val="auto"/>
              </w:rPr>
              <w:t>For the six months ended June 30,</w:t>
            </w:r>
          </w:p>
        </w:tc>
      </w:tr>
      <w:tr>
        <w:trPr>
          <w:trHeight w:val="119"/>
        </w:trPr>
        <w:tc>
          <w:tcPr>
            <w:tcW w:w="426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840" w:type="dxa"/>
            <w:vAlign w:val="bottom"/>
            <w:tcBorders>
              <w:top w:val="single" w:sz="8" w:color="auto"/>
            </w:tcBorders>
          </w:tcPr>
          <w:p>
            <w:pPr>
              <w:jc w:val="right"/>
              <w:ind w:right="202"/>
              <w:spacing w:after="0" w:line="119" w:lineRule="exact"/>
              <w:rPr>
                <w:sz w:val="20"/>
                <w:szCs w:val="20"/>
                <w:color w:val="auto"/>
              </w:rPr>
            </w:pPr>
            <w:r>
              <w:rPr>
                <w:rFonts w:ascii="Times New Roman" w:cs="Times New Roman" w:eastAsia="Times New Roman" w:hAnsi="Times New Roman"/>
                <w:sz w:val="13"/>
                <w:szCs w:val="13"/>
                <w:i w:val="1"/>
                <w:iCs w:val="1"/>
                <w:color w:val="auto"/>
              </w:rPr>
              <w:t>2021</w:t>
            </w:r>
          </w:p>
        </w:tc>
        <w:tc>
          <w:tcPr>
            <w:tcW w:w="1620" w:type="dxa"/>
            <w:vAlign w:val="bottom"/>
            <w:tcBorders>
              <w:top w:val="single" w:sz="8" w:color="auto"/>
            </w:tcBorders>
            <w:gridSpan w:val="2"/>
          </w:tcPr>
          <w:p>
            <w:pPr>
              <w:jc w:val="right"/>
              <w:ind w:right="256"/>
              <w:spacing w:after="0" w:line="119" w:lineRule="exact"/>
              <w:rPr>
                <w:sz w:val="20"/>
                <w:szCs w:val="20"/>
                <w:color w:val="auto"/>
              </w:rPr>
            </w:pPr>
            <w:r>
              <w:rPr>
                <w:rFonts w:ascii="Times New Roman" w:cs="Times New Roman" w:eastAsia="Times New Roman" w:hAnsi="Times New Roman"/>
                <w:sz w:val="13"/>
                <w:szCs w:val="13"/>
                <w:i w:val="1"/>
                <w:iCs w:val="1"/>
                <w:color w:val="auto"/>
              </w:rPr>
              <w:t>2022</w:t>
            </w:r>
          </w:p>
        </w:tc>
        <w:tc>
          <w:tcPr>
            <w:tcW w:w="60" w:type="dxa"/>
            <w:vAlign w:val="bottom"/>
          </w:tcPr>
          <w:p>
            <w:pPr>
              <w:spacing w:after="0"/>
              <w:rPr>
                <w:sz w:val="10"/>
                <w:szCs w:val="10"/>
                <w:color w:val="auto"/>
              </w:rPr>
            </w:pPr>
          </w:p>
        </w:tc>
      </w:tr>
      <w:tr>
        <w:trPr>
          <w:trHeight w:val="171"/>
        </w:trPr>
        <w:tc>
          <w:tcPr>
            <w:tcW w:w="42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RMB’000</w:t>
            </w:r>
          </w:p>
        </w:tc>
        <w:tc>
          <w:tcPr>
            <w:tcW w:w="68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RMB’000</w:t>
            </w: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Disaggregated by major products or service lines:</w:t>
            </w:r>
          </w:p>
        </w:tc>
        <w:tc>
          <w:tcPr>
            <w:tcW w:w="2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Sales of L4 autonomous driving vehicles</w:t>
            </w:r>
          </w:p>
        </w:tc>
        <w:tc>
          <w:tcPr>
            <w:tcW w:w="3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18,470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92,257</w:t>
            </w:r>
          </w:p>
        </w:tc>
        <w:tc>
          <w:tcPr>
            <w:tcW w:w="6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of L4 autonomous driving and ADAS services</w:t>
            </w:r>
          </w:p>
        </w:tc>
        <w:tc>
          <w:tcPr>
            <w:tcW w:w="3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6,375</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47,468</w:t>
            </w:r>
          </w:p>
        </w:tc>
        <w:tc>
          <w:tcPr>
            <w:tcW w:w="60" w:type="dxa"/>
            <w:vAlign w:val="bottom"/>
            <w:shd w:val="clear" w:color="auto" w:fill="CCEEFF"/>
          </w:tcPr>
          <w:p>
            <w:pPr>
              <w:spacing w:after="0"/>
              <w:rPr>
                <w:sz w:val="18"/>
                <w:szCs w:val="18"/>
                <w:color w:val="auto"/>
              </w:rPr>
            </w:pPr>
          </w:p>
        </w:tc>
      </w:tr>
      <w:tr>
        <w:trPr>
          <w:trHeight w:val="223"/>
        </w:trPr>
        <w:tc>
          <w:tcPr>
            <w:tcW w:w="426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24,845</w:t>
            </w:r>
          </w:p>
        </w:tc>
        <w:tc>
          <w:tcPr>
            <w:tcW w:w="68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139,725</w:t>
            </w:r>
          </w:p>
        </w:tc>
        <w:tc>
          <w:tcPr>
            <w:tcW w:w="60" w:type="dxa"/>
            <w:vAlign w:val="bottom"/>
          </w:tcPr>
          <w:p>
            <w:pPr>
              <w:spacing w:after="0"/>
              <w:rPr>
                <w:sz w:val="19"/>
                <w:szCs w:val="19"/>
                <w:color w:val="auto"/>
              </w:rPr>
            </w:pPr>
          </w:p>
        </w:tc>
      </w:tr>
      <w:tr>
        <w:trPr>
          <w:trHeight w:val="20"/>
        </w:trPr>
        <w:tc>
          <w:tcPr>
            <w:tcW w:w="42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2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Point in time</w:t>
            </w:r>
          </w:p>
        </w:tc>
        <w:tc>
          <w:tcPr>
            <w:tcW w:w="3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18,470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92,257</w:t>
            </w:r>
          </w:p>
        </w:tc>
        <w:tc>
          <w:tcPr>
            <w:tcW w:w="6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time</w:t>
            </w:r>
          </w:p>
        </w:tc>
        <w:tc>
          <w:tcPr>
            <w:tcW w:w="3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6,375</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47,468</w:t>
            </w:r>
          </w:p>
        </w:tc>
        <w:tc>
          <w:tcPr>
            <w:tcW w:w="60" w:type="dxa"/>
            <w:vAlign w:val="bottom"/>
            <w:shd w:val="clear" w:color="auto" w:fill="CCEEFF"/>
          </w:tcPr>
          <w:p>
            <w:pPr>
              <w:spacing w:after="0"/>
              <w:rPr>
                <w:sz w:val="18"/>
                <w:szCs w:val="18"/>
                <w:color w:val="auto"/>
              </w:rPr>
            </w:pPr>
          </w:p>
        </w:tc>
      </w:tr>
      <w:tr>
        <w:trPr>
          <w:trHeight w:val="223"/>
        </w:trPr>
        <w:tc>
          <w:tcPr>
            <w:tcW w:w="426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24,845</w:t>
            </w:r>
          </w:p>
        </w:tc>
        <w:tc>
          <w:tcPr>
            <w:tcW w:w="68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139,725</w:t>
            </w:r>
          </w:p>
        </w:tc>
        <w:tc>
          <w:tcPr>
            <w:tcW w:w="60" w:type="dxa"/>
            <w:vAlign w:val="bottom"/>
          </w:tcPr>
          <w:p>
            <w:pPr>
              <w:spacing w:after="0"/>
              <w:rPr>
                <w:sz w:val="19"/>
                <w:szCs w:val="19"/>
                <w:color w:val="auto"/>
              </w:rPr>
            </w:pPr>
          </w:p>
        </w:tc>
      </w:tr>
      <w:tr>
        <w:trPr>
          <w:trHeight w:val="20"/>
        </w:trPr>
        <w:tc>
          <w:tcPr>
            <w:tcW w:w="42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4260" w:type="dxa"/>
            <w:vAlign w:val="bottom"/>
          </w:tcPr>
          <w:p>
            <w:pPr>
              <w:spacing w:after="0"/>
              <w:rPr>
                <w:sz w:val="24"/>
                <w:szCs w:val="24"/>
                <w:color w:val="auto"/>
              </w:rPr>
            </w:pPr>
          </w:p>
        </w:tc>
        <w:tc>
          <w:tcPr>
            <w:tcW w:w="3320" w:type="dxa"/>
            <w:vAlign w:val="bottom"/>
            <w:gridSpan w:val="2"/>
          </w:tcPr>
          <w:p>
            <w:pPr>
              <w:jc w:val="right"/>
              <w:ind w:right="2702"/>
              <w:spacing w:after="0"/>
              <w:rPr>
                <w:sz w:val="20"/>
                <w:szCs w:val="20"/>
                <w:color w:val="auto"/>
              </w:rPr>
            </w:pPr>
            <w:r>
              <w:rPr>
                <w:rFonts w:ascii="Times New Roman" w:cs="Times New Roman" w:eastAsia="Times New Roman" w:hAnsi="Times New Roman"/>
                <w:sz w:val="18"/>
                <w:szCs w:val="18"/>
                <w:color w:val="auto"/>
              </w:rPr>
              <w:t>F-82</w:t>
            </w: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00"/>
          </w:cols>
          <w:pgMar w:left="320" w:top="455" w:right="479" w:bottom="1440" w:gutter="0" w:footer="0" w:header="0"/>
        </w:sectPr>
      </w:pPr>
    </w:p>
    <w:bookmarkStart w:id="335" w:name="page336"/>
    <w:bookmarkEnd w:id="3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major customers which individually contributed more than 10% of total revenues of the Group for the six months ended June 30, 2021 and 2022 are listed as below:</w:t>
      </w:r>
    </w:p>
    <w:p>
      <w:pPr>
        <w:spacing w:after="0" w:line="182"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4"/>
          <w:szCs w:val="14"/>
          <w:i w:val="1"/>
          <w:iCs w:val="1"/>
          <w:color w:val="auto"/>
        </w:rPr>
        <w:t>For the six months ended June 30,</w:t>
      </w:r>
    </w:p>
    <w:p>
      <w:pPr>
        <w:spacing w:after="0" w:line="12" w:lineRule="exact"/>
        <w:rPr>
          <w:sz w:val="20"/>
          <w:szCs w:val="20"/>
          <w:color w:val="auto"/>
        </w:rPr>
      </w:pPr>
    </w:p>
    <w:tbl>
      <w:tblPr>
        <w:tblLayout w:type="fixed"/>
        <w:tblInd w:w="1000" w:type="dxa"/>
        <w:tblCellMar>
          <w:top w:w="0" w:type="dxa"/>
          <w:left w:w="0" w:type="dxa"/>
          <w:bottom w:w="0" w:type="dxa"/>
          <w:right w:w="0" w:type="dxa"/>
        </w:tblCellMar>
      </w:tblPr>
      <w:tr>
        <w:trPr>
          <w:trHeight w:val="142"/>
        </w:trPr>
        <w:tc>
          <w:tcPr>
            <w:tcW w:w="618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2021</w:t>
            </w:r>
          </w:p>
        </w:tc>
        <w:tc>
          <w:tcPr>
            <w:tcW w:w="112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i w:val="1"/>
                <w:iCs w:val="1"/>
                <w:color w:val="auto"/>
              </w:rPr>
              <w:t>2022</w:t>
            </w:r>
          </w:p>
        </w:tc>
        <w:tc>
          <w:tcPr>
            <w:tcW w:w="200" w:type="dxa"/>
            <w:vAlign w:val="bottom"/>
          </w:tcPr>
          <w:p>
            <w:pPr>
              <w:spacing w:after="0"/>
              <w:rPr>
                <w:sz w:val="12"/>
                <w:szCs w:val="12"/>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11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B</w:t>
            </w:r>
          </w:p>
        </w:tc>
        <w:tc>
          <w:tcPr>
            <w:tcW w:w="11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p>
        </w:tc>
        <w:tc>
          <w:tcPr>
            <w:tcW w:w="11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D</w:t>
            </w:r>
          </w:p>
        </w:tc>
        <w:tc>
          <w:tcPr>
            <w:tcW w:w="112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6"/>
              </w:rPr>
              <w:t>34%</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E</w:t>
            </w:r>
          </w:p>
        </w:tc>
        <w:tc>
          <w:tcPr>
            <w:tcW w:w="112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96"/>
              </w:rPr>
              <w:t>32%</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r>
      <w:tr>
        <w:trPr>
          <w:trHeight w:val="234"/>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F</w:t>
            </w:r>
          </w:p>
        </w:tc>
        <w:tc>
          <w:tcPr>
            <w:tcW w:w="112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6"/>
              </w:rPr>
              <w:t>18%</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r>
    </w:tbl>
    <w:p>
      <w:pPr>
        <w:spacing w:after="0" w:line="2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represents that the amount of aggregate revenue from such customer is individually less than 10% of the total revenues for respective period.</w:t>
      </w:r>
    </w:p>
    <w:p>
      <w:pPr>
        <w:spacing w:after="0" w:line="37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4</w:t>
            </w:r>
          </w:p>
        </w:tc>
        <w:tc>
          <w:tcPr>
            <w:tcW w:w="72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Other net income</w:t>
            </w:r>
          </w:p>
        </w:tc>
        <w:tc>
          <w:tcPr>
            <w:tcW w:w="8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91"/>
        </w:trPr>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2600" w:type="dxa"/>
            <w:vAlign w:val="bottom"/>
            <w:gridSpan w:val="4"/>
          </w:tcPr>
          <w:p>
            <w:pPr>
              <w:ind w:left="280"/>
              <w:spacing w:after="0"/>
              <w:rPr>
                <w:sz w:val="20"/>
                <w:szCs w:val="20"/>
                <w:color w:val="auto"/>
              </w:rPr>
            </w:pPr>
            <w:r>
              <w:rPr>
                <w:rFonts w:ascii="Times New Roman" w:cs="Times New Roman" w:eastAsia="Times New Roman" w:hAnsi="Times New Roman"/>
                <w:sz w:val="14"/>
                <w:szCs w:val="14"/>
                <w:i w:val="1"/>
                <w:iCs w:val="1"/>
                <w:color w:val="auto"/>
              </w:rPr>
              <w:t>For the six months ended June 30,</w:t>
            </w:r>
          </w:p>
        </w:tc>
      </w:tr>
      <w:tr>
        <w:trPr>
          <w:trHeight w:val="119"/>
        </w:trPr>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60" w:type="dxa"/>
            <w:vAlign w:val="bottom"/>
          </w:tcPr>
          <w:p>
            <w:pPr>
              <w:spacing w:after="0"/>
              <w:rPr>
                <w:sz w:val="10"/>
                <w:szCs w:val="10"/>
                <w:color w:val="auto"/>
              </w:rPr>
            </w:pPr>
          </w:p>
        </w:tc>
        <w:tc>
          <w:tcPr>
            <w:tcW w:w="860" w:type="dxa"/>
            <w:vAlign w:val="bottom"/>
            <w:tcBorders>
              <w:top w:val="single" w:sz="8" w:color="auto"/>
            </w:tcBorders>
          </w:tcPr>
          <w:p>
            <w:pPr>
              <w:jc w:val="right"/>
              <w:ind w:right="197"/>
              <w:spacing w:after="0" w:line="119" w:lineRule="exact"/>
              <w:rPr>
                <w:sz w:val="20"/>
                <w:szCs w:val="20"/>
                <w:color w:val="auto"/>
              </w:rPr>
            </w:pPr>
            <w:r>
              <w:rPr>
                <w:rFonts w:ascii="Times New Roman" w:cs="Times New Roman" w:eastAsia="Times New Roman" w:hAnsi="Times New Roman"/>
                <w:sz w:val="13"/>
                <w:szCs w:val="13"/>
                <w:i w:val="1"/>
                <w:iCs w:val="1"/>
                <w:color w:val="auto"/>
              </w:rPr>
              <w:t>2021</w:t>
            </w:r>
          </w:p>
        </w:tc>
        <w:tc>
          <w:tcPr>
            <w:tcW w:w="1680" w:type="dxa"/>
            <w:vAlign w:val="bottom"/>
            <w:tcBorders>
              <w:top w:val="single" w:sz="8" w:color="auto"/>
            </w:tcBorders>
            <w:gridSpan w:val="2"/>
          </w:tcPr>
          <w:p>
            <w:pPr>
              <w:jc w:val="right"/>
              <w:ind w:right="239"/>
              <w:spacing w:after="0" w:line="119" w:lineRule="exact"/>
              <w:rPr>
                <w:sz w:val="20"/>
                <w:szCs w:val="20"/>
                <w:color w:val="auto"/>
              </w:rPr>
            </w:pPr>
            <w:r>
              <w:rPr>
                <w:rFonts w:ascii="Times New Roman" w:cs="Times New Roman" w:eastAsia="Times New Roman" w:hAnsi="Times New Roman"/>
                <w:sz w:val="13"/>
                <w:szCs w:val="13"/>
                <w:i w:val="1"/>
                <w:iCs w:val="1"/>
                <w:color w:val="auto"/>
              </w:rPr>
              <w:t>2022</w:t>
            </w:r>
          </w:p>
        </w:tc>
        <w:tc>
          <w:tcPr>
            <w:tcW w:w="60" w:type="dxa"/>
            <w:vAlign w:val="bottom"/>
          </w:tcPr>
          <w:p>
            <w:pPr>
              <w:spacing w:after="0"/>
              <w:rPr>
                <w:sz w:val="10"/>
                <w:szCs w:val="10"/>
                <w:color w:val="auto"/>
              </w:rPr>
            </w:pPr>
          </w:p>
        </w:tc>
      </w:tr>
      <w:tr>
        <w:trPr>
          <w:trHeight w:val="171"/>
        </w:trPr>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RMB’000</w:t>
            </w:r>
          </w:p>
        </w:tc>
        <w:tc>
          <w:tcPr>
            <w:tcW w:w="780" w:type="dxa"/>
            <w:vAlign w:val="bottom"/>
          </w:tcPr>
          <w:p>
            <w:pPr>
              <w:spacing w:after="0"/>
              <w:rPr>
                <w:sz w:val="14"/>
                <w:szCs w:val="14"/>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RMB’000</w:t>
            </w: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grants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13,268</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10,747</w:t>
            </w:r>
          </w:p>
        </w:tc>
        <w:tc>
          <w:tcPr>
            <w:tcW w:w="60" w:type="dxa"/>
            <w:vAlign w:val="bottom"/>
            <w:shd w:val="clear" w:color="auto" w:fill="CCEEFF"/>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Net foreign exchange gain</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3,097</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5,773</w:t>
            </w:r>
          </w:p>
        </w:tc>
        <w:tc>
          <w:tcPr>
            <w:tcW w:w="6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7,423</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12,781</w:t>
            </w:r>
          </w:p>
        </w:tc>
        <w:tc>
          <w:tcPr>
            <w:tcW w:w="60" w:type="dxa"/>
            <w:vAlign w:val="bottom"/>
            <w:shd w:val="clear" w:color="auto" w:fill="CCEEFF"/>
          </w:tcPr>
          <w:p>
            <w:pPr>
              <w:spacing w:after="0"/>
              <w:rPr>
                <w:sz w:val="18"/>
                <w:szCs w:val="18"/>
                <w:color w:val="auto"/>
              </w:rPr>
            </w:pPr>
          </w:p>
        </w:tc>
      </w:tr>
      <w:tr>
        <w:trPr>
          <w:trHeight w:val="223"/>
        </w:trPr>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78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60" w:type="dxa"/>
            <w:vAlign w:val="bottom"/>
          </w:tcPr>
          <w:p>
            <w:pPr>
              <w:spacing w:after="0"/>
              <w:rPr>
                <w:sz w:val="19"/>
                <w:szCs w:val="19"/>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24,313</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29,921</w:t>
            </w:r>
          </w:p>
        </w:tc>
        <w:tc>
          <w:tcPr>
            <w:tcW w:w="60" w:type="dxa"/>
            <w:vAlign w:val="bottom"/>
            <w:shd w:val="clear" w:color="auto" w:fill="CCEEFF"/>
          </w:tcPr>
          <w:p>
            <w:pPr>
              <w:spacing w:after="0"/>
              <w:rPr>
                <w:sz w:val="18"/>
                <w:szCs w:val="18"/>
                <w:color w:val="auto"/>
              </w:rPr>
            </w:pPr>
          </w:p>
        </w:tc>
      </w:tr>
      <w:tr>
        <w:trPr>
          <w:trHeight w:val="20"/>
        </w:trPr>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6"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5</w:t>
            </w:r>
          </w:p>
        </w:tc>
        <w:tc>
          <w:tcPr>
            <w:tcW w:w="74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Expenses by nature</w:t>
            </w:r>
          </w:p>
        </w:tc>
        <w:tc>
          <w:tcPr>
            <w:tcW w:w="8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2460" w:type="dxa"/>
            <w:vAlign w:val="bottom"/>
            <w:gridSpan w:val="4"/>
          </w:tcPr>
          <w:p>
            <w:pPr>
              <w:ind w:left="200"/>
              <w:spacing w:after="0"/>
              <w:rPr>
                <w:sz w:val="20"/>
                <w:szCs w:val="20"/>
                <w:color w:val="auto"/>
              </w:rPr>
            </w:pPr>
            <w:r>
              <w:rPr>
                <w:rFonts w:ascii="Times New Roman" w:cs="Times New Roman" w:eastAsia="Times New Roman" w:hAnsi="Times New Roman"/>
                <w:sz w:val="14"/>
                <w:szCs w:val="14"/>
                <w:i w:val="1"/>
                <w:iCs w:val="1"/>
                <w:color w:val="auto"/>
              </w:rPr>
              <w:t>For the six months ended June 30,</w:t>
            </w:r>
          </w:p>
        </w:tc>
        <w:tc>
          <w:tcPr>
            <w:tcW w:w="0" w:type="dxa"/>
            <w:vAlign w:val="bottom"/>
          </w:tcPr>
          <w:p>
            <w:pPr>
              <w:spacing w:after="0"/>
              <w:rPr>
                <w:sz w:val="1"/>
                <w:szCs w:val="1"/>
                <w:color w:val="auto"/>
              </w:rPr>
            </w:pPr>
          </w:p>
        </w:tc>
      </w:tr>
      <w:tr>
        <w:trPr>
          <w:trHeight w:val="119"/>
        </w:trPr>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0" w:type="dxa"/>
            <w:vAlign w:val="bottom"/>
          </w:tcPr>
          <w:p>
            <w:pPr>
              <w:spacing w:after="0"/>
              <w:rPr>
                <w:sz w:val="10"/>
                <w:szCs w:val="10"/>
                <w:color w:val="auto"/>
              </w:rPr>
            </w:pPr>
          </w:p>
        </w:tc>
        <w:tc>
          <w:tcPr>
            <w:tcW w:w="880" w:type="dxa"/>
            <w:vAlign w:val="bottom"/>
            <w:tcBorders>
              <w:top w:val="single" w:sz="8" w:color="auto"/>
            </w:tcBorders>
          </w:tcPr>
          <w:p>
            <w:pPr>
              <w:jc w:val="right"/>
              <w:ind w:right="213"/>
              <w:spacing w:after="0" w:line="119" w:lineRule="exact"/>
              <w:rPr>
                <w:sz w:val="20"/>
                <w:szCs w:val="20"/>
                <w:color w:val="auto"/>
              </w:rPr>
            </w:pPr>
            <w:r>
              <w:rPr>
                <w:rFonts w:ascii="Times New Roman" w:cs="Times New Roman" w:eastAsia="Times New Roman" w:hAnsi="Times New Roman"/>
                <w:sz w:val="13"/>
                <w:szCs w:val="13"/>
                <w:i w:val="1"/>
                <w:iCs w:val="1"/>
                <w:color w:val="auto"/>
              </w:rPr>
              <w:t>2021</w:t>
            </w:r>
          </w:p>
        </w:tc>
        <w:tc>
          <w:tcPr>
            <w:tcW w:w="1520" w:type="dxa"/>
            <w:vAlign w:val="bottom"/>
            <w:tcBorders>
              <w:top w:val="single" w:sz="8" w:color="auto"/>
            </w:tcBorders>
            <w:gridSpan w:val="2"/>
          </w:tcPr>
          <w:p>
            <w:pPr>
              <w:jc w:val="right"/>
              <w:ind w:right="236"/>
              <w:spacing w:after="0" w:line="119" w:lineRule="exact"/>
              <w:rPr>
                <w:sz w:val="20"/>
                <w:szCs w:val="20"/>
                <w:color w:val="auto"/>
              </w:rPr>
            </w:pPr>
            <w:r>
              <w:rPr>
                <w:rFonts w:ascii="Times New Roman" w:cs="Times New Roman" w:eastAsia="Times New Roman" w:hAnsi="Times New Roman"/>
                <w:sz w:val="13"/>
                <w:szCs w:val="13"/>
                <w:i w:val="1"/>
                <w:iCs w:val="1"/>
                <w:color w:val="auto"/>
              </w:rPr>
              <w:t>2022</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RMB’000</w:t>
            </w:r>
          </w:p>
        </w:tc>
        <w:tc>
          <w:tcPr>
            <w:tcW w:w="600" w:type="dxa"/>
            <w:vAlign w:val="bottom"/>
          </w:tcPr>
          <w:p>
            <w:pPr>
              <w:spacing w:after="0"/>
              <w:rPr>
                <w:sz w:val="14"/>
                <w:szCs w:val="14"/>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RMB’000</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employee benefits (Note (i))</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140,790</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Cost of inventories (Note 12)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18,447</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54,233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(Note (ii))</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28,493</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 fee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17,502</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43,664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Utilities and property management fee</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9,069</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Total cost of revenue, research and development expenses, administrative expenses</w:t>
            </w:r>
          </w:p>
        </w:tc>
        <w:tc>
          <w:tcPr>
            <w:tcW w:w="880" w:type="dxa"/>
            <w:vAlign w:val="bottom"/>
            <w:tcBorders>
              <w:top w:val="single" w:sz="8" w:color="auto"/>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selling expenses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236,391</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480,233</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7420" w:type="dxa"/>
            <w:vAlign w:val="bottom"/>
            <w:gridSpan w:val="2"/>
            <w:vMerge w:val="restart"/>
          </w:tcPr>
          <w:p>
            <w:pPr>
              <w:ind w:left="620"/>
              <w:spacing w:after="0"/>
              <w:rPr>
                <w:sz w:val="20"/>
                <w:szCs w:val="20"/>
                <w:color w:val="auto"/>
              </w:rPr>
            </w:pPr>
            <w:r>
              <w:rPr>
                <w:rFonts w:ascii="Times New Roman" w:cs="Times New Roman" w:eastAsia="Times New Roman" w:hAnsi="Times New Roman"/>
                <w:sz w:val="18"/>
                <w:szCs w:val="18"/>
                <w:color w:val="auto"/>
              </w:rPr>
              <w:t>Notes:</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0" w:type="dxa"/>
            <w:vAlign w:val="bottom"/>
          </w:tcPr>
          <w:p>
            <w:pPr>
              <w:spacing w:after="0"/>
              <w:rPr>
                <w:sz w:val="18"/>
                <w:szCs w:val="18"/>
                <w:color w:val="auto"/>
              </w:rPr>
            </w:pPr>
          </w:p>
        </w:tc>
        <w:tc>
          <w:tcPr>
            <w:tcW w:w="7420" w:type="dxa"/>
            <w:vAlign w:val="bottom"/>
            <w:gridSpan w:val="2"/>
            <w:vMerge w:val="continue"/>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 Payroll and employee benefits: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Salaries, allowances, bonus and benefits in kind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122,254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196,682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Contributions to defined contribution retirement plan</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5,408</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Share-based compensation expenses (Note 19)</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13,128</w:t>
            </w:r>
          </w:p>
        </w:tc>
        <w:tc>
          <w:tcPr>
            <w:tcW w:w="6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140,790</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7420" w:type="dxa"/>
            <w:vAlign w:val="bottom"/>
            <w:gridSpan w:val="2"/>
            <w:vMerge w:val="restart"/>
          </w:tcPr>
          <w:p>
            <w:pPr>
              <w:ind w:left="620"/>
              <w:spacing w:after="0"/>
              <w:rPr>
                <w:sz w:val="20"/>
                <w:szCs w:val="20"/>
                <w:color w:val="auto"/>
              </w:rPr>
            </w:pPr>
            <w:r>
              <w:rPr>
                <w:rFonts w:ascii="Times New Roman" w:cs="Times New Roman" w:eastAsia="Times New Roman" w:hAnsi="Times New Roman"/>
                <w:sz w:val="18"/>
                <w:szCs w:val="18"/>
                <w:color w:val="auto"/>
              </w:rPr>
              <w:t>(ii) Depreciation and amortization:</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0" w:type="dxa"/>
            <w:vAlign w:val="bottom"/>
          </w:tcPr>
          <w:p>
            <w:pPr>
              <w:spacing w:after="0"/>
              <w:rPr>
                <w:sz w:val="18"/>
                <w:szCs w:val="18"/>
                <w:color w:val="auto"/>
              </w:rPr>
            </w:pPr>
          </w:p>
        </w:tc>
        <w:tc>
          <w:tcPr>
            <w:tcW w:w="7420" w:type="dxa"/>
            <w:vAlign w:val="bottom"/>
            <w:gridSpan w:val="2"/>
            <w:vMerge w:val="continue"/>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and equipment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18,906</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Right-of-use assets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9,531</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assets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28,493</w:t>
            </w:r>
          </w:p>
        </w:tc>
        <w:tc>
          <w:tcPr>
            <w:tcW w:w="6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0" w:type="dxa"/>
            <w:vAlign w:val="bottom"/>
            <w:vMerge w:val="restart"/>
          </w:tcPr>
          <w:p>
            <w:pPr>
              <w:ind w:left="4460"/>
              <w:spacing w:after="0"/>
              <w:rPr>
                <w:sz w:val="20"/>
                <w:szCs w:val="20"/>
                <w:color w:val="auto"/>
              </w:rPr>
            </w:pPr>
            <w:r>
              <w:rPr>
                <w:rFonts w:ascii="Times New Roman" w:cs="Times New Roman" w:eastAsia="Times New Roman" w:hAnsi="Times New Roman"/>
                <w:sz w:val="18"/>
                <w:szCs w:val="18"/>
                <w:color w:val="auto"/>
              </w:rPr>
              <w:t>F-83</w:t>
            </w: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5" w:right="479" w:bottom="1440" w:gutter="0" w:footer="0" w:header="0"/>
        </w:sectPr>
      </w:pPr>
    </w:p>
    <w:bookmarkStart w:id="336" w:name="page337"/>
    <w:bookmarkEnd w:id="3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6</w:t>
            </w:r>
          </w:p>
        </w:tc>
        <w:tc>
          <w:tcPr>
            <w:tcW w:w="7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Other finance costs</w:t>
            </w:r>
          </w:p>
        </w:tc>
        <w:tc>
          <w:tcPr>
            <w:tcW w:w="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92"/>
        </w:trPr>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2660" w:type="dxa"/>
            <w:vAlign w:val="bottom"/>
            <w:gridSpan w:val="4"/>
          </w:tcPr>
          <w:p>
            <w:pPr>
              <w:ind w:left="300"/>
              <w:spacing w:after="0"/>
              <w:rPr>
                <w:sz w:val="20"/>
                <w:szCs w:val="20"/>
                <w:color w:val="auto"/>
              </w:rPr>
            </w:pPr>
            <w:r>
              <w:rPr>
                <w:rFonts w:ascii="Times New Roman" w:cs="Times New Roman" w:eastAsia="Times New Roman" w:hAnsi="Times New Roman"/>
                <w:sz w:val="14"/>
                <w:szCs w:val="14"/>
                <w:i w:val="1"/>
                <w:iCs w:val="1"/>
                <w:color w:val="auto"/>
              </w:rPr>
              <w:t>For the six months ended June 30,</w:t>
            </w:r>
          </w:p>
        </w:tc>
      </w:tr>
      <w:tr>
        <w:trPr>
          <w:trHeight w:val="119"/>
        </w:trPr>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0" w:type="dxa"/>
            <w:vAlign w:val="bottom"/>
          </w:tcPr>
          <w:p>
            <w:pPr>
              <w:spacing w:after="0"/>
              <w:rPr>
                <w:sz w:val="10"/>
                <w:szCs w:val="10"/>
                <w:color w:val="auto"/>
              </w:rPr>
            </w:pPr>
          </w:p>
        </w:tc>
        <w:tc>
          <w:tcPr>
            <w:tcW w:w="880" w:type="dxa"/>
            <w:vAlign w:val="bottom"/>
            <w:tcBorders>
              <w:top w:val="single" w:sz="8" w:color="auto"/>
            </w:tcBorders>
          </w:tcPr>
          <w:p>
            <w:pPr>
              <w:jc w:val="right"/>
              <w:ind w:right="218"/>
              <w:spacing w:after="0" w:line="119" w:lineRule="exact"/>
              <w:rPr>
                <w:sz w:val="20"/>
                <w:szCs w:val="20"/>
                <w:color w:val="auto"/>
              </w:rPr>
            </w:pPr>
            <w:r>
              <w:rPr>
                <w:rFonts w:ascii="Times New Roman" w:cs="Times New Roman" w:eastAsia="Times New Roman" w:hAnsi="Times New Roman"/>
                <w:sz w:val="13"/>
                <w:szCs w:val="13"/>
                <w:i w:val="1"/>
                <w:iCs w:val="1"/>
                <w:color w:val="auto"/>
              </w:rPr>
              <w:t>2021</w:t>
            </w:r>
          </w:p>
        </w:tc>
        <w:tc>
          <w:tcPr>
            <w:tcW w:w="1720" w:type="dxa"/>
            <w:vAlign w:val="bottom"/>
            <w:tcBorders>
              <w:top w:val="single" w:sz="8" w:color="auto"/>
            </w:tcBorders>
            <w:gridSpan w:val="2"/>
          </w:tcPr>
          <w:p>
            <w:pPr>
              <w:jc w:val="right"/>
              <w:ind w:right="236"/>
              <w:spacing w:after="0" w:line="119" w:lineRule="exact"/>
              <w:rPr>
                <w:sz w:val="20"/>
                <w:szCs w:val="20"/>
                <w:color w:val="auto"/>
              </w:rPr>
            </w:pPr>
            <w:r>
              <w:rPr>
                <w:rFonts w:ascii="Times New Roman" w:cs="Times New Roman" w:eastAsia="Times New Roman" w:hAnsi="Times New Roman"/>
                <w:sz w:val="13"/>
                <w:szCs w:val="13"/>
                <w:i w:val="1"/>
                <w:iCs w:val="1"/>
                <w:color w:val="auto"/>
              </w:rPr>
              <w:t>2022</w:t>
            </w:r>
          </w:p>
        </w:tc>
        <w:tc>
          <w:tcPr>
            <w:tcW w:w="60" w:type="dxa"/>
            <w:vAlign w:val="bottom"/>
          </w:tcPr>
          <w:p>
            <w:pPr>
              <w:spacing w:after="0"/>
              <w:rPr>
                <w:sz w:val="10"/>
                <w:szCs w:val="10"/>
                <w:color w:val="auto"/>
              </w:rPr>
            </w:pPr>
          </w:p>
        </w:tc>
      </w:tr>
      <w:tr>
        <w:trPr>
          <w:trHeight w:val="171"/>
        </w:trPr>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RMB’000</w:t>
            </w:r>
          </w:p>
        </w:tc>
        <w:tc>
          <w:tcPr>
            <w:tcW w:w="820" w:type="dxa"/>
            <w:vAlign w:val="bottom"/>
          </w:tcPr>
          <w:p>
            <w:pPr>
              <w:spacing w:after="0"/>
              <w:rPr>
                <w:sz w:val="14"/>
                <w:szCs w:val="14"/>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RMB’000</w:t>
            </w: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loans and borrowings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8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6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the carrying amount of put option liabilities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60" w:type="dxa"/>
            <w:vAlign w:val="bottom"/>
            <w:shd w:val="clear" w:color="auto" w:fill="CCEEFF"/>
          </w:tcPr>
          <w:p>
            <w:pPr>
              <w:spacing w:after="0"/>
              <w:rPr>
                <w:sz w:val="18"/>
                <w:szCs w:val="18"/>
                <w:color w:val="auto"/>
              </w:rPr>
            </w:pPr>
          </w:p>
        </w:tc>
      </w:tr>
      <w:tr>
        <w:trPr>
          <w:trHeight w:val="223"/>
        </w:trPr>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4,359</w:t>
            </w:r>
          </w:p>
        </w:tc>
        <w:tc>
          <w:tcPr>
            <w:tcW w:w="8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60" w:type="dxa"/>
            <w:vAlign w:val="bottom"/>
          </w:tcPr>
          <w:p>
            <w:pPr>
              <w:spacing w:after="0"/>
              <w:rPr>
                <w:sz w:val="19"/>
                <w:szCs w:val="19"/>
                <w:color w:val="auto"/>
              </w:rPr>
            </w:pPr>
          </w:p>
        </w:tc>
      </w:tr>
      <w:tr>
        <w:trPr>
          <w:trHeight w:val="20"/>
        </w:trPr>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6" w:lineRule="exact"/>
        <w:rPr>
          <w:sz w:val="20"/>
          <w:szCs w:val="20"/>
          <w:color w:val="auto"/>
        </w:rPr>
      </w:pPr>
    </w:p>
    <w:p>
      <w:pPr>
        <w:ind w:left="540" w:hanging="424"/>
        <w:spacing w:after="0"/>
        <w:tabs>
          <w:tab w:leader="none" w:pos="540" w:val="left"/>
        </w:tabs>
        <w:numPr>
          <w:ilvl w:val="0"/>
          <w:numId w:val="2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Group had no current income tax expense for the six months ended June 30, 2021 and 2022, as the entities in the Group had no taxable income in the respective periods.</w:t>
      </w:r>
    </w:p>
    <w:p>
      <w:pPr>
        <w:spacing w:after="0" w:line="306" w:lineRule="exact"/>
        <w:rPr>
          <w:sz w:val="20"/>
          <w:szCs w:val="20"/>
          <w:color w:val="auto"/>
        </w:rPr>
      </w:pPr>
    </w:p>
    <w:p>
      <w:pPr>
        <w:ind w:left="540" w:hanging="424"/>
        <w:spacing w:after="0"/>
        <w:tabs>
          <w:tab w:leader="none" w:pos="540" w:val="left"/>
        </w:tabs>
        <w:numPr>
          <w:ilvl w:val="0"/>
          <w:numId w:val="2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Loss per ordinary share</w:t>
      </w:r>
    </w:p>
    <w:p>
      <w:pPr>
        <w:spacing w:after="0" w:line="131" w:lineRule="exact"/>
        <w:rPr>
          <w:sz w:val="20"/>
          <w:szCs w:val="20"/>
          <w:color w:val="auto"/>
        </w:rPr>
      </w:pPr>
    </w:p>
    <w:p>
      <w:pPr>
        <w:ind w:left="540" w:hanging="424"/>
        <w:spacing w:after="0"/>
        <w:tabs>
          <w:tab w:leader="none" w:pos="540" w:val="left"/>
        </w:tabs>
        <w:numPr>
          <w:ilvl w:val="0"/>
          <w:numId w:val="24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Basic loss per share</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calculation of basic loss per share has been based on the following loss attributable to ordinary equity shareholders of the Company and weighted-average number of ordinary shares outstanding.</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236"/>
        </w:trPr>
        <w:tc>
          <w:tcPr>
            <w:tcW w:w="3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w:t>
            </w:r>
          </w:p>
        </w:tc>
        <w:tc>
          <w:tcPr>
            <w:tcW w:w="7300" w:type="dxa"/>
            <w:vAlign w:val="bottom"/>
            <w:gridSpan w:val="2"/>
          </w:tcPr>
          <w:p>
            <w:pPr>
              <w:ind w:left="120"/>
              <w:spacing w:after="0"/>
              <w:rPr>
                <w:sz w:val="20"/>
                <w:szCs w:val="20"/>
                <w:color w:val="auto"/>
              </w:rPr>
            </w:pPr>
            <w:r>
              <w:rPr>
                <w:rFonts w:ascii="Times New Roman" w:cs="Times New Roman" w:eastAsia="Times New Roman" w:hAnsi="Times New Roman"/>
                <w:sz w:val="18"/>
                <w:szCs w:val="18"/>
                <w:i w:val="1"/>
                <w:iCs w:val="1"/>
                <w:color w:val="auto"/>
              </w:rPr>
              <w:t>Weighted average number of ordinary shares for the purpose of basic loss per share</w:t>
            </w:r>
          </w:p>
        </w:tc>
        <w:tc>
          <w:tcPr>
            <w:tcW w:w="10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92"/>
        </w:trPr>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2960" w:type="dxa"/>
            <w:vAlign w:val="bottom"/>
            <w:gridSpan w:val="4"/>
          </w:tcPr>
          <w:p>
            <w:pPr>
              <w:ind w:left="460"/>
              <w:spacing w:after="0"/>
              <w:rPr>
                <w:sz w:val="20"/>
                <w:szCs w:val="20"/>
                <w:color w:val="auto"/>
              </w:rPr>
            </w:pPr>
            <w:r>
              <w:rPr>
                <w:rFonts w:ascii="Times New Roman" w:cs="Times New Roman" w:eastAsia="Times New Roman" w:hAnsi="Times New Roman"/>
                <w:sz w:val="14"/>
                <w:szCs w:val="14"/>
                <w:i w:val="1"/>
                <w:iCs w:val="1"/>
                <w:color w:val="auto"/>
              </w:rPr>
              <w:t>For the six months ended June 30,</w:t>
            </w:r>
          </w:p>
        </w:tc>
      </w:tr>
      <w:tr>
        <w:trPr>
          <w:trHeight w:val="117"/>
        </w:trPr>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160" w:type="dxa"/>
            <w:vAlign w:val="bottom"/>
          </w:tcPr>
          <w:p>
            <w:pPr>
              <w:spacing w:after="0"/>
              <w:rPr>
                <w:sz w:val="10"/>
                <w:szCs w:val="10"/>
                <w:color w:val="auto"/>
              </w:rPr>
            </w:pPr>
          </w:p>
        </w:tc>
        <w:tc>
          <w:tcPr>
            <w:tcW w:w="1020" w:type="dxa"/>
            <w:vAlign w:val="bottom"/>
            <w:tcBorders>
              <w:top w:val="single" w:sz="8" w:color="auto"/>
            </w:tcBorders>
          </w:tcPr>
          <w:p>
            <w:pPr>
              <w:jc w:val="right"/>
              <w:ind w:right="279"/>
              <w:spacing w:after="0" w:line="118" w:lineRule="exact"/>
              <w:rPr>
                <w:sz w:val="20"/>
                <w:szCs w:val="20"/>
                <w:color w:val="auto"/>
              </w:rPr>
            </w:pPr>
            <w:r>
              <w:rPr>
                <w:rFonts w:ascii="Times New Roman" w:cs="Times New Roman" w:eastAsia="Times New Roman" w:hAnsi="Times New Roman"/>
                <w:sz w:val="13"/>
                <w:szCs w:val="13"/>
                <w:i w:val="1"/>
                <w:iCs w:val="1"/>
                <w:color w:val="auto"/>
              </w:rPr>
              <w:t>2021</w:t>
            </w:r>
          </w:p>
        </w:tc>
        <w:tc>
          <w:tcPr>
            <w:tcW w:w="8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ind w:right="297"/>
              <w:spacing w:after="0" w:line="118" w:lineRule="exact"/>
              <w:rPr>
                <w:sz w:val="20"/>
                <w:szCs w:val="20"/>
                <w:color w:val="auto"/>
              </w:rPr>
            </w:pPr>
            <w:r>
              <w:rPr>
                <w:rFonts w:ascii="Times New Roman" w:cs="Times New Roman" w:eastAsia="Times New Roman" w:hAnsi="Times New Roman"/>
                <w:sz w:val="13"/>
                <w:szCs w:val="13"/>
                <w:i w:val="1"/>
                <w:iCs w:val="1"/>
                <w:color w:val="auto"/>
              </w:rPr>
              <w:t>2022</w:t>
            </w:r>
          </w:p>
        </w:tc>
        <w:tc>
          <w:tcPr>
            <w:tcW w:w="40" w:type="dxa"/>
            <w:vAlign w:val="bottom"/>
          </w:tcPr>
          <w:p>
            <w:pPr>
              <w:spacing w:after="0"/>
              <w:rPr>
                <w:sz w:val="10"/>
                <w:szCs w:val="10"/>
                <w:color w:val="auto"/>
              </w:rPr>
            </w:pPr>
          </w:p>
        </w:tc>
      </w:tr>
      <w:tr>
        <w:trPr>
          <w:trHeight w:val="148"/>
        </w:trPr>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1880" w:type="dxa"/>
            <w:vAlign w:val="bottom"/>
            <w:gridSpan w:val="2"/>
          </w:tcPr>
          <w:p>
            <w:pPr>
              <w:jc w:val="right"/>
              <w:ind w:right="860"/>
              <w:spacing w:after="0" w:line="149" w:lineRule="exact"/>
              <w:rPr>
                <w:sz w:val="20"/>
                <w:szCs w:val="20"/>
                <w:color w:val="auto"/>
              </w:rPr>
            </w:pPr>
            <w:r>
              <w:rPr>
                <w:rFonts w:ascii="Times New Roman" w:cs="Times New Roman" w:eastAsia="Times New Roman" w:hAnsi="Times New Roman"/>
                <w:sz w:val="14"/>
                <w:szCs w:val="14"/>
                <w:i w:val="1"/>
                <w:iCs w:val="1"/>
                <w:color w:val="auto"/>
              </w:rPr>
              <w:t>Number of shares</w:t>
            </w:r>
          </w:p>
        </w:tc>
        <w:tc>
          <w:tcPr>
            <w:tcW w:w="10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i w:val="1"/>
                <w:iCs w:val="1"/>
                <w:color w:val="auto"/>
              </w:rPr>
              <w:t>Number of shares</w:t>
            </w:r>
          </w:p>
        </w:tc>
      </w:tr>
      <w:tr>
        <w:trPr>
          <w:trHeight w:val="173"/>
        </w:trPr>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160" w:type="dxa"/>
            <w:vAlign w:val="bottom"/>
          </w:tcPr>
          <w:p>
            <w:pPr>
              <w:spacing w:after="0"/>
              <w:rPr>
                <w:sz w:val="15"/>
                <w:szCs w:val="15"/>
                <w:color w:val="auto"/>
              </w:rPr>
            </w:pPr>
          </w:p>
        </w:tc>
        <w:tc>
          <w:tcPr>
            <w:tcW w:w="1880" w:type="dxa"/>
            <w:vAlign w:val="bottom"/>
            <w:gridSpan w:val="2"/>
          </w:tcPr>
          <w:p>
            <w:pPr>
              <w:jc w:val="center"/>
              <w:ind w:right="860"/>
              <w:spacing w:after="0"/>
              <w:rPr>
                <w:sz w:val="20"/>
                <w:szCs w:val="20"/>
                <w:color w:val="auto"/>
              </w:rPr>
            </w:pPr>
            <w:r>
              <w:rPr>
                <w:rFonts w:ascii="Times New Roman" w:cs="Times New Roman" w:eastAsia="Times New Roman" w:hAnsi="Times New Roman"/>
                <w:sz w:val="14"/>
                <w:szCs w:val="14"/>
                <w:i w:val="1"/>
                <w:iCs w:val="1"/>
                <w:color w:val="auto"/>
              </w:rPr>
              <w:t>(in’000)</w:t>
            </w:r>
          </w:p>
        </w:tc>
        <w:tc>
          <w:tcPr>
            <w:tcW w:w="10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i w:val="1"/>
                <w:iCs w:val="1"/>
                <w:color w:val="auto"/>
              </w:rPr>
              <w:t>(in’000)</w:t>
            </w:r>
          </w:p>
        </w:tc>
      </w:tr>
      <w:tr>
        <w:trPr>
          <w:trHeight w:val="198"/>
        </w:trPr>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Issued ordinary shares and ordinary shares deemed to be in issue at the beginning of the</w:t>
            </w:r>
          </w:p>
        </w:tc>
        <w:tc>
          <w:tcPr>
            <w:tcW w:w="10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4"/>
        </w:trPr>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period*</w:t>
            </w:r>
          </w:p>
        </w:tc>
        <w:tc>
          <w:tcPr>
            <w:tcW w:w="188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229,059</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229,845</w:t>
            </w:r>
          </w:p>
        </w:tc>
      </w:tr>
      <w:tr>
        <w:trPr>
          <w:trHeight w:val="216"/>
        </w:trPr>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Effect of ordinary shares issued</w:t>
            </w:r>
          </w:p>
        </w:tc>
        <w:tc>
          <w:tcPr>
            <w:tcW w:w="188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25</w:t>
            </w: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ordinary shares repurchased</w:t>
            </w:r>
          </w:p>
        </w:tc>
        <w:tc>
          <w:tcPr>
            <w:tcW w:w="18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(1,225)</w:t>
            </w: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Effect of ordinary shares cancelled</w:t>
            </w:r>
          </w:p>
        </w:tc>
        <w:tc>
          <w:tcPr>
            <w:tcW w:w="18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(2,631)</w:t>
            </w: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ordinary shares and ordinary shares deemed to be in issue</w:t>
            </w:r>
          </w:p>
        </w:tc>
        <w:tc>
          <w:tcPr>
            <w:tcW w:w="1020" w:type="dxa"/>
            <w:vAlign w:val="bottom"/>
            <w:tcBorders>
              <w:top w:val="single" w:sz="8" w:color="auto"/>
            </w:tcBorders>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4"/>
        </w:trPr>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 the period</w:t>
            </w:r>
          </w:p>
        </w:tc>
        <w:tc>
          <w:tcPr>
            <w:tcW w:w="188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225,228</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229,845</w:t>
            </w:r>
          </w:p>
        </w:tc>
      </w:tr>
      <w:tr>
        <w:trPr>
          <w:trHeight w:val="20"/>
        </w:trPr>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w:t>
      </w:r>
    </w:p>
    <w:p>
      <w:pPr>
        <w:spacing w:after="0" w:line="252" w:lineRule="exact"/>
        <w:rPr>
          <w:sz w:val="20"/>
          <w:szCs w:val="20"/>
          <w:color w:val="auto"/>
        </w:rPr>
      </w:pPr>
    </w:p>
    <w:p>
      <w:pPr>
        <w:ind w:left="340" w:right="280" w:hanging="224"/>
        <w:spacing w:after="0" w:line="282" w:lineRule="auto"/>
        <w:tabs>
          <w:tab w:leader="none" w:pos="34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deemed to be in issue represent the vested restricted shares granted to qualified directors and employees, which are issuable subject only to the passage of time.</w:t>
      </w:r>
    </w:p>
    <w:p>
      <w:pPr>
        <w:spacing w:after="0" w:line="187"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i w:val="1"/>
          <w:iCs w:val="1"/>
          <w:color w:val="auto"/>
        </w:rPr>
        <w:t>(ii)</w:t>
        <w:tab/>
        <w:t>Calculations of basic loss per share</w:t>
      </w:r>
    </w:p>
    <w:p>
      <w:pPr>
        <w:spacing w:after="0" w:line="248"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480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248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i w:val="1"/>
                <w:iCs w:val="1"/>
                <w:color w:val="auto"/>
              </w:rPr>
              <w:t>For the six months ended June 30,</w:t>
            </w:r>
          </w:p>
        </w:tc>
        <w:tc>
          <w:tcPr>
            <w:tcW w:w="0" w:type="dxa"/>
            <w:vAlign w:val="bottom"/>
          </w:tcPr>
          <w:p>
            <w:pPr>
              <w:spacing w:after="0"/>
              <w:rPr>
                <w:sz w:val="1"/>
                <w:szCs w:val="1"/>
                <w:color w:val="auto"/>
              </w:rPr>
            </w:pPr>
          </w:p>
        </w:tc>
      </w:tr>
      <w:tr>
        <w:trPr>
          <w:trHeight w:val="142"/>
        </w:trPr>
        <w:tc>
          <w:tcPr>
            <w:tcW w:w="480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860" w:type="dxa"/>
            <w:vAlign w:val="bottom"/>
            <w:tcBorders>
              <w:top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i w:val="1"/>
                <w:iCs w:val="1"/>
                <w:color w:val="auto"/>
              </w:rPr>
              <w:t>2021</w:t>
            </w:r>
          </w:p>
        </w:tc>
        <w:tc>
          <w:tcPr>
            <w:tcW w:w="6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i w:val="1"/>
                <w:i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8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Loss attributable to ordinary equity shareholders of the Company</w:t>
            </w:r>
          </w:p>
        </w:tc>
        <w:tc>
          <w:tcPr>
            <w:tcW w:w="28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 RMB’000)</w:t>
            </w:r>
          </w:p>
        </w:tc>
        <w:tc>
          <w:tcPr>
            <w:tcW w:w="284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(546,996)</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(657,885)</w:t>
            </w: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 in issue (in’000)</w:t>
            </w:r>
          </w:p>
        </w:tc>
        <w:tc>
          <w:tcPr>
            <w:tcW w:w="28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vMerge w:val="continue"/>
          </w:tcPr>
          <w:p>
            <w:pPr>
              <w:spacing w:after="0"/>
              <w:rPr>
                <w:sz w:val="18"/>
                <w:szCs w:val="18"/>
                <w:color w:val="auto"/>
              </w:rPr>
            </w:pPr>
          </w:p>
        </w:tc>
        <w:tc>
          <w:tcPr>
            <w:tcW w:w="284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225,228</w:t>
            </w:r>
          </w:p>
        </w:tc>
        <w:tc>
          <w:tcPr>
            <w:tcW w:w="6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229,845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loss per share (in RMB)</w:t>
            </w:r>
          </w:p>
        </w:tc>
        <w:tc>
          <w:tcPr>
            <w:tcW w:w="28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(2.43)</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800" w:type="dxa"/>
            <w:vAlign w:val="bottom"/>
          </w:tcPr>
          <w:p>
            <w:pPr>
              <w:spacing w:after="0"/>
              <w:rPr>
                <w:sz w:val="24"/>
                <w:szCs w:val="24"/>
                <w:color w:val="auto"/>
              </w:rPr>
            </w:pPr>
          </w:p>
        </w:tc>
        <w:tc>
          <w:tcPr>
            <w:tcW w:w="4320" w:type="dxa"/>
            <w:vAlign w:val="bottom"/>
            <w:gridSpan w:val="3"/>
          </w:tcPr>
          <w:p>
            <w:pPr>
              <w:jc w:val="right"/>
              <w:ind w:right="3880"/>
              <w:spacing w:after="0"/>
              <w:rPr>
                <w:sz w:val="20"/>
                <w:szCs w:val="20"/>
                <w:color w:val="auto"/>
              </w:rPr>
            </w:pPr>
            <w:r>
              <w:rPr>
                <w:rFonts w:ascii="Times New Roman" w:cs="Times New Roman" w:eastAsia="Times New Roman" w:hAnsi="Times New Roman"/>
                <w:sz w:val="18"/>
                <w:szCs w:val="18"/>
                <w:color w:val="auto"/>
              </w:rPr>
              <w:t>F-84</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20" w:top="455" w:right="599" w:bottom="1440" w:gutter="0" w:footer="0" w:header="0"/>
        </w:sectPr>
      </w:pPr>
    </w:p>
    <w:bookmarkStart w:id="337" w:name="page338"/>
    <w:bookmarkEnd w:id="3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24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Diluted loss per share</w:t>
      </w:r>
    </w:p>
    <w:p>
      <w:pPr>
        <w:spacing w:after="0" w:line="121"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Diluted loss per share is calculated by adjusting the weighted average number of ordinary shares outstanding to assume conversion of all potential dilutive ordinary shares.</w:t>
      </w:r>
    </w:p>
    <w:p>
      <w:pPr>
        <w:spacing w:after="0" w:line="162"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There was no difference between basic and diluted loss per share during the six months ended June 30, 2021 and 2022 as the unvested restricted share units and share options (Note 19) and preferred shares and other financial instruments subject to redemption and other preferential rights issued by the Company were not potential dilutive ordinary shares as the effect would be anti-dilutive.</w:t>
      </w:r>
    </w:p>
    <w:p>
      <w:pPr>
        <w:spacing w:after="0" w:line="320" w:lineRule="exact"/>
        <w:rPr>
          <w:sz w:val="20"/>
          <w:szCs w:val="20"/>
          <w:color w:val="auto"/>
        </w:rPr>
      </w:pPr>
    </w:p>
    <w:p>
      <w:pPr>
        <w:ind w:left="540" w:hanging="424"/>
        <w:spacing w:after="0"/>
        <w:tabs>
          <w:tab w:leader="none" w:pos="540" w:val="left"/>
        </w:tabs>
        <w:numPr>
          <w:ilvl w:val="0"/>
          <w:numId w:val="2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2022, the Group incurred capital expenditure on property and equipment with a cost of RMB32.9 million (six months ended June 30, 2021: RMB5.8 million). Items of property and equipment with a net book value of RMB1.2 million were disposed of during the six months ended June 30, 2022 (six months ended June 30, 2021: nil).</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Prepayments for property and equipment are presented as “other non-current assets” in the condensed consolidated statements of financial position.</w:t>
      </w:r>
    </w:p>
    <w:p>
      <w:pPr>
        <w:spacing w:after="0" w:line="370"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10</w:t>
        <w:tab/>
        <w:t>Right-of-use assets</w:t>
      </w:r>
    </w:p>
    <w:p>
      <w:pPr>
        <w:spacing w:after="0" w:line="121"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2022, the Group did not enter into any new lease agreement for use of buildings, motor vehicles and therefore recognized nil addition to right-of-use assets (six months ended June 30, 2021: RMB2.3 million).</w:t>
      </w:r>
    </w:p>
    <w:p>
      <w:pPr>
        <w:spacing w:after="0" w:line="306"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77"/>
              </w:rPr>
              <w:t>11</w:t>
            </w:r>
          </w:p>
        </w:tc>
        <w:tc>
          <w:tcPr>
            <w:tcW w:w="59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Restricted Cash</w:t>
            </w:r>
          </w:p>
        </w:tc>
        <w:tc>
          <w:tcPr>
            <w:tcW w:w="1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67"/>
        </w:trPr>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20" w:type="dxa"/>
            <w:vAlign w:val="bottom"/>
          </w:tcPr>
          <w:p>
            <w:pPr>
              <w:jc w:val="right"/>
              <w:ind w:right="202"/>
              <w:spacing w:after="0"/>
              <w:rPr>
                <w:sz w:val="20"/>
                <w:szCs w:val="20"/>
                <w:color w:val="auto"/>
              </w:rPr>
            </w:pPr>
            <w:r>
              <w:rPr>
                <w:rFonts w:ascii="Times New Roman" w:cs="Times New Roman" w:eastAsia="Times New Roman" w:hAnsi="Times New Roman"/>
                <w:sz w:val="14"/>
                <w:szCs w:val="14"/>
                <w:i w:val="1"/>
                <w:iCs w:val="1"/>
                <w:color w:val="auto"/>
              </w:rPr>
              <w:t>As of</w:t>
            </w:r>
          </w:p>
        </w:tc>
        <w:tc>
          <w:tcPr>
            <w:tcW w:w="580" w:type="dxa"/>
            <w:vAlign w:val="bottom"/>
          </w:tcPr>
          <w:p>
            <w:pPr>
              <w:spacing w:after="0"/>
              <w:rPr>
                <w:sz w:val="24"/>
                <w:szCs w:val="24"/>
                <w:color w:val="auto"/>
              </w:rPr>
            </w:pPr>
          </w:p>
        </w:tc>
        <w:tc>
          <w:tcPr>
            <w:tcW w:w="6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i w:val="1"/>
                <w:iCs w:val="1"/>
                <w:color w:val="auto"/>
                <w:w w:val="98"/>
              </w:rPr>
              <w:t>As of</w:t>
            </w:r>
          </w:p>
        </w:tc>
      </w:tr>
      <w:tr>
        <w:trPr>
          <w:trHeight w:val="149"/>
        </w:trPr>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2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i w:val="1"/>
                <w:iCs w:val="1"/>
                <w:color w:val="auto"/>
              </w:rPr>
              <w:t>December 31,</w:t>
            </w:r>
          </w:p>
        </w:tc>
        <w:tc>
          <w:tcPr>
            <w:tcW w:w="58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i w:val="1"/>
                <w:iCs w:val="1"/>
                <w:color w:val="auto"/>
              </w:rPr>
              <w:t>June 30,</w:t>
            </w:r>
          </w:p>
        </w:tc>
      </w:tr>
      <w:tr>
        <w:trPr>
          <w:trHeight w:val="173"/>
        </w:trPr>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2700" w:type="dxa"/>
            <w:vAlign w:val="bottom"/>
            <w:gridSpan w:val="2"/>
          </w:tcPr>
          <w:p>
            <w:pPr>
              <w:jc w:val="right"/>
              <w:ind w:right="202"/>
              <w:spacing w:after="0"/>
              <w:rPr>
                <w:sz w:val="20"/>
                <w:szCs w:val="20"/>
                <w:color w:val="auto"/>
              </w:rPr>
            </w:pPr>
            <w:r>
              <w:rPr>
                <w:rFonts w:ascii="Times New Roman" w:cs="Times New Roman" w:eastAsia="Times New Roman" w:hAnsi="Times New Roman"/>
                <w:sz w:val="14"/>
                <w:szCs w:val="14"/>
                <w:i w:val="1"/>
                <w:iCs w:val="1"/>
                <w:color w:val="auto"/>
              </w:rPr>
              <w:t>2021</w:t>
            </w:r>
          </w:p>
        </w:tc>
        <w:tc>
          <w:tcPr>
            <w:tcW w:w="1180" w:type="dxa"/>
            <w:vAlign w:val="bottom"/>
            <w:gridSpan w:val="2"/>
          </w:tcPr>
          <w:p>
            <w:pPr>
              <w:jc w:val="center"/>
              <w:ind w:left="494"/>
              <w:spacing w:after="0"/>
              <w:rPr>
                <w:sz w:val="20"/>
                <w:szCs w:val="20"/>
                <w:color w:val="auto"/>
              </w:rPr>
            </w:pPr>
            <w:r>
              <w:rPr>
                <w:rFonts w:ascii="Times New Roman" w:cs="Times New Roman" w:eastAsia="Times New Roman" w:hAnsi="Times New Roman"/>
                <w:sz w:val="14"/>
                <w:szCs w:val="14"/>
                <w:i w:val="1"/>
                <w:iCs w:val="1"/>
                <w:color w:val="auto"/>
                <w:w w:val="99"/>
              </w:rPr>
              <w:t>2022</w:t>
            </w:r>
          </w:p>
        </w:tc>
        <w:tc>
          <w:tcPr>
            <w:tcW w:w="60" w:type="dxa"/>
            <w:vAlign w:val="bottom"/>
          </w:tcPr>
          <w:p>
            <w:pPr>
              <w:spacing w:after="0"/>
              <w:rPr>
                <w:sz w:val="15"/>
                <w:szCs w:val="15"/>
                <w:color w:val="auto"/>
              </w:rPr>
            </w:pPr>
          </w:p>
        </w:tc>
      </w:tr>
      <w:tr>
        <w:trPr>
          <w:trHeight w:val="142"/>
        </w:trPr>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580" w:type="dxa"/>
            <w:vAlign w:val="bottom"/>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8"/>
              </w:rPr>
              <w:t>RMB’000</w:t>
            </w:r>
          </w:p>
        </w:tc>
        <w:tc>
          <w:tcPr>
            <w:tcW w:w="60" w:type="dxa"/>
            <w:vAlign w:val="bottom"/>
          </w:tcPr>
          <w:p>
            <w:pPr>
              <w:spacing w:after="0"/>
              <w:rPr>
                <w:sz w:val="12"/>
                <w:szCs w:val="12"/>
                <w:color w:val="auto"/>
              </w:rPr>
            </w:pPr>
          </w:p>
        </w:tc>
      </w:tr>
      <w:tr>
        <w:trPr>
          <w:trHeight w:val="216"/>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18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Deposits for renting office (Note (i))</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10,074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10,604</w:t>
            </w:r>
          </w:p>
        </w:tc>
        <w:tc>
          <w:tcPr>
            <w:tcW w:w="60" w:type="dxa"/>
            <w:vAlign w:val="bottom"/>
          </w:tcPr>
          <w:p>
            <w:pPr>
              <w:spacing w:after="0"/>
              <w:rPr>
                <w:sz w:val="18"/>
                <w:szCs w:val="18"/>
                <w:color w:val="auto"/>
              </w:rPr>
            </w:pPr>
          </w:p>
        </w:tc>
      </w:tr>
      <w:tr>
        <w:trPr>
          <w:trHeight w:val="20"/>
        </w:trPr>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8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Deposits for renting office</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6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card deposits</w:t>
            </w:r>
          </w:p>
        </w:tc>
        <w:tc>
          <w:tcPr>
            <w:tcW w:w="2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60" w:type="dxa"/>
            <w:vAlign w:val="bottom"/>
            <w:shd w:val="clear" w:color="auto" w:fill="CCEEFF"/>
          </w:tcPr>
          <w:p>
            <w:pPr>
              <w:spacing w:after="0"/>
              <w:rPr>
                <w:sz w:val="18"/>
                <w:szCs w:val="18"/>
                <w:color w:val="auto"/>
              </w:rPr>
            </w:pPr>
          </w:p>
        </w:tc>
      </w:tr>
      <w:tr>
        <w:trPr>
          <w:trHeight w:val="223"/>
        </w:trPr>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Deposits to secure the performance of contracts</w:t>
            </w:r>
          </w:p>
        </w:tc>
        <w:tc>
          <w:tcPr>
            <w:tcW w:w="1880" w:type="dxa"/>
            <w:vAlign w:val="bottom"/>
          </w:tcPr>
          <w:p>
            <w:pPr>
              <w:spacing w:after="0"/>
              <w:rPr>
                <w:sz w:val="19"/>
                <w:szCs w:val="19"/>
                <w:color w:val="auto"/>
              </w:rPr>
            </w:pPr>
          </w:p>
        </w:tc>
        <w:tc>
          <w:tcPr>
            <w:tcW w:w="82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60" w:type="dxa"/>
            <w:vAlign w:val="bottom"/>
          </w:tcPr>
          <w:p>
            <w:pPr>
              <w:spacing w:after="0"/>
              <w:rPr>
                <w:sz w:val="19"/>
                <w:szCs w:val="19"/>
                <w:color w:val="auto"/>
              </w:rPr>
            </w:pPr>
          </w:p>
        </w:tc>
      </w:tr>
      <w:tr>
        <w:trPr>
          <w:trHeight w:val="216"/>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4,471</w:t>
            </w:r>
          </w:p>
        </w:tc>
        <w:tc>
          <w:tcPr>
            <w:tcW w:w="60" w:type="dxa"/>
            <w:vAlign w:val="bottom"/>
            <w:shd w:val="clear" w:color="auto" w:fill="CCEEFF"/>
          </w:tcPr>
          <w:p>
            <w:pPr>
              <w:spacing w:after="0"/>
              <w:rPr>
                <w:sz w:val="18"/>
                <w:szCs w:val="18"/>
                <w:color w:val="auto"/>
              </w:rPr>
            </w:pPr>
          </w:p>
        </w:tc>
      </w:tr>
      <w:tr>
        <w:trPr>
          <w:trHeight w:val="20"/>
        </w:trPr>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w:t>
      </w:r>
    </w:p>
    <w:p>
      <w:pPr>
        <w:spacing w:after="0" w:line="27" w:lineRule="exact"/>
        <w:rPr>
          <w:sz w:val="20"/>
          <w:szCs w:val="20"/>
          <w:color w:val="auto"/>
        </w:rPr>
      </w:pPr>
    </w:p>
    <w:p>
      <w:pPr>
        <w:ind w:left="660" w:hanging="544"/>
        <w:spacing w:after="0"/>
        <w:tabs>
          <w:tab w:leader="none" w:pos="66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 for renting office represents cash held in collateral bank accounts in the U.S. with designated usage of deposit for renting office.</w:t>
      </w:r>
    </w:p>
    <w:p>
      <w:pPr>
        <w:spacing w:after="0" w:line="139" w:lineRule="exact"/>
        <w:rPr>
          <w:rFonts w:ascii="Times New Roman" w:cs="Times New Roman" w:eastAsia="Times New Roman" w:hAnsi="Times New Roman"/>
          <w:sz w:val="18"/>
          <w:szCs w:val="18"/>
          <w:color w:val="auto"/>
        </w:rPr>
      </w:pPr>
    </w:p>
    <w:p>
      <w:pPr>
        <w:ind w:left="5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F-85</w:t>
      </w:r>
    </w:p>
    <w:p>
      <w:pPr>
        <w:sectPr>
          <w:pgSz w:w="11900" w:h="16838" w:orient="portrait"/>
          <w:cols w:equalWidth="0" w:num="1">
            <w:col w:w="11040"/>
          </w:cols>
          <w:pgMar w:left="320" w:top="455" w:right="539" w:bottom="1440" w:gutter="0" w:footer="0" w:header="0"/>
        </w:sectPr>
      </w:pPr>
    </w:p>
    <w:bookmarkStart w:id="338" w:name="page339"/>
    <w:bookmarkEnd w:id="3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w:t>
            </w:r>
          </w:p>
        </w:tc>
        <w:tc>
          <w:tcPr>
            <w:tcW w:w="77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38"/>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w:t>
            </w:r>
          </w:p>
        </w:tc>
        <w:tc>
          <w:tcPr>
            <w:tcW w:w="77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Inventories comprise:</w:t>
            </w: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67"/>
        </w:trPr>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860" w:type="dxa"/>
            <w:vAlign w:val="bottom"/>
          </w:tcPr>
          <w:p>
            <w:pPr>
              <w:jc w:val="right"/>
              <w:ind w:right="200"/>
              <w:spacing w:after="0"/>
              <w:rPr>
                <w:sz w:val="20"/>
                <w:szCs w:val="20"/>
                <w:color w:val="auto"/>
              </w:rPr>
            </w:pPr>
            <w:r>
              <w:rPr>
                <w:rFonts w:ascii="Times New Roman" w:cs="Times New Roman" w:eastAsia="Times New Roman" w:hAnsi="Times New Roman"/>
                <w:sz w:val="14"/>
                <w:szCs w:val="14"/>
                <w:i w:val="1"/>
                <w:iCs w:val="1"/>
                <w:color w:val="auto"/>
              </w:rPr>
              <w:t>As of</w:t>
            </w:r>
          </w:p>
        </w:tc>
        <w:tc>
          <w:tcPr>
            <w:tcW w:w="420" w:type="dxa"/>
            <w:vAlign w:val="bottom"/>
          </w:tcPr>
          <w:p>
            <w:pPr>
              <w:spacing w:after="0"/>
              <w:rPr>
                <w:sz w:val="24"/>
                <w:szCs w:val="24"/>
                <w:color w:val="auto"/>
              </w:rPr>
            </w:pP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i w:val="1"/>
                <w:iCs w:val="1"/>
                <w:color w:val="auto"/>
              </w:rPr>
              <w:t>As of</w:t>
            </w:r>
          </w:p>
        </w:tc>
      </w:tr>
      <w:tr>
        <w:trPr>
          <w:trHeight w:val="148"/>
        </w:trPr>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i w:val="1"/>
                <w:iCs w:val="1"/>
                <w:color w:val="auto"/>
              </w:rPr>
              <w:t>December 31,</w:t>
            </w:r>
          </w:p>
        </w:tc>
        <w:tc>
          <w:tcPr>
            <w:tcW w:w="42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i w:val="1"/>
                <w:iCs w:val="1"/>
                <w:color w:val="auto"/>
              </w:rPr>
              <w:t>June 30,</w:t>
            </w:r>
          </w:p>
        </w:tc>
      </w:tr>
      <w:tr>
        <w:trPr>
          <w:trHeight w:val="173"/>
        </w:trPr>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0" w:type="dxa"/>
            <w:vAlign w:val="bottom"/>
          </w:tcPr>
          <w:p>
            <w:pPr>
              <w:spacing w:after="0"/>
              <w:rPr>
                <w:sz w:val="15"/>
                <w:szCs w:val="15"/>
                <w:color w:val="auto"/>
              </w:rPr>
            </w:pPr>
          </w:p>
        </w:tc>
        <w:tc>
          <w:tcPr>
            <w:tcW w:w="860" w:type="dxa"/>
            <w:vAlign w:val="bottom"/>
          </w:tcPr>
          <w:p>
            <w:pPr>
              <w:jc w:val="right"/>
              <w:ind w:right="200"/>
              <w:spacing w:after="0"/>
              <w:rPr>
                <w:sz w:val="20"/>
                <w:szCs w:val="20"/>
                <w:color w:val="auto"/>
              </w:rPr>
            </w:pPr>
            <w:r>
              <w:rPr>
                <w:rFonts w:ascii="Times New Roman" w:cs="Times New Roman" w:eastAsia="Times New Roman" w:hAnsi="Times New Roman"/>
                <w:sz w:val="14"/>
                <w:szCs w:val="14"/>
                <w:i w:val="1"/>
                <w:iCs w:val="1"/>
                <w:color w:val="auto"/>
              </w:rPr>
              <w:t>2021</w:t>
            </w:r>
          </w:p>
        </w:tc>
        <w:tc>
          <w:tcPr>
            <w:tcW w:w="1120" w:type="dxa"/>
            <w:vAlign w:val="bottom"/>
            <w:gridSpan w:val="2"/>
          </w:tcPr>
          <w:p>
            <w:pPr>
              <w:jc w:val="right"/>
              <w:ind w:right="124"/>
              <w:spacing w:after="0"/>
              <w:rPr>
                <w:sz w:val="20"/>
                <w:szCs w:val="20"/>
                <w:color w:val="auto"/>
              </w:rPr>
            </w:pPr>
            <w:r>
              <w:rPr>
                <w:rFonts w:ascii="Times New Roman" w:cs="Times New Roman" w:eastAsia="Times New Roman" w:hAnsi="Times New Roman"/>
                <w:sz w:val="14"/>
                <w:szCs w:val="14"/>
                <w:i w:val="1"/>
                <w:iCs w:val="1"/>
                <w:color w:val="auto"/>
              </w:rPr>
              <w:t>2022</w:t>
            </w:r>
          </w:p>
        </w:tc>
        <w:tc>
          <w:tcPr>
            <w:tcW w:w="80" w:type="dxa"/>
            <w:vAlign w:val="bottom"/>
          </w:tcPr>
          <w:p>
            <w:pPr>
              <w:spacing w:after="0"/>
              <w:rPr>
                <w:sz w:val="15"/>
                <w:szCs w:val="15"/>
                <w:color w:val="auto"/>
              </w:rPr>
            </w:pPr>
          </w:p>
        </w:tc>
      </w:tr>
      <w:tr>
        <w:trPr>
          <w:trHeight w:val="142"/>
        </w:trPr>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42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80" w:type="dxa"/>
            <w:vAlign w:val="bottom"/>
          </w:tcPr>
          <w:p>
            <w:pPr>
              <w:spacing w:after="0"/>
              <w:rPr>
                <w:sz w:val="12"/>
                <w:szCs w:val="12"/>
                <w:color w:val="auto"/>
              </w:rPr>
            </w:pPr>
          </w:p>
        </w:tc>
      </w:tr>
      <w:tr>
        <w:trPr>
          <w:trHeight w:val="216"/>
        </w:trPr>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supplies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66,283</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91,070</w:t>
            </w:r>
          </w:p>
        </w:tc>
        <w:tc>
          <w:tcPr>
            <w:tcW w:w="80" w:type="dxa"/>
            <w:vAlign w:val="bottom"/>
            <w:shd w:val="clear" w:color="auto" w:fill="CCEEFF"/>
          </w:tcPr>
          <w:p>
            <w:pPr>
              <w:spacing w:after="0"/>
              <w:rPr>
                <w:sz w:val="18"/>
                <w:szCs w:val="18"/>
                <w:color w:val="auto"/>
              </w:rPr>
            </w:pPr>
          </w:p>
        </w:tc>
      </w:tr>
      <w:tr>
        <w:trPr>
          <w:trHeight w:val="223"/>
        </w:trPr>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48,270</w:t>
            </w:r>
          </w:p>
        </w:tc>
        <w:tc>
          <w:tcPr>
            <w:tcW w:w="4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87,128</w:t>
            </w:r>
          </w:p>
        </w:tc>
        <w:tc>
          <w:tcPr>
            <w:tcW w:w="80" w:type="dxa"/>
            <w:vAlign w:val="bottom"/>
          </w:tcPr>
          <w:p>
            <w:pPr>
              <w:spacing w:after="0"/>
              <w:rPr>
                <w:sz w:val="19"/>
                <w:szCs w:val="19"/>
                <w:color w:val="auto"/>
              </w:rPr>
            </w:pPr>
          </w:p>
        </w:tc>
      </w:tr>
      <w:tr>
        <w:trPr>
          <w:trHeight w:val="216"/>
        </w:trPr>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114,553</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178,198</w:t>
            </w:r>
          </w:p>
        </w:tc>
        <w:tc>
          <w:tcPr>
            <w:tcW w:w="80" w:type="dxa"/>
            <w:vAlign w:val="bottom"/>
            <w:shd w:val="clear" w:color="auto" w:fill="CCEEFF"/>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40" w:hanging="4"/>
        <w:spacing w:after="0" w:line="282" w:lineRule="auto"/>
        <w:tabs>
          <w:tab w:leader="none" w:pos="255"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RMB40.7 million and RMB36.1 million of sensor suites transferred and held by Zhengzhou Yutong Bus Co., Ltd. and Zhengzhou Yutong Heavy Industry Co., Ltd., affiliates of a shareholder, are included in inventories as of December 31, 2021 and June 30, 2022, respectively.</w:t>
      </w:r>
    </w:p>
    <w:p>
      <w:pPr>
        <w:spacing w:after="0" w:line="306" w:lineRule="exact"/>
        <w:rPr>
          <w:sz w:val="20"/>
          <w:szCs w:val="20"/>
          <w:color w:val="auto"/>
        </w:rPr>
      </w:pPr>
    </w:p>
    <w:p>
      <w:pPr>
        <w:ind w:left="540" w:hanging="424"/>
        <w:spacing w:after="0"/>
        <w:tabs>
          <w:tab w:leader="none" w:pos="540" w:val="left"/>
        </w:tabs>
        <w:numPr>
          <w:ilvl w:val="0"/>
          <w:numId w:val="25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The analysis of the amount of inventories recognized as an expense and included in profit or loss is as follows: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580" w:type="dxa"/>
            <w:vAlign w:val="bottom"/>
          </w:tcPr>
          <w:p>
            <w:pPr>
              <w:spacing w:after="0"/>
              <w:rPr>
                <w:sz w:val="15"/>
                <w:szCs w:val="15"/>
                <w:color w:val="auto"/>
              </w:rPr>
            </w:pPr>
          </w:p>
        </w:tc>
        <w:tc>
          <w:tcPr>
            <w:tcW w:w="3000" w:type="dxa"/>
            <w:vAlign w:val="bottom"/>
            <w:gridSpan w:val="11"/>
          </w:tcPr>
          <w:p>
            <w:pPr>
              <w:jc w:val="right"/>
              <w:ind w:right="780"/>
              <w:spacing w:after="0"/>
              <w:rPr>
                <w:sz w:val="20"/>
                <w:szCs w:val="20"/>
                <w:color w:val="auto"/>
              </w:rPr>
            </w:pPr>
            <w:r>
              <w:rPr>
                <w:rFonts w:ascii="Times New Roman" w:cs="Times New Roman" w:eastAsia="Times New Roman" w:hAnsi="Times New Roman"/>
                <w:sz w:val="14"/>
                <w:szCs w:val="14"/>
                <w:i w:val="1"/>
                <w:iCs w:val="1"/>
                <w:color w:val="auto"/>
              </w:rPr>
              <w:t>For the six months ended June 30</w:t>
            </w:r>
          </w:p>
        </w:tc>
        <w:tc>
          <w:tcPr>
            <w:tcW w:w="0" w:type="dxa"/>
            <w:vAlign w:val="bottom"/>
          </w:tcPr>
          <w:p>
            <w:pPr>
              <w:spacing w:after="0"/>
              <w:rPr>
                <w:sz w:val="1"/>
                <w:szCs w:val="1"/>
                <w:color w:val="auto"/>
              </w:rPr>
            </w:pPr>
          </w:p>
        </w:tc>
      </w:tr>
      <w:tr>
        <w:trPr>
          <w:trHeight w:val="119"/>
        </w:trPr>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580" w:type="dxa"/>
            <w:vAlign w:val="bottom"/>
          </w:tcPr>
          <w:p>
            <w:pPr>
              <w:spacing w:after="0"/>
              <w:rPr>
                <w:sz w:val="10"/>
                <w:szCs w:val="10"/>
                <w:color w:val="auto"/>
              </w:rPr>
            </w:pPr>
          </w:p>
        </w:tc>
        <w:tc>
          <w:tcPr>
            <w:tcW w:w="860" w:type="dxa"/>
            <w:vAlign w:val="bottom"/>
            <w:tcBorders>
              <w:top w:val="single" w:sz="8" w:color="auto"/>
            </w:tcBorders>
          </w:tcPr>
          <w:p>
            <w:pPr>
              <w:jc w:val="right"/>
              <w:ind w:right="205"/>
              <w:spacing w:after="0" w:line="119" w:lineRule="exact"/>
              <w:rPr>
                <w:sz w:val="20"/>
                <w:szCs w:val="20"/>
                <w:color w:val="auto"/>
              </w:rPr>
            </w:pPr>
            <w:r>
              <w:rPr>
                <w:rFonts w:ascii="Times New Roman" w:cs="Times New Roman" w:eastAsia="Times New Roman" w:hAnsi="Times New Roman"/>
                <w:sz w:val="13"/>
                <w:szCs w:val="13"/>
                <w:i w:val="1"/>
                <w:iCs w:val="1"/>
                <w:color w:val="auto"/>
              </w:rPr>
              <w:t>2021</w:t>
            </w: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i w:val="1"/>
                <w:iCs w:val="1"/>
                <w:color w:val="auto"/>
              </w:rPr>
              <w:t>2022</w:t>
            </w:r>
          </w:p>
        </w:tc>
        <w:tc>
          <w:tcPr>
            <w:tcW w:w="2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RMB’000</w:t>
            </w:r>
          </w:p>
        </w:tc>
        <w:tc>
          <w:tcPr>
            <w:tcW w:w="600" w:type="dxa"/>
            <w:vAlign w:val="bottom"/>
          </w:tcPr>
          <w:p>
            <w:pPr>
              <w:spacing w:after="0"/>
              <w:rPr>
                <w:sz w:val="14"/>
                <w:szCs w:val="14"/>
                <w:color w:val="auto"/>
              </w:rPr>
            </w:pPr>
          </w:p>
        </w:tc>
        <w:tc>
          <w:tcPr>
            <w:tcW w:w="1400" w:type="dxa"/>
            <w:vAlign w:val="bottom"/>
            <w:gridSpan w:val="8"/>
          </w:tcPr>
          <w:p>
            <w:pPr>
              <w:jc w:val="center"/>
              <w:ind w:right="500"/>
              <w:spacing w:after="0"/>
              <w:rPr>
                <w:sz w:val="20"/>
                <w:szCs w:val="20"/>
                <w:color w:val="auto"/>
              </w:rPr>
            </w:pPr>
            <w:r>
              <w:rPr>
                <w:rFonts w:ascii="Times New Roman" w:cs="Times New Roman" w:eastAsia="Times New Roman" w:hAnsi="Times New Roman"/>
                <w:sz w:val="14"/>
                <w:szCs w:val="14"/>
                <w:color w:val="auto"/>
              </w:rPr>
              <w:t>RMB’000</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amounts of inventories sold</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18,447</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54,233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13</w:t>
            </w:r>
          </w:p>
        </w:tc>
        <w:tc>
          <w:tcPr>
            <w:tcW w:w="77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Trade receivables, prepayments, deposits and other receivables</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300" w:type="dxa"/>
            <w:vAlign w:val="bottom"/>
            <w:vMerge w:val="continue"/>
          </w:tcPr>
          <w:p>
            <w:pPr>
              <w:spacing w:after="0"/>
              <w:rPr>
                <w:sz w:val="24"/>
                <w:szCs w:val="24"/>
                <w:color w:val="auto"/>
              </w:rPr>
            </w:pPr>
          </w:p>
        </w:tc>
        <w:tc>
          <w:tcPr>
            <w:tcW w:w="772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i w:val="1"/>
                <w:iCs w:val="1"/>
                <w:color w:val="auto"/>
              </w:rPr>
              <w:t>As of</w:t>
            </w:r>
          </w:p>
        </w:tc>
        <w:tc>
          <w:tcPr>
            <w:tcW w:w="360" w:type="dxa"/>
            <w:vAlign w:val="bottom"/>
          </w:tcPr>
          <w:p>
            <w:pPr>
              <w:spacing w:after="0"/>
              <w:rPr>
                <w:sz w:val="24"/>
                <w:szCs w:val="24"/>
                <w:color w:val="auto"/>
              </w:rPr>
            </w:pPr>
          </w:p>
        </w:tc>
        <w:tc>
          <w:tcPr>
            <w:tcW w:w="76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i w:val="1"/>
                <w:iCs w:val="1"/>
                <w:color w:val="auto"/>
              </w:rPr>
              <w:t>As of</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4"/>
          </w:tcPr>
          <w:p>
            <w:pPr>
              <w:jc w:val="right"/>
              <w:ind w:right="80"/>
              <w:spacing w:after="0" w:line="149" w:lineRule="exact"/>
              <w:rPr>
                <w:sz w:val="20"/>
                <w:szCs w:val="20"/>
                <w:color w:val="auto"/>
              </w:rPr>
            </w:pPr>
            <w:r>
              <w:rPr>
                <w:rFonts w:ascii="Times New Roman" w:cs="Times New Roman" w:eastAsia="Times New Roman" w:hAnsi="Times New Roman"/>
                <w:sz w:val="14"/>
                <w:szCs w:val="14"/>
                <w:i w:val="1"/>
                <w:iCs w:val="1"/>
                <w:color w:val="auto"/>
                <w:w w:val="99"/>
              </w:rPr>
              <w:t>December 31,</w:t>
            </w:r>
          </w:p>
        </w:tc>
        <w:tc>
          <w:tcPr>
            <w:tcW w:w="360" w:type="dxa"/>
            <w:vAlign w:val="bottom"/>
          </w:tcPr>
          <w:p>
            <w:pPr>
              <w:spacing w:after="0"/>
              <w:rPr>
                <w:sz w:val="12"/>
                <w:szCs w:val="12"/>
                <w:color w:val="auto"/>
              </w:rPr>
            </w:pPr>
          </w:p>
        </w:tc>
        <w:tc>
          <w:tcPr>
            <w:tcW w:w="760" w:type="dxa"/>
            <w:vAlign w:val="bottom"/>
            <w:gridSpan w:val="4"/>
          </w:tcPr>
          <w:p>
            <w:pPr>
              <w:jc w:val="right"/>
              <w:ind w:right="200"/>
              <w:spacing w:after="0" w:line="149" w:lineRule="exact"/>
              <w:rPr>
                <w:sz w:val="20"/>
                <w:szCs w:val="20"/>
                <w:color w:val="auto"/>
              </w:rPr>
            </w:pPr>
            <w:r>
              <w:rPr>
                <w:rFonts w:ascii="Times New Roman" w:cs="Times New Roman" w:eastAsia="Times New Roman" w:hAnsi="Times New Roman"/>
                <w:sz w:val="14"/>
                <w:szCs w:val="14"/>
                <w:i w:val="1"/>
                <w:iCs w:val="1"/>
                <w:color w:val="auto"/>
              </w:rPr>
              <w:t>June 30,</w:t>
            </w:r>
          </w:p>
        </w:tc>
        <w:tc>
          <w:tcPr>
            <w:tcW w:w="0" w:type="dxa"/>
            <w:vAlign w:val="bottom"/>
          </w:tcPr>
          <w:p>
            <w:pPr>
              <w:spacing w:after="0"/>
              <w:rPr>
                <w:sz w:val="1"/>
                <w:szCs w:val="1"/>
                <w:color w:val="auto"/>
              </w:rPr>
            </w:pPr>
          </w:p>
        </w:tc>
      </w:tr>
      <w:tr>
        <w:trPr>
          <w:trHeight w:val="173"/>
        </w:trPr>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2021</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i w:val="1"/>
                <w:iCs w:val="1"/>
                <w:color w:val="auto"/>
              </w:rPr>
              <w:t>2022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80" w:type="dxa"/>
            <w:vAlign w:val="bottom"/>
            <w:gridSpan w:val="2"/>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Borders>
              <w:top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30,554</w:t>
            </w:r>
          </w:p>
        </w:tc>
        <w:tc>
          <w:tcPr>
            <w:tcW w:w="112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114,717</w:t>
            </w:r>
          </w:p>
        </w:tc>
        <w:tc>
          <w:tcPr>
            <w:tcW w:w="0" w:type="dxa"/>
            <w:vAlign w:val="bottom"/>
          </w:tcPr>
          <w:p>
            <w:pPr>
              <w:spacing w:after="0"/>
              <w:rPr>
                <w:sz w:val="1"/>
                <w:szCs w:val="1"/>
                <w:color w:val="auto"/>
              </w:rPr>
            </w:pPr>
          </w:p>
        </w:tc>
      </w:tr>
      <w:tr>
        <w:trPr>
          <w:trHeight w:val="216"/>
        </w:trPr>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loss allowance</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(427)</w:t>
            </w:r>
          </w:p>
        </w:tc>
        <w:tc>
          <w:tcPr>
            <w:tcW w:w="112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(4,115)</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 net of loss allowance</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30,127</w:t>
            </w:r>
          </w:p>
        </w:tc>
        <w:tc>
          <w:tcPr>
            <w:tcW w:w="112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110,602</w:t>
            </w:r>
          </w:p>
        </w:tc>
        <w:tc>
          <w:tcPr>
            <w:tcW w:w="0" w:type="dxa"/>
            <w:vAlign w:val="bottom"/>
          </w:tcPr>
          <w:p>
            <w:pPr>
              <w:spacing w:after="0"/>
              <w:rPr>
                <w:sz w:val="1"/>
                <w:szCs w:val="1"/>
                <w:color w:val="auto"/>
              </w:rPr>
            </w:pPr>
          </w:p>
        </w:tc>
      </w:tr>
      <w:tr>
        <w:trPr>
          <w:trHeight w:val="223"/>
        </w:trPr>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Receivables for exercise of warrants to subscribe for convertible redeemable preferred shares</w:t>
            </w: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Borders>
              <w:top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24,534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for inventories</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32,290</w:t>
            </w:r>
          </w:p>
        </w:tc>
        <w:tc>
          <w:tcPr>
            <w:tcW w:w="112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22,157</w:t>
            </w:r>
          </w:p>
        </w:tc>
        <w:tc>
          <w:tcPr>
            <w:tcW w:w="0" w:type="dxa"/>
            <w:vAlign w:val="bottom"/>
          </w:tcPr>
          <w:p>
            <w:pPr>
              <w:spacing w:after="0"/>
              <w:rPr>
                <w:sz w:val="1"/>
                <w:szCs w:val="1"/>
                <w:color w:val="auto"/>
              </w:rPr>
            </w:pPr>
          </w:p>
        </w:tc>
      </w:tr>
      <w:tr>
        <w:trPr>
          <w:trHeight w:val="216"/>
        </w:trPr>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Refundable VAT</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36,911</w:t>
            </w:r>
          </w:p>
        </w:tc>
        <w:tc>
          <w:tcPr>
            <w:tcW w:w="60" w:type="dxa"/>
            <w:vAlign w:val="bottom"/>
          </w:tcPr>
          <w:p>
            <w:pPr>
              <w:spacing w:after="0"/>
              <w:rPr>
                <w:sz w:val="18"/>
                <w:szCs w:val="18"/>
                <w:color w:val="auto"/>
              </w:rPr>
            </w:pPr>
          </w:p>
        </w:tc>
        <w:tc>
          <w:tcPr>
            <w:tcW w:w="112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28,331</w:t>
            </w:r>
          </w:p>
        </w:tc>
        <w:tc>
          <w:tcPr>
            <w:tcW w:w="0" w:type="dxa"/>
            <w:vAlign w:val="bottom"/>
          </w:tcPr>
          <w:p>
            <w:pPr>
              <w:spacing w:after="0"/>
              <w:rPr>
                <w:sz w:val="1"/>
                <w:szCs w:val="1"/>
                <w:color w:val="auto"/>
              </w:rPr>
            </w:pPr>
          </w:p>
        </w:tc>
      </w:tr>
      <w:tr>
        <w:trPr>
          <w:trHeight w:val="216"/>
        </w:trPr>
        <w:tc>
          <w:tcPr>
            <w:tcW w:w="8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1,947</w:t>
            </w:r>
          </w:p>
        </w:tc>
        <w:tc>
          <w:tcPr>
            <w:tcW w:w="6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2,402</w:t>
            </w:r>
          </w:p>
        </w:tc>
        <w:tc>
          <w:tcPr>
            <w:tcW w:w="0" w:type="dxa"/>
            <w:vAlign w:val="bottom"/>
          </w:tcPr>
          <w:p>
            <w:pPr>
              <w:spacing w:after="0"/>
              <w:rPr>
                <w:sz w:val="1"/>
                <w:szCs w:val="1"/>
                <w:color w:val="auto"/>
              </w:rPr>
            </w:pPr>
          </w:p>
        </w:tc>
      </w:tr>
      <w:tr>
        <w:trPr>
          <w:trHeight w:val="216"/>
        </w:trPr>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Others</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8,038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7,138</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prepayments, deposits and other receivables</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79,186</w:t>
            </w:r>
          </w:p>
        </w:tc>
        <w:tc>
          <w:tcPr>
            <w:tcW w:w="112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84,562</w:t>
            </w:r>
          </w:p>
        </w:tc>
        <w:tc>
          <w:tcPr>
            <w:tcW w:w="0" w:type="dxa"/>
            <w:vAlign w:val="bottom"/>
          </w:tcPr>
          <w:p>
            <w:pPr>
              <w:spacing w:after="0"/>
              <w:rPr>
                <w:sz w:val="1"/>
                <w:szCs w:val="1"/>
                <w:color w:val="auto"/>
              </w:rPr>
            </w:pPr>
          </w:p>
        </w:tc>
      </w:tr>
      <w:tr>
        <w:trPr>
          <w:trHeight w:val="223"/>
        </w:trPr>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trade receivables, prepayments, deposits and other receivables</w:t>
            </w: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109,313</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195,164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All of the trade and other receivables are expected to be recovered or recognized as expense within one year.</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Movement in the loss allowance account in respect of trade receivables during the periods presented is as follows: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270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i w:val="1"/>
                <w:iCs w:val="1"/>
                <w:color w:val="auto"/>
              </w:rPr>
              <w:t>For the six months ended June 30</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840" w:type="dxa"/>
            <w:vAlign w:val="bottom"/>
            <w:tcBorders>
              <w:top w:val="single" w:sz="8" w:color="auto"/>
            </w:tcBorders>
          </w:tcPr>
          <w:p>
            <w:pPr>
              <w:jc w:val="right"/>
              <w:ind w:right="202"/>
              <w:spacing w:after="0" w:line="119" w:lineRule="exact"/>
              <w:rPr>
                <w:sz w:val="20"/>
                <w:szCs w:val="20"/>
                <w:color w:val="auto"/>
              </w:rPr>
            </w:pPr>
            <w:r>
              <w:rPr>
                <w:rFonts w:ascii="Times New Roman" w:cs="Times New Roman" w:eastAsia="Times New Roman" w:hAnsi="Times New Roman"/>
                <w:sz w:val="13"/>
                <w:szCs w:val="13"/>
                <w:i w:val="1"/>
                <w:iCs w:val="1"/>
                <w:color w:val="auto"/>
              </w:rPr>
              <w:t>2021</w:t>
            </w:r>
          </w:p>
        </w:tc>
        <w:tc>
          <w:tcPr>
            <w:tcW w:w="9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198"/>
              <w:spacing w:after="0" w:line="119" w:lineRule="exact"/>
              <w:rPr>
                <w:sz w:val="20"/>
                <w:szCs w:val="20"/>
                <w:color w:val="auto"/>
              </w:rPr>
            </w:pPr>
            <w:r>
              <w:rPr>
                <w:rFonts w:ascii="Times New Roman" w:cs="Times New Roman" w:eastAsia="Times New Roman" w:hAnsi="Times New Roman"/>
                <w:sz w:val="13"/>
                <w:szCs w:val="13"/>
                <w:i w:val="1"/>
                <w:iCs w:val="1"/>
                <w:color w:val="auto"/>
              </w:rPr>
              <w:t>2022</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740" w:type="dxa"/>
            <w:vAlign w:val="bottom"/>
            <w:gridSpan w:val="2"/>
          </w:tcPr>
          <w:p>
            <w:pPr>
              <w:jc w:val="center"/>
              <w:ind w:right="920"/>
              <w:spacing w:after="0"/>
              <w:rPr>
                <w:sz w:val="20"/>
                <w:szCs w:val="20"/>
                <w:color w:val="auto"/>
              </w:rPr>
            </w:pPr>
            <w:r>
              <w:rPr>
                <w:rFonts w:ascii="Times New Roman" w:cs="Times New Roman" w:eastAsia="Times New Roman" w:hAnsi="Times New Roman"/>
                <w:sz w:val="14"/>
                <w:szCs w:val="14"/>
                <w:color w:val="auto"/>
              </w:rPr>
              <w:t>RMB’000</w:t>
            </w: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RMB’000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January 1</w:t>
            </w:r>
          </w:p>
        </w:tc>
        <w:tc>
          <w:tcPr>
            <w:tcW w:w="4620" w:type="dxa"/>
            <w:vAlign w:val="bottom"/>
            <w:gridSpan w:val="3"/>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(16)</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Credit loss recognized during the period</w:t>
            </w:r>
          </w:p>
        </w:tc>
        <w:tc>
          <w:tcPr>
            <w:tcW w:w="2880" w:type="dxa"/>
            <w:vAlign w:val="bottom"/>
          </w:tcPr>
          <w:p>
            <w:pPr>
              <w:spacing w:after="0"/>
              <w:rPr>
                <w:sz w:val="18"/>
                <w:szCs w:val="18"/>
                <w:color w:val="auto"/>
              </w:rPr>
            </w:pPr>
          </w:p>
        </w:tc>
        <w:tc>
          <w:tcPr>
            <w:tcW w:w="174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(175)</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June 30</w:t>
            </w:r>
          </w:p>
        </w:tc>
        <w:tc>
          <w:tcPr>
            <w:tcW w:w="28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(191)</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4620" w:type="dxa"/>
            <w:vAlign w:val="bottom"/>
            <w:gridSpan w:val="3"/>
          </w:tcPr>
          <w:p>
            <w:pPr>
              <w:jc w:val="right"/>
              <w:ind w:right="3500"/>
              <w:spacing w:after="0"/>
              <w:rPr>
                <w:sz w:val="20"/>
                <w:szCs w:val="20"/>
                <w:color w:val="auto"/>
              </w:rPr>
            </w:pPr>
            <w:r>
              <w:rPr>
                <w:rFonts w:ascii="Times New Roman" w:cs="Times New Roman" w:eastAsia="Times New Roman" w:hAnsi="Times New Roman"/>
                <w:sz w:val="18"/>
                <w:szCs w:val="18"/>
                <w:color w:val="auto"/>
              </w:rPr>
              <w:t>F-86</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339" w:name="page340"/>
    <w:bookmarkEnd w:id="3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Trade receivables are normally due within 30 to 90 days from the date of billing.</w:t>
      </w:r>
    </w:p>
    <w:p>
      <w:pPr>
        <w:spacing w:after="0" w:line="370"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14</w:t>
        <w:tab/>
        <w:t>Financial assets measured at FVTPL</w:t>
      </w:r>
    </w:p>
    <w:p>
      <w:pPr>
        <w:spacing w:after="0" w:line="23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280" w:type="dxa"/>
            <w:vAlign w:val="bottom"/>
          </w:tcPr>
          <w:p>
            <w:pPr>
              <w:spacing w:after="0"/>
              <w:rPr>
                <w:sz w:val="13"/>
                <w:szCs w:val="13"/>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i w:val="1"/>
                <w:iCs w:val="1"/>
                <w:color w:val="auto"/>
              </w:rPr>
              <w:t>As of</w:t>
            </w:r>
          </w:p>
        </w:tc>
        <w:tc>
          <w:tcPr>
            <w:tcW w:w="600" w:type="dxa"/>
            <w:vAlign w:val="bottom"/>
          </w:tcPr>
          <w:p>
            <w:pPr>
              <w:spacing w:after="0"/>
              <w:rPr>
                <w:sz w:val="13"/>
                <w:szCs w:val="13"/>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i w:val="1"/>
                <w:iCs w:val="1"/>
                <w:color w:val="auto"/>
                <w:w w:val="98"/>
              </w:rPr>
              <w:t>As of</w:t>
            </w:r>
          </w:p>
        </w:tc>
      </w:tr>
      <w:tr>
        <w:trPr>
          <w:trHeight w:val="148"/>
        </w:trPr>
        <w:tc>
          <w:tcPr>
            <w:tcW w:w="6280" w:type="dxa"/>
            <w:vAlign w:val="bottom"/>
          </w:tcPr>
          <w:p>
            <w:pPr>
              <w:spacing w:after="0"/>
              <w:rPr>
                <w:sz w:val="12"/>
                <w:szCs w:val="12"/>
                <w:color w:val="auto"/>
              </w:rPr>
            </w:pPr>
          </w:p>
        </w:tc>
        <w:tc>
          <w:tcPr>
            <w:tcW w:w="8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i w:val="1"/>
                <w:iCs w:val="1"/>
                <w:color w:val="auto"/>
              </w:rPr>
              <w:t>December 31,</w:t>
            </w:r>
          </w:p>
        </w:tc>
        <w:tc>
          <w:tcPr>
            <w:tcW w:w="600" w:type="dxa"/>
            <w:vAlign w:val="bottom"/>
          </w:tcPr>
          <w:p>
            <w:pPr>
              <w:spacing w:after="0"/>
              <w:rPr>
                <w:sz w:val="12"/>
                <w:szCs w:val="12"/>
                <w:color w:val="auto"/>
              </w:rPr>
            </w:pPr>
          </w:p>
        </w:tc>
        <w:tc>
          <w:tcPr>
            <w:tcW w:w="6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i w:val="1"/>
                <w:iCs w:val="1"/>
                <w:color w:val="auto"/>
              </w:rPr>
              <w:t>June 30,</w:t>
            </w:r>
          </w:p>
        </w:tc>
      </w:tr>
      <w:tr>
        <w:trPr>
          <w:trHeight w:val="173"/>
        </w:trPr>
        <w:tc>
          <w:tcPr>
            <w:tcW w:w="628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Times New Roman" w:cs="Times New Roman" w:eastAsia="Times New Roman" w:hAnsi="Times New Roman"/>
                <w:sz w:val="14"/>
                <w:szCs w:val="14"/>
                <w:i w:val="1"/>
                <w:iCs w:val="1"/>
                <w:color w:val="auto"/>
              </w:rPr>
              <w:t>2021</w:t>
            </w:r>
          </w:p>
        </w:tc>
        <w:tc>
          <w:tcPr>
            <w:tcW w:w="20" w:type="dxa"/>
            <w:vAlign w:val="bottom"/>
          </w:tcPr>
          <w:p>
            <w:pPr>
              <w:spacing w:after="0"/>
              <w:rPr>
                <w:sz w:val="15"/>
                <w:szCs w:val="15"/>
                <w:color w:val="auto"/>
              </w:rPr>
            </w:pPr>
          </w:p>
        </w:tc>
        <w:tc>
          <w:tcPr>
            <w:tcW w:w="1200" w:type="dxa"/>
            <w:vAlign w:val="bottom"/>
            <w:gridSpan w:val="2"/>
          </w:tcPr>
          <w:p>
            <w:pPr>
              <w:jc w:val="center"/>
              <w:ind w:left="519"/>
              <w:spacing w:after="0"/>
              <w:rPr>
                <w:sz w:val="20"/>
                <w:szCs w:val="20"/>
                <w:color w:val="auto"/>
              </w:rPr>
            </w:pPr>
            <w:r>
              <w:rPr>
                <w:rFonts w:ascii="Times New Roman" w:cs="Times New Roman" w:eastAsia="Times New Roman" w:hAnsi="Times New Roman"/>
                <w:sz w:val="14"/>
                <w:szCs w:val="14"/>
                <w:i w:val="1"/>
                <w:iCs w:val="1"/>
                <w:color w:val="auto"/>
                <w:w w:val="99"/>
              </w:rPr>
              <w:t>2022</w:t>
            </w:r>
          </w:p>
        </w:tc>
        <w:tc>
          <w:tcPr>
            <w:tcW w:w="40" w:type="dxa"/>
            <w:vAlign w:val="bottom"/>
          </w:tcPr>
          <w:p>
            <w:pPr>
              <w:spacing w:after="0"/>
              <w:rPr>
                <w:sz w:val="15"/>
                <w:szCs w:val="15"/>
                <w:color w:val="auto"/>
              </w:rPr>
            </w:pPr>
          </w:p>
        </w:tc>
      </w:tr>
      <w:tr>
        <w:trPr>
          <w:trHeight w:val="142"/>
        </w:trPr>
        <w:tc>
          <w:tcPr>
            <w:tcW w:w="628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8"/>
              </w:rPr>
              <w:t>RMB’000</w:t>
            </w:r>
          </w:p>
        </w:tc>
        <w:tc>
          <w:tcPr>
            <w:tcW w:w="40" w:type="dxa"/>
            <w:vAlign w:val="bottom"/>
          </w:tcPr>
          <w:p>
            <w:pPr>
              <w:spacing w:after="0"/>
              <w:rPr>
                <w:sz w:val="12"/>
                <w:szCs w:val="12"/>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assets measured at FVTPL</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 Non-equity investments</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53,868</w:t>
            </w: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48,483</w:t>
            </w:r>
          </w:p>
        </w:tc>
      </w:tr>
      <w:tr>
        <w:trPr>
          <w:trHeight w:val="20"/>
        </w:trPr>
        <w:tc>
          <w:tcPr>
            <w:tcW w:w="6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non-equity investments represent wealth management products issued by banks with variable returns.</w:t>
      </w:r>
    </w:p>
    <w:p>
      <w:pPr>
        <w:spacing w:after="0" w:line="370"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15</w:t>
        <w:tab/>
        <w:t>Cash and cash equivalents</w:t>
      </w:r>
    </w:p>
    <w:p>
      <w:pPr>
        <w:spacing w:after="0" w:line="131"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(a)</w:t>
        <w:tab/>
        <w:t>Cash and cash equivalents comprise:</w:t>
      </w:r>
    </w:p>
    <w:p>
      <w:pPr>
        <w:spacing w:after="0" w:line="23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000" w:type="dxa"/>
            <w:vAlign w:val="bottom"/>
          </w:tcPr>
          <w:p>
            <w:pPr>
              <w:spacing w:after="0"/>
              <w:rPr>
                <w:sz w:val="13"/>
                <w:szCs w:val="13"/>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i w:val="1"/>
                <w:iCs w:val="1"/>
                <w:color w:val="auto"/>
              </w:rPr>
              <w:t>As of</w:t>
            </w:r>
          </w:p>
        </w:tc>
        <w:tc>
          <w:tcPr>
            <w:tcW w:w="1020" w:type="dxa"/>
            <w:vAlign w:val="bottom"/>
            <w:gridSpan w:val="2"/>
          </w:tcPr>
          <w:p>
            <w:pPr>
              <w:ind w:left="340"/>
              <w:spacing w:after="0"/>
              <w:rPr>
                <w:sz w:val="20"/>
                <w:szCs w:val="20"/>
                <w:color w:val="auto"/>
              </w:rPr>
            </w:pPr>
            <w:r>
              <w:rPr>
                <w:rFonts w:ascii="Times New Roman" w:cs="Times New Roman" w:eastAsia="Times New Roman" w:hAnsi="Times New Roman"/>
                <w:sz w:val="14"/>
                <w:szCs w:val="14"/>
                <w:i w:val="1"/>
                <w:iCs w:val="1"/>
                <w:color w:val="auto"/>
              </w:rPr>
              <w:t>As of</w:t>
            </w:r>
          </w:p>
        </w:tc>
      </w:tr>
      <w:tr>
        <w:trPr>
          <w:trHeight w:val="148"/>
        </w:trPr>
        <w:tc>
          <w:tcPr>
            <w:tcW w:w="6000" w:type="dxa"/>
            <w:vAlign w:val="bottom"/>
          </w:tcPr>
          <w:p>
            <w:pPr>
              <w:spacing w:after="0"/>
              <w:rPr>
                <w:sz w:val="12"/>
                <w:szCs w:val="12"/>
                <w:color w:val="auto"/>
              </w:rPr>
            </w:pPr>
          </w:p>
        </w:tc>
        <w:tc>
          <w:tcPr>
            <w:tcW w:w="13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i w:val="1"/>
                <w:iCs w:val="1"/>
                <w:color w:val="auto"/>
              </w:rPr>
              <w:t>December 31,</w:t>
            </w:r>
          </w:p>
        </w:tc>
        <w:tc>
          <w:tcPr>
            <w:tcW w:w="102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i w:val="1"/>
                <w:iCs w:val="1"/>
                <w:color w:val="auto"/>
              </w:rPr>
              <w:t>June 30,</w:t>
            </w:r>
          </w:p>
        </w:tc>
      </w:tr>
      <w:tr>
        <w:trPr>
          <w:trHeight w:val="173"/>
        </w:trPr>
        <w:tc>
          <w:tcPr>
            <w:tcW w:w="6000" w:type="dxa"/>
            <w:vAlign w:val="bottom"/>
          </w:tcPr>
          <w:p>
            <w:pPr>
              <w:spacing w:after="0"/>
              <w:rPr>
                <w:sz w:val="15"/>
                <w:szCs w:val="15"/>
                <w:color w:val="auto"/>
              </w:rPr>
            </w:pPr>
          </w:p>
        </w:tc>
        <w:tc>
          <w:tcPr>
            <w:tcW w:w="96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4"/>
                <w:szCs w:val="14"/>
                <w:i w:val="1"/>
                <w:iCs w:val="1"/>
                <w:color w:val="auto"/>
              </w:rPr>
              <w:t>2021</w:t>
            </w:r>
          </w:p>
        </w:tc>
        <w:tc>
          <w:tcPr>
            <w:tcW w:w="380" w:type="dxa"/>
            <w:vAlign w:val="bottom"/>
          </w:tcPr>
          <w:p>
            <w:pPr>
              <w:spacing w:after="0"/>
              <w:rPr>
                <w:sz w:val="15"/>
                <w:szCs w:val="15"/>
                <w:color w:val="auto"/>
              </w:rPr>
            </w:pPr>
          </w:p>
        </w:tc>
        <w:tc>
          <w:tcPr>
            <w:tcW w:w="96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4"/>
                <w:szCs w:val="14"/>
                <w:i w:val="1"/>
                <w:iCs w:val="1"/>
                <w:color w:val="auto"/>
              </w:rPr>
              <w:t>2022</w:t>
            </w:r>
          </w:p>
        </w:tc>
        <w:tc>
          <w:tcPr>
            <w:tcW w:w="60" w:type="dxa"/>
            <w:vAlign w:val="bottom"/>
          </w:tcPr>
          <w:p>
            <w:pPr>
              <w:spacing w:after="0"/>
              <w:rPr>
                <w:sz w:val="15"/>
                <w:szCs w:val="15"/>
                <w:color w:val="auto"/>
              </w:rPr>
            </w:pPr>
          </w:p>
        </w:tc>
      </w:tr>
      <w:tr>
        <w:trPr>
          <w:trHeight w:val="142"/>
        </w:trPr>
        <w:tc>
          <w:tcPr>
            <w:tcW w:w="6000" w:type="dxa"/>
            <w:vAlign w:val="bottom"/>
          </w:tcPr>
          <w:p>
            <w:pPr>
              <w:spacing w:after="0"/>
              <w:rPr>
                <w:sz w:val="12"/>
                <w:szCs w:val="12"/>
                <w:color w:val="auto"/>
              </w:rPr>
            </w:pPr>
          </w:p>
        </w:tc>
        <w:tc>
          <w:tcPr>
            <w:tcW w:w="9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380" w:type="dxa"/>
            <w:vAlign w:val="bottom"/>
          </w:tcPr>
          <w:p>
            <w:pPr>
              <w:spacing w:after="0"/>
              <w:rPr>
                <w:sz w:val="12"/>
                <w:szCs w:val="12"/>
                <w:color w:val="auto"/>
              </w:rPr>
            </w:pPr>
          </w:p>
        </w:tc>
        <w:tc>
          <w:tcPr>
            <w:tcW w:w="9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60" w:type="dxa"/>
            <w:vAlign w:val="bottom"/>
          </w:tcPr>
          <w:p>
            <w:pPr>
              <w:spacing w:after="0"/>
              <w:rPr>
                <w:sz w:val="12"/>
                <w:szCs w:val="12"/>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banks</w:t>
            </w:r>
          </w:p>
        </w:tc>
        <w:tc>
          <w:tcPr>
            <w:tcW w:w="13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2,725,568</w:t>
            </w:r>
          </w:p>
        </w:tc>
        <w:tc>
          <w:tcPr>
            <w:tcW w:w="10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3,478,659</w:t>
            </w:r>
          </w:p>
        </w:tc>
      </w:tr>
      <w:tr>
        <w:trPr>
          <w:trHeight w:val="20"/>
        </w:trPr>
        <w:tc>
          <w:tcPr>
            <w:tcW w:w="60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RMB is not a freely convertible currency and the remittance of funds out of the PRC is subject to the exchange restrictions imposed by the PRC government.</w:t>
      </w:r>
    </w:p>
    <w:p>
      <w:pPr>
        <w:spacing w:after="0" w:line="306" w:lineRule="exact"/>
        <w:rPr>
          <w:sz w:val="20"/>
          <w:szCs w:val="20"/>
          <w:color w:val="auto"/>
        </w:rPr>
      </w:pPr>
    </w:p>
    <w:p>
      <w:pPr>
        <w:ind w:left="540" w:hanging="424"/>
        <w:spacing w:after="0"/>
        <w:tabs>
          <w:tab w:leader="none" w:pos="540" w:val="left"/>
        </w:tabs>
        <w:numPr>
          <w:ilvl w:val="0"/>
          <w:numId w:val="25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Non-cash transactions</w:t>
      </w:r>
    </w:p>
    <w:p>
      <w:pPr>
        <w:spacing w:after="0" w:line="121"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No non-cash investing and financing transactions incurred for the six months ended June 30, 2022. Non-cash investing and financing transactions incurred for the six months ended June 30, 2021 mainly comprised the following:</w:t>
      </w:r>
    </w:p>
    <w:p>
      <w:pPr>
        <w:spacing w:after="0" w:line="67" w:lineRule="exact"/>
        <w:rPr>
          <w:sz w:val="20"/>
          <w:szCs w:val="20"/>
          <w:color w:val="auto"/>
        </w:rPr>
      </w:pPr>
    </w:p>
    <w:p>
      <w:pPr>
        <w:ind w:left="660" w:hanging="544"/>
        <w:spacing w:after="0"/>
        <w:tabs>
          <w:tab w:leader="none" w:pos="66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of right-of-use assets included in lease liabilities amounting to RMB2.3 million;</w:t>
      </w:r>
    </w:p>
    <w:p>
      <w:pPr>
        <w:spacing w:after="0" w:line="130"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 of treasury shares amounting to RMB19.4 million recognized as addition of share premium;</w:t>
      </w:r>
    </w:p>
    <w:p>
      <w:pPr>
        <w:spacing w:after="0" w:line="130"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of convertible notes to preferred shares amounting to RMB2.6 million; and</w:t>
      </w:r>
    </w:p>
    <w:p>
      <w:pPr>
        <w:spacing w:after="0" w:line="130"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of warrants to subscribe for convertible redeemable preferred shares amounting to RMB382.2 million.</w:t>
      </w:r>
    </w:p>
    <w:p>
      <w:pPr>
        <w:spacing w:after="0" w:line="370"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16</w:t>
        <w:tab/>
        <w:t>Preferred shares and other financial instruments subject to redemption and other preferential rights</w:t>
      </w:r>
    </w:p>
    <w:p>
      <w:pPr>
        <w:spacing w:after="0" w:line="23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000" w:type="dxa"/>
            <w:vAlign w:val="bottom"/>
          </w:tcPr>
          <w:p>
            <w:pPr>
              <w:spacing w:after="0"/>
              <w:rPr>
                <w:sz w:val="13"/>
                <w:szCs w:val="13"/>
                <w:color w:val="auto"/>
              </w:rPr>
            </w:pPr>
          </w:p>
        </w:tc>
        <w:tc>
          <w:tcPr>
            <w:tcW w:w="134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i w:val="1"/>
                <w:iCs w:val="1"/>
                <w:color w:val="auto"/>
              </w:rPr>
              <w:t>As of</w:t>
            </w: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i w:val="1"/>
                <w:iCs w:val="1"/>
                <w:color w:val="auto"/>
              </w:rPr>
              <w:t>As of</w:t>
            </w:r>
          </w:p>
        </w:tc>
      </w:tr>
      <w:tr>
        <w:trPr>
          <w:trHeight w:val="149"/>
        </w:trPr>
        <w:tc>
          <w:tcPr>
            <w:tcW w:w="6000" w:type="dxa"/>
            <w:vAlign w:val="bottom"/>
          </w:tcPr>
          <w:p>
            <w:pPr>
              <w:spacing w:after="0"/>
              <w:rPr>
                <w:sz w:val="12"/>
                <w:szCs w:val="12"/>
                <w:color w:val="auto"/>
              </w:rPr>
            </w:pPr>
          </w:p>
        </w:tc>
        <w:tc>
          <w:tcPr>
            <w:tcW w:w="134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i w:val="1"/>
                <w:iCs w:val="1"/>
                <w:color w:val="auto"/>
              </w:rPr>
              <w:t>December 31,</w:t>
            </w:r>
          </w:p>
        </w:tc>
        <w:tc>
          <w:tcPr>
            <w:tcW w:w="10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i w:val="1"/>
                <w:iCs w:val="1"/>
                <w:color w:val="auto"/>
              </w:rPr>
              <w:t>June 30,</w:t>
            </w:r>
          </w:p>
        </w:tc>
      </w:tr>
      <w:tr>
        <w:trPr>
          <w:trHeight w:val="173"/>
        </w:trPr>
        <w:tc>
          <w:tcPr>
            <w:tcW w:w="6000" w:type="dxa"/>
            <w:vAlign w:val="bottom"/>
          </w:tcPr>
          <w:p>
            <w:pPr>
              <w:spacing w:after="0"/>
              <w:rPr>
                <w:sz w:val="15"/>
                <w:szCs w:val="15"/>
                <w:color w:val="auto"/>
              </w:rPr>
            </w:pPr>
          </w:p>
        </w:tc>
        <w:tc>
          <w:tcPr>
            <w:tcW w:w="96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i w:val="1"/>
                <w:iCs w:val="1"/>
                <w:color w:val="auto"/>
              </w:rPr>
              <w:t>2021</w:t>
            </w:r>
          </w:p>
        </w:tc>
        <w:tc>
          <w:tcPr>
            <w:tcW w:w="380" w:type="dxa"/>
            <w:vAlign w:val="bottom"/>
          </w:tcPr>
          <w:p>
            <w:pPr>
              <w:spacing w:after="0"/>
              <w:rPr>
                <w:sz w:val="15"/>
                <w:szCs w:val="15"/>
                <w:color w:val="auto"/>
              </w:rPr>
            </w:pPr>
          </w:p>
        </w:tc>
        <w:tc>
          <w:tcPr>
            <w:tcW w:w="96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i w:val="1"/>
                <w:iCs w:val="1"/>
                <w:color w:val="auto"/>
              </w:rPr>
              <w:t>2022</w:t>
            </w:r>
          </w:p>
        </w:tc>
        <w:tc>
          <w:tcPr>
            <w:tcW w:w="60" w:type="dxa"/>
            <w:vAlign w:val="bottom"/>
          </w:tcPr>
          <w:p>
            <w:pPr>
              <w:spacing w:after="0"/>
              <w:rPr>
                <w:sz w:val="15"/>
                <w:szCs w:val="15"/>
                <w:color w:val="auto"/>
              </w:rPr>
            </w:pPr>
          </w:p>
        </w:tc>
      </w:tr>
      <w:tr>
        <w:trPr>
          <w:trHeight w:val="142"/>
        </w:trPr>
        <w:tc>
          <w:tcPr>
            <w:tcW w:w="6000" w:type="dxa"/>
            <w:vAlign w:val="bottom"/>
          </w:tcPr>
          <w:p>
            <w:pPr>
              <w:spacing w:after="0"/>
              <w:rPr>
                <w:sz w:val="12"/>
                <w:szCs w:val="12"/>
                <w:color w:val="auto"/>
              </w:rPr>
            </w:pPr>
          </w:p>
        </w:tc>
        <w:tc>
          <w:tcPr>
            <w:tcW w:w="9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380" w:type="dxa"/>
            <w:vAlign w:val="bottom"/>
          </w:tcPr>
          <w:p>
            <w:pPr>
              <w:spacing w:after="0"/>
              <w:rPr>
                <w:sz w:val="12"/>
                <w:szCs w:val="12"/>
                <w:color w:val="auto"/>
              </w:rPr>
            </w:pPr>
          </w:p>
        </w:tc>
        <w:tc>
          <w:tcPr>
            <w:tcW w:w="9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60" w:type="dxa"/>
            <w:vAlign w:val="bottom"/>
          </w:tcPr>
          <w:p>
            <w:pPr>
              <w:spacing w:after="0"/>
              <w:rPr>
                <w:sz w:val="12"/>
                <w:szCs w:val="12"/>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financial instruments (Note (a))</w:t>
            </w:r>
          </w:p>
        </w:tc>
        <w:tc>
          <w:tcPr>
            <w:tcW w:w="13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752,120</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238,494</w:t>
            </w: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Convertible redeemable preferred shares (Note (b))</w:t>
            </w: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3,038,516</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5,447,564</w:t>
            </w:r>
          </w:p>
        </w:tc>
      </w:tr>
      <w:tr>
        <w:trPr>
          <w:trHeight w:val="27"/>
        </w:trPr>
        <w:tc>
          <w:tcPr>
            <w:tcW w:w="60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0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3,790,636</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5,686,058</w:t>
            </w:r>
          </w:p>
        </w:tc>
      </w:tr>
      <w:tr>
        <w:trPr>
          <w:trHeight w:val="20"/>
        </w:trPr>
        <w:tc>
          <w:tcPr>
            <w:tcW w:w="60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In December 2021, the Group entered into agreements with several investors to commit to issue 59,765,582 Series D Preferred Shares at issuance price of USD4.7 per share and in the amount of USD278.4 million (equivalent to RMB1,775.0 million) in total. During the six months ended June 30, 2022, the Group received</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F-87</w:t>
      </w:r>
    </w:p>
    <w:p>
      <w:pPr>
        <w:sectPr>
          <w:pgSz w:w="11900" w:h="16838" w:orient="portrait"/>
          <w:cols w:equalWidth="0" w:num="1">
            <w:col w:w="11000"/>
          </w:cols>
          <w:pgMar w:left="320" w:top="455" w:right="579" w:bottom="1440" w:gutter="0" w:footer="0" w:header="0"/>
        </w:sectPr>
      </w:pPr>
    </w:p>
    <w:bookmarkStart w:id="340" w:name="page341"/>
    <w:bookmarkEnd w:id="3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consideration of RMB202.1 million from the investors. The Group and the investors commit to issue/subscribe for the Series D Preferred Shares upon the occurrence of specified continent events (i.e. obtaining regulator’s approval and completion of the foreign exchange registration procedures for ODI).</w:t>
      </w:r>
    </w:p>
    <w:p>
      <w:pPr>
        <w:spacing w:after="0" w:line="176"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2022, the Group has issued 39,716,614 Series D Preferred Shares with consideration of USD185.0 million (equivalent to RMB1,199.1 million). The key terms of Series D Preferred Shares including redemption, conversion, dividend and liquidation, are the same as Series C-1 Preferred Shares.</w:t>
      </w:r>
    </w:p>
    <w:p>
      <w:pPr>
        <w:spacing w:after="0" w:line="320" w:lineRule="exact"/>
        <w:rPr>
          <w:sz w:val="20"/>
          <w:szCs w:val="20"/>
          <w:color w:val="auto"/>
        </w:rPr>
      </w:pPr>
    </w:p>
    <w:p>
      <w:pPr>
        <w:ind w:left="540" w:hanging="424"/>
        <w:spacing w:after="0"/>
        <w:tabs>
          <w:tab w:leader="none" w:pos="540" w:val="left"/>
        </w:tabs>
        <w:numPr>
          <w:ilvl w:val="0"/>
          <w:numId w:val="25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Other financial instruments issued to investors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movement of other financial instruments issued to investors during the period presented is set out as below:</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9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20" w:type="dxa"/>
            <w:vAlign w:val="bottom"/>
            <w:gridSpan w:val="8"/>
          </w:tcPr>
          <w:p>
            <w:pPr>
              <w:jc w:val="center"/>
              <w:ind w:right="120"/>
              <w:spacing w:after="0"/>
              <w:rPr>
                <w:sz w:val="20"/>
                <w:szCs w:val="20"/>
                <w:color w:val="auto"/>
              </w:rPr>
            </w:pPr>
            <w:r>
              <w:rPr>
                <w:rFonts w:ascii="Times New Roman" w:cs="Times New Roman" w:eastAsia="Times New Roman" w:hAnsi="Times New Roman"/>
                <w:sz w:val="14"/>
                <w:szCs w:val="14"/>
                <w:i w:val="1"/>
                <w:iCs w:val="1"/>
                <w:color w:val="auto"/>
              </w:rPr>
              <w:t>For the six months ended June 30, 2022</w:t>
            </w:r>
          </w:p>
        </w:tc>
        <w:tc>
          <w:tcPr>
            <w:tcW w:w="0" w:type="dxa"/>
            <w:vAlign w:val="bottom"/>
          </w:tcPr>
          <w:p>
            <w:pPr>
              <w:spacing w:after="0"/>
              <w:rPr>
                <w:sz w:val="1"/>
                <w:szCs w:val="1"/>
                <w:color w:val="auto"/>
              </w:rPr>
            </w:pPr>
          </w:p>
        </w:tc>
      </w:tr>
      <w:tr>
        <w:trPr>
          <w:trHeight w:val="142"/>
        </w:trPr>
        <w:tc>
          <w:tcPr>
            <w:tcW w:w="4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3"/>
          </w:tcPr>
          <w:p>
            <w:pPr>
              <w:jc w:val="center"/>
              <w:ind w:left="418"/>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8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January 1</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752,120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financial instruments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202,090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convertible redeemable preferred shares according to the commitment</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(776,112)</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Changes in the carrying amount</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35,164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effect</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25,232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As of June 30</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238,494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(b)   Convertible redeemable preferred shares</w:t>
            </w: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496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9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movements of these financial liabilities during the period presented are set out as below:</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4960" w:type="dxa"/>
            <w:vAlign w:val="bottom"/>
          </w:tcPr>
          <w:p>
            <w:pPr>
              <w:spacing w:after="0"/>
              <w:rPr>
                <w:sz w:val="24"/>
                <w:szCs w:val="24"/>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i w:val="1"/>
                <w:iCs w:val="1"/>
                <w:color w:val="auto"/>
              </w:rPr>
              <w:t>Series B-1</w:t>
            </w: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i w:val="1"/>
                <w:iCs w:val="1"/>
                <w:color w:val="auto"/>
              </w:rPr>
              <w:t>Series B-2</w:t>
            </w: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i w:val="1"/>
                <w:iCs w:val="1"/>
                <w:color w:val="auto"/>
              </w:rPr>
              <w:t>Series B-3</w:t>
            </w:r>
          </w:p>
        </w:tc>
        <w:tc>
          <w:tcPr>
            <w:tcW w:w="10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i w:val="1"/>
                <w:iCs w:val="1"/>
                <w:color w:val="auto"/>
              </w:rPr>
              <w:t>Series C-1</w:t>
            </w:r>
          </w:p>
        </w:tc>
        <w:tc>
          <w:tcPr>
            <w:tcW w:w="120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i w:val="1"/>
                <w:iCs w:val="1"/>
                <w:color w:val="auto"/>
              </w:rPr>
              <w:t>Series D</w:t>
            </w: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i w:val="1"/>
                <w:iCs w:val="1"/>
                <w:color w:val="auto"/>
              </w:rPr>
              <w:t>Preferred</w:t>
            </w:r>
          </w:p>
        </w:tc>
        <w:tc>
          <w:tcPr>
            <w:tcW w:w="9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i w:val="1"/>
                <w:iCs w:val="1"/>
                <w:color w:val="auto"/>
                <w:w w:val="99"/>
              </w:rPr>
              <w:t>Preferred</w:t>
            </w:r>
          </w:p>
        </w:tc>
        <w:tc>
          <w:tcPr>
            <w:tcW w:w="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i w:val="1"/>
                <w:iCs w:val="1"/>
                <w:color w:val="auto"/>
              </w:rPr>
              <w:t>Preferred</w:t>
            </w:r>
          </w:p>
        </w:tc>
        <w:tc>
          <w:tcPr>
            <w:tcW w:w="108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i w:val="1"/>
                <w:iCs w:val="1"/>
                <w:color w:val="auto"/>
                <w:w w:val="99"/>
              </w:rPr>
              <w:t>Preferred</w:t>
            </w:r>
          </w:p>
        </w:tc>
        <w:tc>
          <w:tcPr>
            <w:tcW w:w="120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i w:val="1"/>
                <w:iCs w:val="1"/>
                <w:color w:val="auto"/>
              </w:rPr>
              <w:t>Preferred</w:t>
            </w:r>
          </w:p>
        </w:tc>
        <w:tc>
          <w:tcPr>
            <w:tcW w:w="920" w:type="dxa"/>
            <w:vAlign w:val="bottom"/>
            <w:gridSpan w:val="3"/>
            <w:vMerge w:val="restart"/>
          </w:tcPr>
          <w:p>
            <w:pPr>
              <w:jc w:val="right"/>
              <w:ind w:right="400"/>
              <w:spacing w:after="0"/>
              <w:rPr>
                <w:sz w:val="20"/>
                <w:szCs w:val="20"/>
                <w:color w:val="auto"/>
              </w:rPr>
            </w:pPr>
            <w:r>
              <w:rPr>
                <w:rFonts w:ascii="Times New Roman" w:cs="Times New Roman" w:eastAsia="Times New Roman" w:hAnsi="Times New Roman"/>
                <w:sz w:val="14"/>
                <w:szCs w:val="14"/>
                <w:i w:val="1"/>
                <w:iCs w:val="1"/>
                <w:color w:val="auto"/>
              </w:rPr>
              <w:t>Total</w:t>
            </w:r>
          </w:p>
        </w:tc>
        <w:tc>
          <w:tcPr>
            <w:tcW w:w="0" w:type="dxa"/>
            <w:vAlign w:val="bottom"/>
          </w:tcPr>
          <w:p>
            <w:pPr>
              <w:spacing w:after="0"/>
              <w:rPr>
                <w:sz w:val="1"/>
                <w:szCs w:val="1"/>
                <w:color w:val="auto"/>
              </w:rPr>
            </w:pPr>
          </w:p>
        </w:tc>
      </w:tr>
      <w:tr>
        <w:trPr>
          <w:trHeight w:val="173"/>
        </w:trPr>
        <w:tc>
          <w:tcPr>
            <w:tcW w:w="4960" w:type="dxa"/>
            <w:vAlign w:val="bottom"/>
          </w:tcPr>
          <w:p>
            <w:pPr>
              <w:spacing w:after="0"/>
              <w:rPr>
                <w:sz w:val="15"/>
                <w:szCs w:val="15"/>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i w:val="1"/>
                <w:iCs w:val="1"/>
                <w:color w:val="auto"/>
                <w:w w:val="99"/>
              </w:rPr>
              <w:t>Shares</w:t>
            </w: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i w:val="1"/>
                <w:iCs w:val="1"/>
                <w:color w:val="auto"/>
                <w:w w:val="99"/>
              </w:rPr>
              <w:t>Shares</w:t>
            </w: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i w:val="1"/>
                <w:iCs w:val="1"/>
                <w:color w:val="auto"/>
              </w:rPr>
              <w:t>Shares</w:t>
            </w:r>
          </w:p>
        </w:tc>
        <w:tc>
          <w:tcPr>
            <w:tcW w:w="10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i w:val="1"/>
                <w:iCs w:val="1"/>
                <w:color w:val="auto"/>
                <w:w w:val="99"/>
              </w:rPr>
              <w:t>Shares</w:t>
            </w:r>
          </w:p>
        </w:tc>
        <w:tc>
          <w:tcPr>
            <w:tcW w:w="120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i w:val="1"/>
                <w:iCs w:val="1"/>
                <w:color w:val="auto"/>
              </w:rPr>
              <w:t>Shares</w:t>
            </w:r>
          </w:p>
        </w:tc>
        <w:tc>
          <w:tcPr>
            <w:tcW w:w="9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6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160" w:type="dxa"/>
            <w:vAlign w:val="bottom"/>
          </w:tcPr>
          <w:p>
            <w:pPr>
              <w:spacing w:after="0"/>
              <w:rPr>
                <w:sz w:val="12"/>
                <w:szCs w:val="12"/>
                <w:color w:val="auto"/>
              </w:rPr>
            </w:pPr>
          </w:p>
        </w:tc>
        <w:tc>
          <w:tcPr>
            <w:tcW w:w="7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16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160" w:type="dxa"/>
            <w:vAlign w:val="bottom"/>
          </w:tcPr>
          <w:p>
            <w:pPr>
              <w:spacing w:after="0"/>
              <w:rPr>
                <w:sz w:val="12"/>
                <w:szCs w:val="12"/>
                <w:color w:val="auto"/>
              </w:rPr>
            </w:pPr>
          </w:p>
        </w:tc>
        <w:tc>
          <w:tcPr>
            <w:tcW w:w="92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16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January 1, 2022</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704,338</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182,130</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322,283</w:t>
            </w: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1,829,765</w:t>
            </w:r>
          </w:p>
        </w:tc>
        <w:tc>
          <w:tcPr>
            <w:tcW w:w="120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3,038,516</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new convertible redeemable preferred shares</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1,199,059</w:t>
            </w:r>
          </w:p>
        </w:tc>
        <w:tc>
          <w:tcPr>
            <w:tcW w:w="120" w:type="dxa"/>
            <w:vAlign w:val="bottom"/>
          </w:tcPr>
          <w:p>
            <w:pPr>
              <w:spacing w:after="0"/>
              <w:rPr>
                <w:sz w:val="18"/>
                <w:szCs w:val="18"/>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1,199,059</w:t>
            </w:r>
          </w:p>
        </w:tc>
        <w:tc>
          <w:tcPr>
            <w:tcW w:w="0" w:type="dxa"/>
            <w:vAlign w:val="bottom"/>
          </w:tcPr>
          <w:p>
            <w:pPr>
              <w:spacing w:after="0"/>
              <w:rPr>
                <w:sz w:val="1"/>
                <w:szCs w:val="1"/>
                <w:color w:val="auto"/>
              </w:rPr>
            </w:pPr>
          </w:p>
        </w:tc>
      </w:tr>
      <w:tr>
        <w:trPr>
          <w:trHeight w:val="198"/>
        </w:trPr>
        <w:tc>
          <w:tcPr>
            <w:tcW w:w="49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Changes in the carrying amount of convertible redeemable</w:t>
            </w: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shares</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40,149</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8,333</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16,256</w:t>
            </w: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70,126</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61,951</w:t>
            </w:r>
          </w:p>
        </w:tc>
        <w:tc>
          <w:tcPr>
            <w:tcW w:w="12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196,815</w:t>
            </w:r>
          </w:p>
        </w:tc>
        <w:tc>
          <w:tcPr>
            <w:tcW w:w="0" w:type="dxa"/>
            <w:vAlign w:val="bottom"/>
          </w:tcPr>
          <w:p>
            <w:pPr>
              <w:spacing w:after="0"/>
              <w:rPr>
                <w:sz w:val="1"/>
                <w:szCs w:val="1"/>
                <w:color w:val="auto"/>
              </w:rPr>
            </w:pPr>
          </w:p>
        </w:tc>
      </w:tr>
      <w:tr>
        <w:trPr>
          <w:trHeight w:val="198"/>
        </w:trPr>
        <w:tc>
          <w:tcPr>
            <w:tcW w:w="49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convertible redeemable preferred shares according to</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commitments</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740,320</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35,792</w:t>
            </w:r>
          </w:p>
        </w:tc>
        <w:tc>
          <w:tcPr>
            <w:tcW w:w="108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776,112</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effect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64,781</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9,886</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18,816</w:t>
            </w: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98,831</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44,748</w:t>
            </w: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237,062</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of June 30, 2022</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1,549,588</w:t>
            </w:r>
          </w:p>
        </w:tc>
        <w:tc>
          <w:tcPr>
            <w:tcW w:w="1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200,349</w:t>
            </w:r>
          </w:p>
        </w:tc>
        <w:tc>
          <w:tcPr>
            <w:tcW w:w="16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393,147</w:t>
            </w:r>
          </w:p>
        </w:tc>
        <w:tc>
          <w:tcPr>
            <w:tcW w:w="160" w:type="dxa"/>
            <w:vAlign w:val="bottom"/>
          </w:tcPr>
          <w:p>
            <w:pPr>
              <w:spacing w:after="0"/>
              <w:rPr>
                <w:sz w:val="19"/>
                <w:szCs w:val="19"/>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1,998,722</w:t>
            </w:r>
          </w:p>
        </w:tc>
        <w:tc>
          <w:tcPr>
            <w:tcW w:w="16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1,305,758</w:t>
            </w: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5,447,564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960" w:type="dxa"/>
            <w:vAlign w:val="bottom"/>
          </w:tcPr>
          <w:p>
            <w:pPr>
              <w:spacing w:after="0"/>
              <w:rPr>
                <w:sz w:val="24"/>
                <w:szCs w:val="24"/>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F-88</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341" w:name="page342"/>
    <w:bookmarkEnd w:id="3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17</w:t>
        <w:tab/>
        <w:t>Trade payables, other payables, deposits received and accrued expenses</w:t>
      </w:r>
    </w:p>
    <w:p>
      <w:pPr>
        <w:spacing w:after="0" w:line="23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280" w:type="dxa"/>
            <w:vAlign w:val="bottom"/>
          </w:tcPr>
          <w:p>
            <w:pPr>
              <w:spacing w:after="0"/>
              <w:rPr>
                <w:sz w:val="13"/>
                <w:szCs w:val="13"/>
                <w:color w:val="auto"/>
              </w:rPr>
            </w:pPr>
          </w:p>
        </w:tc>
        <w:tc>
          <w:tcPr>
            <w:tcW w:w="144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i w:val="1"/>
                <w:iCs w:val="1"/>
                <w:color w:val="auto"/>
              </w:rPr>
              <w:t>As of</w:t>
            </w: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i w:val="1"/>
                <w:iCs w:val="1"/>
                <w:color w:val="auto"/>
                <w:w w:val="98"/>
              </w:rPr>
              <w:t>As of</w:t>
            </w:r>
          </w:p>
        </w:tc>
      </w:tr>
      <w:tr>
        <w:trPr>
          <w:trHeight w:val="148"/>
        </w:trPr>
        <w:tc>
          <w:tcPr>
            <w:tcW w:w="6280" w:type="dxa"/>
            <w:vAlign w:val="bottom"/>
          </w:tcPr>
          <w:p>
            <w:pPr>
              <w:spacing w:after="0"/>
              <w:rPr>
                <w:sz w:val="12"/>
                <w:szCs w:val="12"/>
                <w:color w:val="auto"/>
              </w:rPr>
            </w:pPr>
          </w:p>
        </w:tc>
        <w:tc>
          <w:tcPr>
            <w:tcW w:w="1440" w:type="dxa"/>
            <w:vAlign w:val="bottom"/>
            <w:gridSpan w:val="2"/>
          </w:tcPr>
          <w:p>
            <w:pPr>
              <w:jc w:val="right"/>
              <w:ind w:right="620"/>
              <w:spacing w:after="0" w:line="149" w:lineRule="exact"/>
              <w:rPr>
                <w:sz w:val="20"/>
                <w:szCs w:val="20"/>
                <w:color w:val="auto"/>
              </w:rPr>
            </w:pPr>
            <w:r>
              <w:rPr>
                <w:rFonts w:ascii="Times New Roman" w:cs="Times New Roman" w:eastAsia="Times New Roman" w:hAnsi="Times New Roman"/>
                <w:sz w:val="14"/>
                <w:szCs w:val="14"/>
                <w:i w:val="1"/>
                <w:iCs w:val="1"/>
                <w:color w:val="auto"/>
              </w:rPr>
              <w:t>December 31,</w:t>
            </w:r>
          </w:p>
        </w:tc>
        <w:tc>
          <w:tcPr>
            <w:tcW w:w="6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i w:val="1"/>
                <w:iCs w:val="1"/>
                <w:color w:val="auto"/>
              </w:rPr>
              <w:t>June 30,</w:t>
            </w:r>
          </w:p>
        </w:tc>
      </w:tr>
      <w:tr>
        <w:trPr>
          <w:trHeight w:val="173"/>
        </w:trPr>
        <w:tc>
          <w:tcPr>
            <w:tcW w:w="6280" w:type="dxa"/>
            <w:vAlign w:val="bottom"/>
          </w:tcPr>
          <w:p>
            <w:pPr>
              <w:spacing w:after="0"/>
              <w:rPr>
                <w:sz w:val="15"/>
                <w:szCs w:val="15"/>
                <w:color w:val="auto"/>
              </w:rPr>
            </w:pPr>
          </w:p>
        </w:tc>
        <w:tc>
          <w:tcPr>
            <w:tcW w:w="8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i w:val="1"/>
                <w:iCs w:val="1"/>
                <w:color w:val="auto"/>
              </w:rPr>
              <w:t>2021</w:t>
            </w:r>
          </w:p>
        </w:tc>
        <w:tc>
          <w:tcPr>
            <w:tcW w:w="620" w:type="dxa"/>
            <w:vAlign w:val="bottom"/>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i w:val="1"/>
                <w:iCs w:val="1"/>
                <w:color w:val="auto"/>
                <w:w w:val="99"/>
              </w:rPr>
              <w:t>2022</w:t>
            </w:r>
          </w:p>
        </w:tc>
        <w:tc>
          <w:tcPr>
            <w:tcW w:w="40" w:type="dxa"/>
            <w:vAlign w:val="bottom"/>
          </w:tcPr>
          <w:p>
            <w:pPr>
              <w:spacing w:after="0"/>
              <w:rPr>
                <w:sz w:val="15"/>
                <w:szCs w:val="15"/>
                <w:color w:val="auto"/>
              </w:rPr>
            </w:pPr>
          </w:p>
        </w:tc>
      </w:tr>
      <w:tr>
        <w:trPr>
          <w:trHeight w:val="142"/>
        </w:trPr>
        <w:tc>
          <w:tcPr>
            <w:tcW w:w="6280" w:type="dxa"/>
            <w:vAlign w:val="bottom"/>
          </w:tcPr>
          <w:p>
            <w:pPr>
              <w:spacing w:after="0"/>
              <w:rPr>
                <w:sz w:val="12"/>
                <w:szCs w:val="12"/>
                <w:color w:val="auto"/>
              </w:rPr>
            </w:pPr>
          </w:p>
        </w:tc>
        <w:tc>
          <w:tcPr>
            <w:tcW w:w="8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62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98"/>
              </w:rPr>
              <w:t>RMB’000</w:t>
            </w:r>
          </w:p>
        </w:tc>
        <w:tc>
          <w:tcPr>
            <w:tcW w:w="40" w:type="dxa"/>
            <w:vAlign w:val="bottom"/>
          </w:tcPr>
          <w:p>
            <w:pPr>
              <w:spacing w:after="0"/>
              <w:rPr>
                <w:sz w:val="12"/>
                <w:szCs w:val="12"/>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14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15,948</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16,864</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Accrued payroll and social insurance</w:t>
            </w:r>
          </w:p>
        </w:tc>
        <w:tc>
          <w:tcPr>
            <w:tcW w:w="14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51,170</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35,563</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Payables for professional services</w:t>
            </w:r>
          </w:p>
        </w:tc>
        <w:tc>
          <w:tcPr>
            <w:tcW w:w="14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2,286</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1,554</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Taxes payable other than income taxes</w:t>
            </w:r>
          </w:p>
        </w:tc>
        <w:tc>
          <w:tcPr>
            <w:tcW w:w="14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2,328</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1,805</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4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8,445</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12,299</w:t>
            </w:r>
          </w:p>
        </w:tc>
      </w:tr>
      <w:tr>
        <w:trPr>
          <w:trHeight w:val="223"/>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Total other payables, deposits received and accrued expenses</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64,229</w:t>
            </w:r>
          </w:p>
        </w:tc>
        <w:tc>
          <w:tcPr>
            <w:tcW w:w="6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51,221</w:t>
            </w:r>
          </w:p>
        </w:tc>
        <w:tc>
          <w:tcPr>
            <w:tcW w:w="40" w:type="dxa"/>
            <w:vAlign w:val="bottom"/>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trade and other payables, deposits received and accrued expenses</w:t>
            </w:r>
          </w:p>
        </w:tc>
        <w:tc>
          <w:tcPr>
            <w:tcW w:w="14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80,177</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68,085</w:t>
            </w:r>
          </w:p>
        </w:tc>
      </w:tr>
      <w:tr>
        <w:trPr>
          <w:trHeight w:val="20"/>
        </w:trPr>
        <w:tc>
          <w:tcPr>
            <w:tcW w:w="6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As of June 30, 2022, all of the remaining balances of trade and other payables are expected to be settled or recognized as income within one year or are repayable on demand.</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credit period granted by the suppliers is 30 to 60 days.</w:t>
      </w:r>
    </w:p>
    <w:p>
      <w:pPr>
        <w:spacing w:after="0" w:line="370"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18</w:t>
        <w:tab/>
        <w:t>Financial liabilities measured at FVTPL</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20" w:type="dxa"/>
            <w:vAlign w:val="bottom"/>
          </w:tcPr>
          <w:p>
            <w:pPr>
              <w:spacing w:after="0"/>
              <w:rPr>
                <w:sz w:val="13"/>
                <w:szCs w:val="13"/>
                <w:color w:val="auto"/>
              </w:rPr>
            </w:pPr>
          </w:p>
        </w:tc>
        <w:tc>
          <w:tcPr>
            <w:tcW w:w="6300" w:type="dxa"/>
            <w:vAlign w:val="bottom"/>
          </w:tcPr>
          <w:p>
            <w:pPr>
              <w:spacing w:after="0"/>
              <w:rPr>
                <w:sz w:val="13"/>
                <w:szCs w:val="13"/>
                <w:color w:val="auto"/>
              </w:rPr>
            </w:pPr>
          </w:p>
        </w:tc>
        <w:tc>
          <w:tcPr>
            <w:tcW w:w="82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i w:val="1"/>
                <w:iCs w:val="1"/>
                <w:color w:val="auto"/>
              </w:rPr>
              <w:t>As of</w:t>
            </w:r>
          </w:p>
        </w:tc>
        <w:tc>
          <w:tcPr>
            <w:tcW w:w="540" w:type="dxa"/>
            <w:vAlign w:val="bottom"/>
          </w:tcPr>
          <w:p>
            <w:pPr>
              <w:spacing w:after="0"/>
              <w:rPr>
                <w:sz w:val="13"/>
                <w:szCs w:val="13"/>
                <w:color w:val="auto"/>
              </w:rPr>
            </w:pPr>
          </w:p>
        </w:tc>
        <w:tc>
          <w:tcPr>
            <w:tcW w:w="70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i w:val="1"/>
                <w:iCs w:val="1"/>
                <w:color w:val="auto"/>
              </w:rPr>
              <w:t>As of</w:t>
            </w: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i w:val="1"/>
                <w:iCs w:val="1"/>
                <w:color w:val="auto"/>
              </w:rPr>
              <w:t>December 31,</w:t>
            </w:r>
          </w:p>
        </w:tc>
        <w:tc>
          <w:tcPr>
            <w:tcW w:w="540" w:type="dxa"/>
            <w:vAlign w:val="bottom"/>
          </w:tcPr>
          <w:p>
            <w:pPr>
              <w:spacing w:after="0"/>
              <w:rPr>
                <w:sz w:val="12"/>
                <w:szCs w:val="12"/>
                <w:color w:val="auto"/>
              </w:rPr>
            </w:pPr>
          </w:p>
        </w:tc>
        <w:tc>
          <w:tcPr>
            <w:tcW w:w="700" w:type="dxa"/>
            <w:vAlign w:val="bottom"/>
            <w:gridSpan w:val="4"/>
          </w:tcPr>
          <w:p>
            <w:pPr>
              <w:jc w:val="right"/>
              <w:ind w:right="120"/>
              <w:spacing w:after="0" w:line="149" w:lineRule="exact"/>
              <w:rPr>
                <w:sz w:val="20"/>
                <w:szCs w:val="20"/>
                <w:color w:val="auto"/>
              </w:rPr>
            </w:pPr>
            <w:r>
              <w:rPr>
                <w:rFonts w:ascii="Times New Roman" w:cs="Times New Roman" w:eastAsia="Times New Roman" w:hAnsi="Times New Roman"/>
                <w:sz w:val="14"/>
                <w:szCs w:val="14"/>
                <w:i w:val="1"/>
                <w:iCs w:val="1"/>
                <w:color w:val="auto"/>
              </w:rPr>
              <w:t>June 30,</w:t>
            </w:r>
          </w:p>
        </w:tc>
        <w:tc>
          <w:tcPr>
            <w:tcW w:w="0" w:type="dxa"/>
            <w:vAlign w:val="bottom"/>
          </w:tcPr>
          <w:p>
            <w:pPr>
              <w:spacing w:after="0"/>
              <w:rPr>
                <w:sz w:val="1"/>
                <w:szCs w:val="1"/>
                <w:color w:val="auto"/>
              </w:rPr>
            </w:pPr>
          </w:p>
        </w:tc>
      </w:tr>
      <w:tr>
        <w:trPr>
          <w:trHeight w:val="173"/>
        </w:trPr>
        <w:tc>
          <w:tcPr>
            <w:tcW w:w="132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82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i w:val="1"/>
                <w:iCs w:val="1"/>
                <w:color w:val="auto"/>
              </w:rPr>
              <w:t>2021</w:t>
            </w:r>
          </w:p>
        </w:tc>
        <w:tc>
          <w:tcPr>
            <w:tcW w:w="11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i w:val="1"/>
                <w:iCs w:val="1"/>
                <w:color w:val="auto"/>
              </w:rPr>
              <w:t>2022</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82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i w:val="1"/>
                <w:iCs w:val="1"/>
                <w:color w:val="auto"/>
              </w:rPr>
              <w:t>RMB’000</w:t>
            </w:r>
          </w:p>
        </w:tc>
        <w:tc>
          <w:tcPr>
            <w:tcW w:w="540" w:type="dxa"/>
            <w:vAlign w:val="bottom"/>
          </w:tcPr>
          <w:p>
            <w:pPr>
              <w:spacing w:after="0"/>
              <w:rPr>
                <w:sz w:val="12"/>
                <w:szCs w:val="12"/>
                <w:color w:val="auto"/>
              </w:rPr>
            </w:pPr>
          </w:p>
        </w:tc>
        <w:tc>
          <w:tcPr>
            <w:tcW w:w="660" w:type="dxa"/>
            <w:vAlign w:val="bottom"/>
            <w:tcBorders>
              <w:top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4"/>
                <w:szCs w:val="14"/>
                <w:i w:val="1"/>
                <w:iCs w:val="1"/>
                <w:color w:val="auto"/>
              </w:rPr>
              <w:t>RMB’000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74,357</w:t>
            </w:r>
          </w:p>
        </w:tc>
        <w:tc>
          <w:tcPr>
            <w:tcW w:w="124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191,748</w:t>
            </w: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movement of warrant liabilities during the periods presented is set out as below:</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62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3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6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i w:val="1"/>
                <w:iCs w:val="1"/>
                <w:color w:val="auto"/>
              </w:rPr>
              <w:t>For the six months ended</w:t>
            </w:r>
          </w:p>
        </w:tc>
        <w:tc>
          <w:tcPr>
            <w:tcW w:w="0" w:type="dxa"/>
            <w:vAlign w:val="bottom"/>
          </w:tcPr>
          <w:p>
            <w:pPr>
              <w:spacing w:after="0"/>
              <w:rPr>
                <w:sz w:val="1"/>
                <w:szCs w:val="1"/>
                <w:color w:val="auto"/>
              </w:rPr>
            </w:pPr>
          </w:p>
        </w:tc>
      </w:tr>
      <w:tr>
        <w:trPr>
          <w:trHeight w:val="173"/>
        </w:trPr>
        <w:tc>
          <w:tcPr>
            <w:tcW w:w="132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i w:val="1"/>
                <w:iCs w:val="1"/>
                <w:color w:val="auto"/>
              </w:rPr>
              <w:t>June 30, 2022</w:t>
            </w: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jc w:val="center"/>
              <w:ind w:right="228"/>
              <w:spacing w:after="0" w:line="142" w:lineRule="exact"/>
              <w:rPr>
                <w:sz w:val="20"/>
                <w:szCs w:val="20"/>
                <w:color w:val="auto"/>
              </w:rPr>
            </w:pPr>
            <w:r>
              <w:rPr>
                <w:rFonts w:ascii="Times New Roman" w:cs="Times New Roman" w:eastAsia="Times New Roman" w:hAnsi="Times New Roman"/>
                <w:sz w:val="14"/>
                <w:szCs w:val="14"/>
                <w:i w:val="1"/>
                <w:iCs w:val="1"/>
                <w:color w:val="auto"/>
              </w:rPr>
              <w:t>RMB’000</w:t>
            </w:r>
          </w:p>
        </w:tc>
        <w:tc>
          <w:tcPr>
            <w:tcW w:w="10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January 1</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74,357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warrant liabilities</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Inducement charges (Note(i))</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120,750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Fair value changes</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(11,162)</w:t>
            </w:r>
          </w:p>
        </w:tc>
        <w:tc>
          <w:tcPr>
            <w:tcW w:w="0" w:type="dxa"/>
            <w:vAlign w:val="bottom"/>
          </w:tcPr>
          <w:p>
            <w:pPr>
              <w:spacing w:after="0"/>
              <w:rPr>
                <w:sz w:val="1"/>
                <w:szCs w:val="1"/>
                <w:color w:val="auto"/>
              </w:rPr>
            </w:pPr>
          </w:p>
        </w:tc>
      </w:tr>
      <w:tr>
        <w:trPr>
          <w:trHeight w:val="198"/>
        </w:trPr>
        <w:tc>
          <w:tcPr>
            <w:tcW w:w="1320" w:type="dxa"/>
            <w:vAlign w:val="bottom"/>
          </w:tcPr>
          <w:p>
            <w:pPr>
              <w:spacing w:after="0"/>
              <w:rPr>
                <w:sz w:val="17"/>
                <w:szCs w:val="17"/>
                <w:color w:val="auto"/>
              </w:rPr>
            </w:pPr>
          </w:p>
        </w:tc>
        <w:tc>
          <w:tcPr>
            <w:tcW w:w="6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Exercised by the investors to subscribe for convertible redeemable</w:t>
            </w: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p>
        </w:tc>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shares</w:t>
            </w:r>
          </w:p>
        </w:tc>
        <w:tc>
          <w:tcPr>
            <w:tcW w:w="5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 Other reserve</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effect</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7,803</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As of June 30</w:t>
            </w:r>
          </w:p>
        </w:tc>
        <w:tc>
          <w:tcPr>
            <w:tcW w:w="5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191,748</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540" w:hanging="424"/>
        <w:spacing w:after="0" w:line="261" w:lineRule="auto"/>
        <w:tabs>
          <w:tab w:leader="none" w:pos="54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2022, certain warrants were granted to certain Series D Preferred Shares’ investors without additional consideration, when the Company issued the Series D Preferred Shares to these investors. Under the warrants, these investors have the rights to subscribe for more Series D Preferred Shares at a predetermined price during a specific period. The initial fair value of these warrants is treated as an inducement charge for the financing activities.</w:t>
      </w:r>
    </w:p>
    <w:p>
      <w:pPr>
        <w:spacing w:after="0" w:line="180"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 Company has engaged an independent valuation firm to evaluate the fair value of the warrants utilizing the binomial option-pricing model, which involves significant assumptions including the risk-free interest rate, the</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F-89</w:t>
      </w:r>
    </w:p>
    <w:p>
      <w:pPr>
        <w:sectPr>
          <w:pgSz w:w="11900" w:h="16838" w:orient="portrait"/>
          <w:cols w:equalWidth="0" w:num="1">
            <w:col w:w="11060"/>
          </w:cols>
          <w:pgMar w:left="320" w:top="455" w:right="519" w:bottom="1440" w:gutter="0" w:footer="0" w:header="0"/>
        </w:sectPr>
      </w:pPr>
    </w:p>
    <w:bookmarkStart w:id="342" w:name="page343"/>
    <w:bookmarkEnd w:id="3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expected volatility, expected dividend yield and expected term. The warrant liabilities are remeasured at the end of each period presented utilizing the binomial option-pricing model with the following assumptions:</w:t>
      </w:r>
    </w:p>
    <w:p>
      <w:pPr>
        <w:spacing w:after="0" w:line="182"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14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As of June 30, 2022</w:t>
            </w:r>
          </w:p>
        </w:tc>
        <w:tc>
          <w:tcPr>
            <w:tcW w:w="200" w:type="dxa"/>
            <w:vAlign w:val="bottom"/>
            <w:tcBorders>
              <w:bottom w:val="single" w:sz="8" w:color="CCEEFF"/>
            </w:tcBorders>
          </w:tcPr>
          <w:p>
            <w:pPr>
              <w:spacing w:after="0"/>
              <w:rPr>
                <w:sz w:val="15"/>
                <w:szCs w:val="15"/>
                <w:color w:val="auto"/>
              </w:rPr>
            </w:pPr>
          </w:p>
        </w:tc>
      </w:tr>
      <w:tr>
        <w:trPr>
          <w:trHeight w:val="209"/>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56.0%</w:t>
            </w: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(per annum)</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r>
      <w:tr>
        <w:trPr>
          <w:trHeight w:val="234"/>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1.5-3.5 years</w:t>
            </w:r>
          </w:p>
        </w:tc>
      </w:tr>
    </w:tbl>
    <w:p>
      <w:pPr>
        <w:spacing w:after="0" w:line="324"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19</w:t>
        <w:tab/>
        <w:t>Share-based compensation</w:t>
      </w:r>
    </w:p>
    <w:p>
      <w:pPr>
        <w:spacing w:after="0" w:line="131" w:lineRule="exact"/>
        <w:rPr>
          <w:sz w:val="20"/>
          <w:szCs w:val="20"/>
          <w:color w:val="auto"/>
        </w:rPr>
      </w:pPr>
    </w:p>
    <w:p>
      <w:pPr>
        <w:ind w:left="540" w:hanging="424"/>
        <w:spacing w:after="0"/>
        <w:tabs>
          <w:tab w:leader="none" w:pos="540" w:val="left"/>
        </w:tabs>
        <w:numPr>
          <w:ilvl w:val="0"/>
          <w:numId w:val="25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Share options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 option activities during six months ended June 30, 2022 are summarized as follows: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200" w:type="dxa"/>
            <w:vAlign w:val="bottom"/>
          </w:tcPr>
          <w:p>
            <w:pPr>
              <w:spacing w:after="0"/>
              <w:rPr>
                <w:sz w:val="15"/>
                <w:szCs w:val="15"/>
                <w:color w:val="auto"/>
              </w:rPr>
            </w:pPr>
          </w:p>
        </w:tc>
        <w:tc>
          <w:tcPr>
            <w:tcW w:w="306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4"/>
                <w:szCs w:val="14"/>
                <w:i w:val="1"/>
                <w:iCs w:val="1"/>
                <w:color w:val="auto"/>
              </w:rPr>
              <w:t>For the six months ended June 30, 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200" w:type="dxa"/>
            <w:vAlign w:val="bottom"/>
          </w:tcPr>
          <w:p>
            <w:pPr>
              <w:spacing w:after="0"/>
              <w:rPr>
                <w:sz w:val="10"/>
                <w:szCs w:val="10"/>
                <w:color w:val="auto"/>
              </w:rPr>
            </w:pPr>
          </w:p>
        </w:tc>
        <w:tc>
          <w:tcPr>
            <w:tcW w:w="1980" w:type="dxa"/>
            <w:vAlign w:val="bottom"/>
            <w:gridSpan w:val="2"/>
          </w:tcPr>
          <w:p>
            <w:pPr>
              <w:jc w:val="center"/>
              <w:ind w:right="920"/>
              <w:spacing w:after="0" w:line="118" w:lineRule="exact"/>
              <w:rPr>
                <w:sz w:val="20"/>
                <w:szCs w:val="20"/>
                <w:color w:val="auto"/>
              </w:rPr>
            </w:pPr>
            <w:r>
              <w:rPr>
                <w:rFonts w:ascii="Times New Roman" w:cs="Times New Roman" w:eastAsia="Times New Roman" w:hAnsi="Times New Roman"/>
                <w:sz w:val="13"/>
                <w:szCs w:val="13"/>
                <w:i w:val="1"/>
                <w:iCs w:val="1"/>
                <w:color w:val="auto"/>
              </w:rPr>
              <w:t>Weighted average</w:t>
            </w:r>
          </w:p>
        </w:tc>
        <w:tc>
          <w:tcPr>
            <w:tcW w:w="11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i w:val="1"/>
                <w:iCs w:val="1"/>
                <w:color w:val="auto"/>
              </w:rPr>
              <w:t>Number of options</w:t>
            </w:r>
          </w:p>
        </w:tc>
        <w:tc>
          <w:tcPr>
            <w:tcW w:w="0" w:type="dxa"/>
            <w:vAlign w:val="bottom"/>
          </w:tcPr>
          <w:p>
            <w:pPr>
              <w:spacing w:after="0"/>
              <w:rPr>
                <w:sz w:val="1"/>
                <w:szCs w:val="1"/>
                <w:color w:val="auto"/>
              </w:rPr>
            </w:pPr>
          </w:p>
        </w:tc>
      </w:tr>
      <w:tr>
        <w:trPr>
          <w:trHeight w:val="173"/>
        </w:trPr>
        <w:tc>
          <w:tcPr>
            <w:tcW w:w="5200" w:type="dxa"/>
            <w:vAlign w:val="bottom"/>
          </w:tcPr>
          <w:p>
            <w:pPr>
              <w:spacing w:after="0"/>
              <w:rPr>
                <w:sz w:val="15"/>
                <w:szCs w:val="15"/>
                <w:color w:val="auto"/>
              </w:rPr>
            </w:pPr>
          </w:p>
        </w:tc>
        <w:tc>
          <w:tcPr>
            <w:tcW w:w="1980" w:type="dxa"/>
            <w:vAlign w:val="bottom"/>
            <w:gridSpan w:val="2"/>
          </w:tcPr>
          <w:p>
            <w:pPr>
              <w:jc w:val="center"/>
              <w:ind w:right="920"/>
              <w:spacing w:after="0"/>
              <w:rPr>
                <w:sz w:val="20"/>
                <w:szCs w:val="20"/>
                <w:color w:val="auto"/>
              </w:rPr>
            </w:pPr>
            <w:r>
              <w:rPr>
                <w:rFonts w:ascii="Times New Roman" w:cs="Times New Roman" w:eastAsia="Times New Roman" w:hAnsi="Times New Roman"/>
                <w:sz w:val="14"/>
                <w:szCs w:val="14"/>
                <w:i w:val="1"/>
                <w:iCs w:val="1"/>
                <w:color w:val="auto"/>
                <w:w w:val="99"/>
              </w:rPr>
              <w:t>exercise price</w:t>
            </w:r>
          </w:p>
        </w:tc>
        <w:tc>
          <w:tcPr>
            <w:tcW w:w="1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00" w:type="dxa"/>
            <w:vAlign w:val="bottom"/>
          </w:tcPr>
          <w:p>
            <w:pPr>
              <w:spacing w:after="0"/>
              <w:rPr>
                <w:sz w:val="12"/>
                <w:szCs w:val="12"/>
                <w:color w:val="auto"/>
              </w:rPr>
            </w:pPr>
          </w:p>
        </w:tc>
        <w:tc>
          <w:tcPr>
            <w:tcW w:w="10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USD</w:t>
            </w:r>
          </w:p>
        </w:tc>
        <w:tc>
          <w:tcPr>
            <w:tcW w:w="94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January 1, 2022</w:t>
            </w:r>
          </w:p>
        </w:tc>
        <w:tc>
          <w:tcPr>
            <w:tcW w:w="19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0.6</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53,564,010</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9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1.0</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9,170,730</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9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0.6</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(3,129,740)</w:t>
            </w: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as of June 30, 2022</w:t>
            </w:r>
          </w:p>
        </w:tc>
        <w:tc>
          <w:tcPr>
            <w:tcW w:w="104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w w:val="88"/>
              </w:rPr>
              <w:t>0.6</w:t>
            </w:r>
          </w:p>
        </w:tc>
        <w:tc>
          <w:tcPr>
            <w:tcW w:w="94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59,605,000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as of June 30, 2022</w:t>
            </w:r>
          </w:p>
        </w:tc>
        <w:tc>
          <w:tcPr>
            <w:tcW w:w="19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 of the share options granted for the six months ended June 30, 2022 was USD2.0. The aggregated fair value of the share options at the grant date for the six months ended June 30, 2022 was USD18.7 million (equivalent to RMB125.5 million).</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share options outstanding had a weighted average remaining contractual life of 8.9 years as of June 30, 2022.</w:t>
      </w:r>
    </w:p>
    <w:p>
      <w:pPr>
        <w:spacing w:after="0" w:line="225"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The fair value of share options granted is measured by reference to the fair value of the Company’s equity interest. The Group has used the discounted cash flow method to determine the underlying equity fair value of the Company. The estimation of the share options granted is measured based on a binominal options pricing model. The key assumptions used in determining the fair value are as follows:</w:t>
      </w:r>
    </w:p>
    <w:p>
      <w:pPr>
        <w:spacing w:after="0" w:line="19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30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3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i w:val="1"/>
                <w:iCs w:val="1"/>
                <w:color w:val="auto"/>
              </w:rPr>
              <w:t>For the six months ended June 30, 2022</w:t>
            </w:r>
          </w:p>
        </w:tc>
      </w:tr>
      <w:tr>
        <w:trPr>
          <w:trHeight w:val="209"/>
        </w:trPr>
        <w:tc>
          <w:tcPr>
            <w:tcW w:w="3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at measurement date</w:t>
            </w:r>
          </w:p>
        </w:tc>
        <w:tc>
          <w:tcPr>
            <w:tcW w:w="208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USD1.9-USD2.4</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4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51.9%</w:t>
            </w: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multiple</w:t>
            </w:r>
          </w:p>
        </w:tc>
        <w:tc>
          <w:tcPr>
            <w:tcW w:w="208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2.2x</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44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(per annum)</w:t>
            </w:r>
          </w:p>
        </w:tc>
        <w:tc>
          <w:tcPr>
            <w:tcW w:w="44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2.8%-2.9%</w:t>
            </w:r>
          </w:p>
        </w:tc>
      </w:tr>
      <w:tr>
        <w:trPr>
          <w:trHeight w:val="23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2080" w:type="dxa"/>
            <w:vAlign w:val="bottom"/>
          </w:tcPr>
          <w:p>
            <w:pPr>
              <w:spacing w:after="0"/>
              <w:rPr>
                <w:sz w:val="20"/>
                <w:szCs w:val="20"/>
                <w:color w:val="auto"/>
              </w:rPr>
            </w:pPr>
          </w:p>
        </w:tc>
        <w:tc>
          <w:tcPr>
            <w:tcW w:w="2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 years</w:t>
            </w:r>
          </w:p>
        </w:tc>
      </w:tr>
      <w:tr>
        <w:trPr>
          <w:trHeight w:val="346"/>
        </w:trPr>
        <w:tc>
          <w:tcPr>
            <w:tcW w:w="3040" w:type="dxa"/>
            <w:vAlign w:val="bottom"/>
          </w:tcPr>
          <w:p>
            <w:pPr>
              <w:spacing w:after="0"/>
              <w:rPr>
                <w:sz w:val="24"/>
                <w:szCs w:val="24"/>
                <w:color w:val="auto"/>
              </w:rPr>
            </w:pPr>
          </w:p>
        </w:tc>
        <w:tc>
          <w:tcPr>
            <w:tcW w:w="4440" w:type="dxa"/>
            <w:vAlign w:val="bottom"/>
            <w:gridSpan w:val="3"/>
          </w:tcPr>
          <w:p>
            <w:pPr>
              <w:jc w:val="right"/>
              <w:ind w:right="3560"/>
              <w:spacing w:after="0"/>
              <w:rPr>
                <w:sz w:val="20"/>
                <w:szCs w:val="20"/>
                <w:color w:val="auto"/>
              </w:rPr>
            </w:pPr>
            <w:r>
              <w:rPr>
                <w:rFonts w:ascii="Times New Roman" w:cs="Times New Roman" w:eastAsia="Times New Roman" w:hAnsi="Times New Roman"/>
                <w:sz w:val="18"/>
                <w:szCs w:val="18"/>
                <w:color w:val="auto"/>
              </w:rPr>
              <w:t>F-90</w:t>
            </w:r>
          </w:p>
        </w:tc>
      </w:tr>
    </w:tbl>
    <w:p>
      <w:pPr>
        <w:sectPr>
          <w:pgSz w:w="11900" w:h="16838" w:orient="portrait"/>
          <w:cols w:equalWidth="0" w:num="1">
            <w:col w:w="11000"/>
          </w:cols>
          <w:pgMar w:left="320" w:top="455" w:right="579" w:bottom="1440" w:gutter="0" w:footer="0" w:header="0"/>
        </w:sectPr>
      </w:pPr>
    </w:p>
    <w:bookmarkStart w:id="343" w:name="page344"/>
    <w:bookmarkEnd w:id="3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25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Restricted share units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Restricted share units activities for the six months ended June 30, 2022 are summarized as follows: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46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For the six months ended June 30, 2022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300" w:type="dxa"/>
            <w:vAlign w:val="bottom"/>
            <w:tcBorders>
              <w:top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i w:val="1"/>
                <w:iCs w:val="1"/>
                <w:color w:val="auto"/>
              </w:rPr>
              <w:t>Number of restricted share units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January 1, 2022</w:t>
            </w:r>
          </w:p>
        </w:tc>
        <w:tc>
          <w:tcPr>
            <w:tcW w:w="4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194,569,490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2200" w:type="dxa"/>
            <w:vAlign w:val="bottom"/>
          </w:tcPr>
          <w:p>
            <w:pPr>
              <w:spacing w:after="0"/>
              <w:rPr>
                <w:sz w:val="19"/>
                <w:szCs w:val="19"/>
                <w:color w:val="auto"/>
              </w:rPr>
            </w:pPr>
          </w:p>
        </w:tc>
        <w:tc>
          <w:tcPr>
            <w:tcW w:w="2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(689,130)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June 30, 2022</w:t>
            </w:r>
          </w:p>
        </w:tc>
        <w:tc>
          <w:tcPr>
            <w:tcW w:w="2200" w:type="dxa"/>
            <w:vAlign w:val="bottom"/>
            <w:shd w:val="clear" w:color="auto" w:fill="CCEEFF"/>
          </w:tcPr>
          <w:p>
            <w:pPr>
              <w:spacing w:after="0"/>
              <w:rPr>
                <w:sz w:val="18"/>
                <w:szCs w:val="18"/>
                <w:color w:val="auto"/>
              </w:rPr>
            </w:pPr>
          </w:p>
        </w:tc>
        <w:tc>
          <w:tcPr>
            <w:tcW w:w="2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193,880,360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Vested as of June 30, 2022</w:t>
            </w:r>
          </w:p>
        </w:tc>
        <w:tc>
          <w:tcPr>
            <w:tcW w:w="45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gridSpan w:val="2"/>
            <w:vMerge w:val="continue"/>
          </w:tcPr>
          <w:p>
            <w:pPr>
              <w:spacing w:after="0"/>
              <w:rPr>
                <w:sz w:val="18"/>
                <w:szCs w:val="18"/>
                <w:color w:val="auto"/>
              </w:rPr>
            </w:pPr>
          </w:p>
        </w:tc>
        <w:tc>
          <w:tcPr>
            <w:tcW w:w="2200" w:type="dxa"/>
            <w:vAlign w:val="bottom"/>
          </w:tcPr>
          <w:p>
            <w:pPr>
              <w:spacing w:after="0"/>
              <w:rPr>
                <w:sz w:val="18"/>
                <w:szCs w:val="18"/>
                <w:color w:val="auto"/>
              </w:rPr>
            </w:pPr>
          </w:p>
        </w:tc>
        <w:tc>
          <w:tcPr>
            <w:tcW w:w="2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125,994,150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 restricted share unit was granted to any employee for the six months ended June 30, 2022.</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restricted share units outstanding as of June 30, 2022 had weighted average remaining contractual life of 1.9 years.</w:t>
      </w:r>
    </w:p>
    <w:p>
      <w:pPr>
        <w:spacing w:after="0" w:line="225" w:lineRule="exact"/>
        <w:rPr>
          <w:sz w:val="20"/>
          <w:szCs w:val="20"/>
          <w:color w:val="auto"/>
        </w:rPr>
      </w:pPr>
    </w:p>
    <w:p>
      <w:pPr>
        <w:ind w:left="120" w:right="480"/>
        <w:spacing w:after="0" w:line="266" w:lineRule="auto"/>
        <w:rPr>
          <w:sz w:val="20"/>
          <w:szCs w:val="20"/>
          <w:color w:val="auto"/>
        </w:rPr>
      </w:pPr>
      <w:r>
        <w:rPr>
          <w:rFonts w:ascii="Times New Roman" w:cs="Times New Roman" w:eastAsia="Times New Roman" w:hAnsi="Times New Roman"/>
          <w:sz w:val="18"/>
          <w:szCs w:val="18"/>
          <w:color w:val="auto"/>
        </w:rPr>
        <w:t>Total compensation expense calculated based on the grant date fair value and the estimated forfeiture rate recognized in the unaudited condensed consolidated statements of profit or loss and other comprehensive income for aforementioned share options and restricted share units granted were RMB13.1 million and RMB81.7 million for the six months ended June 30, 2021 and 2022, respectively.</w:t>
      </w:r>
    </w:p>
    <w:p>
      <w:pPr>
        <w:spacing w:after="0" w:line="320"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20</w:t>
        <w:tab/>
        <w:t>Fair value measurement of financial instruments</w:t>
      </w:r>
    </w:p>
    <w:p>
      <w:pPr>
        <w:spacing w:after="0" w:line="131" w:lineRule="exact"/>
        <w:rPr>
          <w:sz w:val="20"/>
          <w:szCs w:val="20"/>
          <w:color w:val="auto"/>
        </w:rPr>
      </w:pPr>
    </w:p>
    <w:p>
      <w:pPr>
        <w:ind w:left="540" w:hanging="424"/>
        <w:spacing w:after="0"/>
        <w:tabs>
          <w:tab w:leader="none" w:pos="540" w:val="left"/>
        </w:tabs>
        <w:numPr>
          <w:ilvl w:val="0"/>
          <w:numId w:val="25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Financial assets and liabilities measured at fair value</w:t>
      </w:r>
    </w:p>
    <w:p>
      <w:pPr>
        <w:spacing w:after="0" w:line="135" w:lineRule="exact"/>
        <w:rPr>
          <w:sz w:val="20"/>
          <w:szCs w:val="20"/>
          <w:color w:val="auto"/>
        </w:rPr>
      </w:pPr>
    </w:p>
    <w:p>
      <w:pPr>
        <w:ind w:left="540" w:hanging="424"/>
        <w:spacing w:after="0"/>
        <w:tabs>
          <w:tab w:leader="none" w:pos="54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hierarchy</w:t>
      </w:r>
    </w:p>
    <w:p>
      <w:pPr>
        <w:spacing w:after="0" w:line="117"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 xml:space="preserve">The following table presents the fair value of the group’s financial instruments measured at the end of the periods presented on a recurring basis, categorized into the three-level fair value hierarchy as defined in IFRS 13,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The level into which a fair value measurement is classified is determined with reference to the observability and significance of the inputs used in the valuation technique as follows:</w:t>
      </w:r>
    </w:p>
    <w:p>
      <w:pPr>
        <w:sectPr>
          <w:pgSz w:w="11900" w:h="16838" w:orient="portrait"/>
          <w:cols w:equalWidth="0" w:num="1">
            <w:col w:w="11140"/>
          </w:cols>
          <w:pgMar w:left="320" w:top="455" w:right="439" w:bottom="1440" w:gutter="0" w:footer="0" w:header="0"/>
        </w:sectPr>
      </w:pP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•   Level 1 valuations: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Fair value measured using only Level 1 inputs i.e. unadjusted quoted prices in active markets for identical assets or liabilities at the measurement date.</w:t>
      </w:r>
    </w:p>
    <w:p>
      <w:pPr>
        <w:spacing w:after="0" w:line="54" w:lineRule="exact"/>
        <w:rPr>
          <w:sz w:val="20"/>
          <w:szCs w:val="20"/>
          <w:color w:val="auto"/>
        </w:rPr>
      </w:pPr>
    </w:p>
    <w:p>
      <w:pPr>
        <w:sectPr>
          <w:pgSz w:w="11900" w:h="16838" w:orient="portrait"/>
          <w:cols w:equalWidth="0" w:num="2">
            <w:col w:w="1720" w:space="720"/>
            <w:col w:w="8700"/>
          </w:cols>
          <w:pgMar w:left="320" w:top="455" w:right="4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auto"/>
        </w:rPr>
        <w:t>•   Level 2 valuations:</w:t>
      </w:r>
    </w:p>
    <w:p>
      <w:pPr>
        <w:spacing w:after="0" w:line="20" w:lineRule="exact"/>
        <w:rPr>
          <w:sz w:val="20"/>
          <w:szCs w:val="20"/>
          <w:color w:val="auto"/>
        </w:rPr>
      </w:pPr>
      <w:r>
        <w:rPr>
          <w:sz w:val="20"/>
          <w:szCs w:val="20"/>
          <w:color w:val="auto"/>
        </w:rPr>
        <w:br w:type="column"/>
      </w:r>
    </w:p>
    <w:p>
      <w:pPr>
        <w:ind w:right="360"/>
        <w:spacing w:after="0" w:line="282" w:lineRule="auto"/>
        <w:rPr>
          <w:sz w:val="20"/>
          <w:szCs w:val="20"/>
          <w:color w:val="auto"/>
        </w:rPr>
      </w:pPr>
      <w:r>
        <w:rPr>
          <w:rFonts w:ascii="Times New Roman" w:cs="Times New Roman" w:eastAsia="Times New Roman" w:hAnsi="Times New Roman"/>
          <w:sz w:val="18"/>
          <w:szCs w:val="18"/>
          <w:color w:val="auto"/>
        </w:rPr>
        <w:t>Fair value measured using Level 2 inputs i.e. observable inputs which fail to meet Level 1, and not using significant unobservable inputs. Unobservable inputs are inputs for which market data are not available.</w:t>
      </w:r>
    </w:p>
    <w:p>
      <w:pPr>
        <w:spacing w:after="0" w:line="54" w:lineRule="exact"/>
        <w:rPr>
          <w:sz w:val="20"/>
          <w:szCs w:val="20"/>
          <w:color w:val="auto"/>
        </w:rPr>
      </w:pPr>
    </w:p>
    <w:p>
      <w:pPr>
        <w:sectPr>
          <w:pgSz w:w="11900" w:h="16838" w:orient="portrait"/>
          <w:cols w:equalWidth="0" w:num="2">
            <w:col w:w="1720" w:space="720"/>
            <w:col w:w="8700"/>
          </w:cols>
          <w:pgMar w:left="320" w:top="455" w:right="4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auto"/>
        </w:rPr>
        <w:t>•   Level 3 valuations: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Fair value measured using significant unobservable inputs.</w:t>
      </w:r>
    </w:p>
    <w:p>
      <w:pPr>
        <w:spacing w:after="0" w:line="200" w:lineRule="exact"/>
        <w:rPr>
          <w:sz w:val="20"/>
          <w:szCs w:val="20"/>
          <w:color w:val="auto"/>
        </w:rPr>
      </w:pPr>
    </w:p>
    <w:p>
      <w:pPr>
        <w:sectPr>
          <w:pgSz w:w="11900" w:h="16838" w:orient="portrait"/>
          <w:cols w:equalWidth="0" w:num="2">
            <w:col w:w="1720" w:space="720"/>
            <w:col w:w="8700"/>
          </w:cols>
          <w:pgMar w:left="320" w:top="455" w:right="439" w:bottom="1440" w:gutter="0" w:footer="0" w:header="0"/>
          <w:type w:val="continuous"/>
        </w:sectPr>
      </w:pP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presents the Group’s financial assets and liabilities that are measured at fair value at the end of each period presented:</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100" w:type="dxa"/>
            <w:vAlign w:val="bottom"/>
            <w:tcBorders>
              <w:bottom w:val="single" w:sz="8" w:color="CCEEFF"/>
            </w:tcBorders>
          </w:tcPr>
          <w:p>
            <w:pPr>
              <w:spacing w:after="0"/>
              <w:rPr>
                <w:sz w:val="15"/>
                <w:szCs w:val="15"/>
                <w:color w:val="auto"/>
              </w:rPr>
            </w:pPr>
          </w:p>
        </w:tc>
        <w:tc>
          <w:tcPr>
            <w:tcW w:w="348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4"/>
                <w:szCs w:val="14"/>
                <w:i w:val="1"/>
                <w:iCs w:val="1"/>
                <w:color w:val="auto"/>
              </w:rPr>
              <w:t>As of June 30, 2022</w:t>
            </w:r>
          </w:p>
        </w:tc>
        <w:tc>
          <w:tcPr>
            <w:tcW w:w="6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r>
      <w:tr>
        <w:trPr>
          <w:trHeight w:val="142"/>
        </w:trPr>
        <w:tc>
          <w:tcPr>
            <w:tcW w:w="41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Recurring fair value measurement</w:t>
            </w:r>
          </w:p>
        </w:tc>
        <w:tc>
          <w:tcPr>
            <w:tcW w:w="34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i w:val="1"/>
                <w:iCs w:val="1"/>
                <w:color w:val="auto"/>
              </w:rPr>
              <w:t>Fair value</w:t>
            </w:r>
          </w:p>
        </w:tc>
        <w:tc>
          <w:tcPr>
            <w:tcW w:w="880" w:type="dxa"/>
            <w:vAlign w:val="bottom"/>
            <w:gridSpan w:val="2"/>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i w:val="1"/>
                <w:iCs w:val="1"/>
                <w:color w:val="auto"/>
              </w:rPr>
              <w:t>Level 1</w:t>
            </w:r>
          </w:p>
        </w:tc>
        <w:tc>
          <w:tcPr>
            <w:tcW w:w="880" w:type="dxa"/>
            <w:vAlign w:val="bottom"/>
            <w:gridSpan w:val="2"/>
            <w:shd w:val="clear" w:color="auto" w:fill="CCEEFF"/>
          </w:tcPr>
          <w:p>
            <w:pPr>
              <w:jc w:val="right"/>
              <w:ind w:right="260"/>
              <w:spacing w:after="0" w:line="142" w:lineRule="exact"/>
              <w:rPr>
                <w:sz w:val="20"/>
                <w:szCs w:val="20"/>
                <w:color w:val="auto"/>
              </w:rPr>
            </w:pPr>
            <w:r>
              <w:rPr>
                <w:rFonts w:ascii="Times New Roman" w:cs="Times New Roman" w:eastAsia="Times New Roman" w:hAnsi="Times New Roman"/>
                <w:sz w:val="14"/>
                <w:szCs w:val="14"/>
                <w:i w:val="1"/>
                <w:iCs w:val="1"/>
                <w:color w:val="auto"/>
              </w:rPr>
              <w:t>Level 2</w:t>
            </w: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Level 3</w:t>
            </w:r>
          </w:p>
        </w:tc>
        <w:tc>
          <w:tcPr>
            <w:tcW w:w="80" w:type="dxa"/>
            <w:vAlign w:val="bottom"/>
            <w:shd w:val="clear" w:color="auto" w:fill="CCEEFF"/>
          </w:tcPr>
          <w:p>
            <w:pPr>
              <w:spacing w:after="0"/>
              <w:rPr>
                <w:sz w:val="12"/>
                <w:szCs w:val="12"/>
                <w:color w:val="auto"/>
              </w:rPr>
            </w:pPr>
          </w:p>
        </w:tc>
      </w:tr>
      <w:tr>
        <w:trPr>
          <w:trHeight w:val="148"/>
        </w:trPr>
        <w:tc>
          <w:tcPr>
            <w:tcW w:w="41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94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RMB’000</w:t>
            </w:r>
          </w:p>
        </w:tc>
        <w:tc>
          <w:tcPr>
            <w:tcW w:w="8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RMB’000</w:t>
            </w:r>
          </w:p>
        </w:tc>
        <w:tc>
          <w:tcPr>
            <w:tcW w:w="8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RMB’000</w:t>
            </w:r>
          </w:p>
        </w:tc>
        <w:tc>
          <w:tcPr>
            <w:tcW w:w="7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RMB’000</w:t>
            </w: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 Financial assets measured at FVTPL</w:t>
            </w:r>
          </w:p>
        </w:tc>
        <w:tc>
          <w:tcPr>
            <w:tcW w:w="44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48,483</w:t>
            </w:r>
          </w:p>
        </w:tc>
        <w:tc>
          <w:tcPr>
            <w:tcW w:w="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48,483</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Financial liabilities measured at FVTPL</w:t>
            </w:r>
          </w:p>
        </w:tc>
        <w:tc>
          <w:tcPr>
            <w:tcW w:w="3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Warrants</w:t>
            </w:r>
          </w:p>
        </w:tc>
        <w:tc>
          <w:tcPr>
            <w:tcW w:w="34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191,748</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191,748</w:t>
            </w:r>
          </w:p>
        </w:tc>
      </w:tr>
      <w:tr>
        <w:trPr>
          <w:trHeight w:val="20"/>
        </w:trPr>
        <w:tc>
          <w:tcPr>
            <w:tcW w:w="4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4100" w:type="dxa"/>
            <w:vAlign w:val="bottom"/>
          </w:tcPr>
          <w:p>
            <w:pPr>
              <w:spacing w:after="0"/>
              <w:rPr>
                <w:sz w:val="24"/>
                <w:szCs w:val="24"/>
                <w:color w:val="auto"/>
              </w:rPr>
            </w:pPr>
          </w:p>
        </w:tc>
        <w:tc>
          <w:tcPr>
            <w:tcW w:w="4420" w:type="dxa"/>
            <w:vAlign w:val="bottom"/>
            <w:gridSpan w:val="3"/>
          </w:tcPr>
          <w:p>
            <w:pPr>
              <w:ind w:left="1240"/>
              <w:spacing w:after="0"/>
              <w:rPr>
                <w:sz w:val="20"/>
                <w:szCs w:val="20"/>
                <w:color w:val="auto"/>
              </w:rPr>
            </w:pPr>
            <w:r>
              <w:rPr>
                <w:rFonts w:ascii="Times New Roman" w:cs="Times New Roman" w:eastAsia="Times New Roman" w:hAnsi="Times New Roman"/>
                <w:sz w:val="18"/>
                <w:szCs w:val="18"/>
                <w:color w:val="auto"/>
              </w:rPr>
              <w:t>F-91</w:t>
            </w: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type w:val="continuous"/>
        </w:sectPr>
      </w:pPr>
    </w:p>
    <w:bookmarkStart w:id="344" w:name="page345"/>
    <w:bookmarkEnd w:id="3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7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5"/>
          </w:tcPr>
          <w:p>
            <w:pPr>
              <w:jc w:val="right"/>
              <w:ind w:right="320"/>
              <w:spacing w:after="0"/>
              <w:rPr>
                <w:sz w:val="20"/>
                <w:szCs w:val="20"/>
                <w:color w:val="auto"/>
              </w:rPr>
            </w:pPr>
            <w:r>
              <w:rPr>
                <w:rFonts w:ascii="Times New Roman" w:cs="Times New Roman" w:eastAsia="Times New Roman" w:hAnsi="Times New Roman"/>
                <w:sz w:val="14"/>
                <w:szCs w:val="14"/>
                <w:i w:val="1"/>
                <w:iCs w:val="1"/>
                <w:color w:val="auto"/>
              </w:rPr>
              <w:t>As of December 31, 2021</w:t>
            </w: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r>
      <w:tr>
        <w:trPr>
          <w:trHeight w:val="196"/>
        </w:trPr>
        <w:tc>
          <w:tcPr>
            <w:tcW w:w="77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Recurring fair value measurement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Fair value</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i w:val="1"/>
                <w:iCs w:val="1"/>
                <w:color w:val="auto"/>
              </w:rPr>
              <w:t>Level 1</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i w:val="1"/>
                <w:iCs w:val="1"/>
                <w:color w:val="auto"/>
              </w:rPr>
              <w:t>Level 2</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i w:val="1"/>
                <w:iCs w:val="1"/>
                <w:color w:val="auto"/>
              </w:rPr>
              <w:t>Level 3</w:t>
            </w:r>
          </w:p>
        </w:tc>
      </w:tr>
      <w:tr>
        <w:trPr>
          <w:trHeight w:val="149"/>
        </w:trPr>
        <w:tc>
          <w:tcPr>
            <w:tcW w:w="7700" w:type="dxa"/>
            <w:vAlign w:val="bottom"/>
          </w:tcPr>
          <w:p>
            <w:pPr>
              <w:spacing w:after="0"/>
              <w:rPr>
                <w:sz w:val="12"/>
                <w:szCs w:val="12"/>
                <w:color w:val="auto"/>
              </w:rPr>
            </w:pPr>
          </w:p>
        </w:tc>
        <w:tc>
          <w:tcPr>
            <w:tcW w:w="7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RMB’000</w:t>
            </w:r>
          </w:p>
        </w:tc>
        <w:tc>
          <w:tcPr>
            <w:tcW w:w="14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RMB’000</w:t>
            </w:r>
          </w:p>
        </w:tc>
        <w:tc>
          <w:tcPr>
            <w:tcW w:w="8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RMB’000</w:t>
            </w:r>
          </w:p>
        </w:tc>
        <w:tc>
          <w:tcPr>
            <w:tcW w:w="6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w w:val="98"/>
              </w:rPr>
              <w:t>RMB’000</w:t>
            </w: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 Financial assets measured at FVTPL</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53,868</w:t>
            </w:r>
          </w:p>
        </w:tc>
        <w:tc>
          <w:tcPr>
            <w:tcW w:w="140" w:type="dxa"/>
            <w:vAlign w:val="bottom"/>
          </w:tcPr>
          <w:p>
            <w:pPr>
              <w:spacing w:after="0"/>
              <w:rPr>
                <w:sz w:val="18"/>
                <w:szCs w:val="18"/>
                <w:color w:val="auto"/>
              </w:rPr>
            </w:pP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53,868</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7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Financial liabilities measured at FVTPL</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Warrants</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74,357</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74,357</w:t>
            </w:r>
          </w:p>
        </w:tc>
      </w:tr>
      <w:tr>
        <w:trPr>
          <w:trHeight w:val="20"/>
        </w:trPr>
        <w:tc>
          <w:tcPr>
            <w:tcW w:w="77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60"/>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2022, there were no transfers between Level 1 and Level 2, or transfers into or out of Level 3. The Group’s policy is to recognize transfers between levels of fair value hierarchy as of the end of the periods presented in which they occur.</w:t>
      </w:r>
    </w:p>
    <w:p>
      <w:pPr>
        <w:spacing w:after="0" w:line="162"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fair value of the financial assets in Level 2, purchased from open-ended mutual fund, is determined based on the net asset value of the fund published on the counterparty bank’s or financial institution’s websites, which is the amount that the Group would receive to redeem the fund units at the end of each period presented.</w:t>
      </w:r>
    </w:p>
    <w:p>
      <w:pPr>
        <w:spacing w:after="0" w:line="324" w:lineRule="exact"/>
        <w:rPr>
          <w:sz w:val="20"/>
          <w:szCs w:val="20"/>
          <w:color w:val="auto"/>
        </w:rPr>
      </w:pPr>
    </w:p>
    <w:p>
      <w:pPr>
        <w:ind w:left="540" w:hanging="424"/>
        <w:spacing w:after="0"/>
        <w:tabs>
          <w:tab w:leader="none" w:pos="54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instruments in level 3</w:t>
      </w:r>
    </w:p>
    <w:p>
      <w:pPr>
        <w:spacing w:after="0" w:line="1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Financial liabilities measured at FVTPL</w:t>
      </w:r>
    </w:p>
    <w:p>
      <w:pPr>
        <w:spacing w:after="0" w:line="11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fair value of financial liabilities measured at FVTPL at the dates of issue and balance sheet dates were determined based on the valuation performed by an independent valuer, using valuation techniques. The Group uses its judgments to select a variety of methods and make assumptions that are mainly based on market conditions existing at the end of each period presented. The Group has used discounted cash flow to determine the business value of the Group, followed by binomial option-pricing models to determine the fair value of convertible notes and warrant liabilities, which involved the use of significant accounting estimates and judgments.</w:t>
      </w:r>
    </w:p>
    <w:p>
      <w:pPr>
        <w:spacing w:after="0" w:line="183"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Quantitative sensitivity analysis on the fair value changes of the financial liabilities measured at FVTPL is set out below. It is estimated that with all other variables held constant, an increase/decrease in the respective parameter would have impacts on the Group’s consolidated profit or loss and other comprehensive income for the periods presented.</w:t>
      </w:r>
    </w:p>
    <w:p>
      <w:pPr>
        <w:spacing w:after="0" w:line="19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56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i w:val="1"/>
                <w:iCs w:val="1"/>
                <w:color w:val="auto"/>
              </w:rPr>
              <w:t>As of June 30,</w:t>
            </w:r>
          </w:p>
        </w:tc>
      </w:tr>
      <w:tr>
        <w:trPr>
          <w:trHeight w:val="119"/>
        </w:trPr>
        <w:tc>
          <w:tcPr>
            <w:tcW w:w="6560" w:type="dxa"/>
            <w:vAlign w:val="bottom"/>
          </w:tcPr>
          <w:p>
            <w:pPr>
              <w:spacing w:after="0"/>
              <w:rPr>
                <w:sz w:val="10"/>
                <w:szCs w:val="10"/>
                <w:color w:val="auto"/>
              </w:rPr>
            </w:pPr>
          </w:p>
        </w:tc>
        <w:tc>
          <w:tcPr>
            <w:tcW w:w="820" w:type="dxa"/>
            <w:vAlign w:val="bottom"/>
            <w:tcBorders>
              <w:top w:val="single" w:sz="8" w:color="auto"/>
            </w:tcBorders>
          </w:tcPr>
          <w:p>
            <w:pPr>
              <w:jc w:val="right"/>
              <w:ind w:right="198"/>
              <w:spacing w:after="0" w:line="119" w:lineRule="exact"/>
              <w:rPr>
                <w:sz w:val="20"/>
                <w:szCs w:val="20"/>
                <w:color w:val="auto"/>
              </w:rPr>
            </w:pPr>
            <w:r>
              <w:rPr>
                <w:rFonts w:ascii="Times New Roman" w:cs="Times New Roman" w:eastAsia="Times New Roman" w:hAnsi="Times New Roman"/>
                <w:sz w:val="13"/>
                <w:szCs w:val="13"/>
                <w:i w:val="1"/>
                <w:iCs w:val="1"/>
                <w:color w:val="auto"/>
              </w:rPr>
              <w:t>2022</w:t>
            </w:r>
          </w:p>
        </w:tc>
        <w:tc>
          <w:tcPr>
            <w:tcW w:w="100" w:type="dxa"/>
            <w:vAlign w:val="bottom"/>
          </w:tcPr>
          <w:p>
            <w:pPr>
              <w:spacing w:after="0"/>
              <w:rPr>
                <w:sz w:val="10"/>
                <w:szCs w:val="10"/>
                <w:color w:val="auto"/>
              </w:rPr>
            </w:pPr>
          </w:p>
        </w:tc>
      </w:tr>
      <w:tr>
        <w:trPr>
          <w:trHeight w:val="171"/>
        </w:trPr>
        <w:tc>
          <w:tcPr>
            <w:tcW w:w="6560" w:type="dxa"/>
            <w:vAlign w:val="bottom"/>
          </w:tcPr>
          <w:p>
            <w:pPr>
              <w:spacing w:after="0"/>
              <w:rPr>
                <w:sz w:val="14"/>
                <w:szCs w:val="14"/>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RMB’000</w:t>
            </w: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 increase in risk-free interest rate</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(5,895)</w:t>
            </w: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1% decrease in risk-free interest rate</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6,479</w:t>
            </w: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 increase in expected volatility</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18,545</w:t>
            </w:r>
          </w:p>
        </w:tc>
      </w:tr>
      <w:tr>
        <w:trPr>
          <w:trHeight w:val="234"/>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10% decrease in expected volatility</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(22,579)</w:t>
            </w:r>
          </w:p>
        </w:tc>
      </w:tr>
    </w:tbl>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Major assumptions used in the valuation for the fair value of financial liabilities measured at FVTPL and its movement are presented in Note 18.</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F-92</w:t>
      </w:r>
    </w:p>
    <w:p>
      <w:pPr>
        <w:sectPr>
          <w:pgSz w:w="11900" w:h="16838" w:orient="portrait"/>
          <w:cols w:equalWidth="0" w:num="1">
            <w:col w:w="11140"/>
          </w:cols>
          <w:pgMar w:left="320" w:top="455" w:right="439" w:bottom="1440" w:gutter="0" w:footer="0" w:header="0"/>
        </w:sectPr>
      </w:pPr>
    </w:p>
    <w:bookmarkStart w:id="345" w:name="page346"/>
    <w:bookmarkEnd w:id="3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26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Fair value of financial assets and liabilities carried at other than fair value</w:t>
      </w:r>
    </w:p>
    <w:p>
      <w:pPr>
        <w:spacing w:after="0" w:line="121"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The carrying amounts of the Group’s financial instruments carried at cost or amortized cost are not materially different from their fair values as of December 31, 2021 and June 30, 2022 except for the following financial instruments, for which their carrying amounts and fair value and the level of fair value hierarchy are disclosed below:</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8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i w:val="1"/>
                <w:iCs w:val="1"/>
                <w:color w:val="auto"/>
              </w:rPr>
              <w:t>Fair value measurements</w:t>
            </w:r>
          </w:p>
        </w:tc>
        <w:tc>
          <w:tcPr>
            <w:tcW w:w="0" w:type="dxa"/>
            <w:vAlign w:val="bottom"/>
          </w:tcPr>
          <w:p>
            <w:pPr>
              <w:spacing w:after="0"/>
              <w:rPr>
                <w:sz w:val="1"/>
                <w:szCs w:val="1"/>
                <w:color w:val="auto"/>
              </w:rPr>
            </w:pPr>
          </w:p>
        </w:tc>
      </w:tr>
      <w:tr>
        <w:trPr>
          <w:trHeight w:val="173"/>
        </w:trPr>
        <w:tc>
          <w:tcPr>
            <w:tcW w:w="5800" w:type="dxa"/>
            <w:vAlign w:val="bottom"/>
          </w:tcPr>
          <w:p>
            <w:pPr>
              <w:spacing w:after="0"/>
              <w:rPr>
                <w:sz w:val="15"/>
                <w:szCs w:val="15"/>
                <w:color w:val="auto"/>
              </w:rPr>
            </w:pPr>
          </w:p>
        </w:tc>
        <w:tc>
          <w:tcPr>
            <w:tcW w:w="1500" w:type="dxa"/>
            <w:vAlign w:val="bottom"/>
            <w:gridSpan w:val="2"/>
            <w:vMerge w:val="restart"/>
          </w:tcPr>
          <w:p>
            <w:pPr>
              <w:jc w:val="center"/>
              <w:ind w:left="284"/>
              <w:spacing w:after="0"/>
              <w:rPr>
                <w:sz w:val="20"/>
                <w:szCs w:val="20"/>
                <w:color w:val="auto"/>
              </w:rPr>
            </w:pPr>
            <w:r>
              <w:rPr>
                <w:rFonts w:ascii="Times New Roman" w:cs="Times New Roman" w:eastAsia="Times New Roman" w:hAnsi="Times New Roman"/>
                <w:sz w:val="14"/>
                <w:szCs w:val="14"/>
                <w:i w:val="1"/>
                <w:iCs w:val="1"/>
                <w:color w:val="auto"/>
              </w:rPr>
              <w:t>Carrying</w:t>
            </w: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as of June 30, 2022 categorized into</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580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i w:val="1"/>
                <w:iCs w:val="1"/>
                <w:color w:val="auto"/>
              </w:rPr>
              <w:t>Fair value</w:t>
            </w: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vMerge w:val="restart"/>
          </w:tcPr>
          <w:p>
            <w:pPr>
              <w:jc w:val="right"/>
              <w:ind w:right="45"/>
              <w:spacing w:after="0"/>
              <w:rPr>
                <w:sz w:val="20"/>
                <w:szCs w:val="20"/>
                <w:color w:val="auto"/>
              </w:rPr>
            </w:pPr>
            <w:r>
              <w:rPr>
                <w:rFonts w:ascii="Times New Roman" w:cs="Times New Roman" w:eastAsia="Times New Roman" w:hAnsi="Times New Roman"/>
                <w:sz w:val="14"/>
                <w:szCs w:val="14"/>
                <w:i w:val="1"/>
                <w:iCs w:val="1"/>
                <w:color w:val="auto"/>
              </w:rPr>
              <w:t>Level 1</w:t>
            </w:r>
          </w:p>
        </w:tc>
        <w:tc>
          <w:tcPr>
            <w:tcW w:w="980" w:type="dxa"/>
            <w:vAlign w:val="bottom"/>
            <w:vMerge w:val="restart"/>
          </w:tcPr>
          <w:p>
            <w:pPr>
              <w:jc w:val="right"/>
              <w:ind w:right="162"/>
              <w:spacing w:after="0"/>
              <w:rPr>
                <w:sz w:val="20"/>
                <w:szCs w:val="20"/>
                <w:color w:val="auto"/>
              </w:rPr>
            </w:pPr>
            <w:r>
              <w:rPr>
                <w:rFonts w:ascii="Times New Roman" w:cs="Times New Roman" w:eastAsia="Times New Roman" w:hAnsi="Times New Roman"/>
                <w:sz w:val="14"/>
                <w:szCs w:val="14"/>
                <w:i w:val="1"/>
                <w:iCs w:val="1"/>
                <w:color w:val="auto"/>
              </w:rPr>
              <w:t>Level 2</w:t>
            </w:r>
          </w:p>
        </w:tc>
        <w:tc>
          <w:tcPr>
            <w:tcW w:w="9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i w:val="1"/>
                <w:iCs w:val="1"/>
                <w:color w:val="auto"/>
              </w:rPr>
              <w:t>Level 3</w:t>
            </w:r>
          </w:p>
        </w:tc>
        <w:tc>
          <w:tcPr>
            <w:tcW w:w="0" w:type="dxa"/>
            <w:vAlign w:val="bottom"/>
          </w:tcPr>
          <w:p>
            <w:pPr>
              <w:spacing w:after="0"/>
              <w:rPr>
                <w:sz w:val="1"/>
                <w:szCs w:val="1"/>
                <w:color w:val="auto"/>
              </w:rPr>
            </w:pPr>
          </w:p>
        </w:tc>
      </w:tr>
      <w:tr>
        <w:trPr>
          <w:trHeight w:val="151"/>
        </w:trPr>
        <w:tc>
          <w:tcPr>
            <w:tcW w:w="5800" w:type="dxa"/>
            <w:vAlign w:val="bottom"/>
          </w:tcPr>
          <w:p>
            <w:pPr>
              <w:spacing w:after="0"/>
              <w:rPr>
                <w:sz w:val="13"/>
                <w:szCs w:val="13"/>
                <w:color w:val="auto"/>
              </w:rPr>
            </w:pPr>
          </w:p>
        </w:tc>
        <w:tc>
          <w:tcPr>
            <w:tcW w:w="1180" w:type="dxa"/>
            <w:vAlign w:val="bottom"/>
          </w:tcPr>
          <w:p>
            <w:pPr>
              <w:jc w:val="center"/>
              <w:ind w:left="604"/>
              <w:spacing w:after="0" w:line="151" w:lineRule="exact"/>
              <w:rPr>
                <w:sz w:val="20"/>
                <w:szCs w:val="20"/>
                <w:color w:val="auto"/>
              </w:rPr>
            </w:pPr>
            <w:r>
              <w:rPr>
                <w:rFonts w:ascii="Times New Roman" w:cs="Times New Roman" w:eastAsia="Times New Roman" w:hAnsi="Times New Roman"/>
                <w:sz w:val="14"/>
                <w:szCs w:val="14"/>
                <w:i w:val="1"/>
                <w:iCs w:val="1"/>
                <w:color w:val="auto"/>
              </w:rPr>
              <w:t>amounts</w:t>
            </w:r>
          </w:p>
        </w:tc>
        <w:tc>
          <w:tcPr>
            <w:tcW w:w="32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800" w:type="dxa"/>
            <w:vAlign w:val="bottom"/>
          </w:tcPr>
          <w:p>
            <w:pPr>
              <w:spacing w:after="0"/>
              <w:rPr>
                <w:sz w:val="14"/>
                <w:szCs w:val="14"/>
                <w:color w:val="auto"/>
              </w:rPr>
            </w:pPr>
          </w:p>
        </w:tc>
        <w:tc>
          <w:tcPr>
            <w:tcW w:w="1500" w:type="dxa"/>
            <w:vAlign w:val="bottom"/>
            <w:gridSpan w:val="2"/>
          </w:tcPr>
          <w:p>
            <w:pPr>
              <w:jc w:val="center"/>
              <w:ind w:left="284"/>
              <w:spacing w:after="0"/>
              <w:rPr>
                <w:sz w:val="20"/>
                <w:szCs w:val="20"/>
                <w:color w:val="auto"/>
              </w:rPr>
            </w:pPr>
            <w:r>
              <w:rPr>
                <w:rFonts w:ascii="Times New Roman" w:cs="Times New Roman" w:eastAsia="Times New Roman" w:hAnsi="Times New Roman"/>
                <w:sz w:val="14"/>
                <w:szCs w:val="14"/>
                <w:color w:val="auto"/>
              </w:rPr>
              <w:t>RMB’000</w:t>
            </w:r>
          </w:p>
        </w:tc>
        <w:tc>
          <w:tcPr>
            <w:tcW w:w="8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RMB’000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RMB’000</w:t>
            </w:r>
          </w:p>
        </w:tc>
        <w:tc>
          <w:tcPr>
            <w:tcW w:w="980" w:type="dxa"/>
            <w:vAlign w:val="bottom"/>
          </w:tcPr>
          <w:p>
            <w:pPr>
              <w:jc w:val="right"/>
              <w:ind w:right="82"/>
              <w:spacing w:after="0"/>
              <w:rPr>
                <w:sz w:val="20"/>
                <w:szCs w:val="20"/>
                <w:color w:val="auto"/>
              </w:rPr>
            </w:pPr>
            <w:r>
              <w:rPr>
                <w:rFonts w:ascii="Times New Roman" w:cs="Times New Roman" w:eastAsia="Times New Roman" w:hAnsi="Times New Roman"/>
                <w:sz w:val="14"/>
                <w:szCs w:val="14"/>
                <w:color w:val="auto"/>
              </w:rPr>
              <w:t>RMB’000</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RMB’000</w:t>
            </w:r>
          </w:p>
        </w:tc>
        <w:tc>
          <w:tcPr>
            <w:tcW w:w="0" w:type="dxa"/>
            <w:vAlign w:val="bottom"/>
          </w:tcPr>
          <w:p>
            <w:pPr>
              <w:spacing w:after="0"/>
              <w:rPr>
                <w:sz w:val="1"/>
                <w:szCs w:val="1"/>
                <w:color w:val="auto"/>
              </w:rPr>
            </w:pPr>
          </w:p>
        </w:tc>
      </w:tr>
      <w:tr>
        <w:trPr>
          <w:trHeight w:val="198"/>
        </w:trPr>
        <w:tc>
          <w:tcPr>
            <w:tcW w:w="58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shares and other financial instruments subject to redemption and other</w:t>
            </w: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preferential rights</w:t>
            </w:r>
          </w:p>
        </w:tc>
        <w:tc>
          <w:tcPr>
            <w:tcW w:w="150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5,686,058</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7,480,107</w:t>
            </w:r>
          </w:p>
        </w:tc>
        <w:tc>
          <w:tcPr>
            <w:tcW w:w="26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7,480,107</w:t>
            </w:r>
          </w:p>
        </w:tc>
        <w:tc>
          <w:tcPr>
            <w:tcW w:w="0" w:type="dxa"/>
            <w:vAlign w:val="bottom"/>
          </w:tcPr>
          <w:p>
            <w:pPr>
              <w:spacing w:after="0"/>
              <w:rPr>
                <w:sz w:val="1"/>
                <w:szCs w:val="1"/>
                <w:color w:val="auto"/>
              </w:rPr>
            </w:pPr>
          </w:p>
        </w:tc>
      </w:tr>
      <w:tr>
        <w:trPr>
          <w:trHeight w:val="367"/>
        </w:trPr>
        <w:tc>
          <w:tcPr>
            <w:tcW w:w="5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8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i w:val="1"/>
                <w:iCs w:val="1"/>
                <w:color w:val="auto"/>
              </w:rPr>
              <w:t>Fair value measurements</w:t>
            </w:r>
          </w:p>
        </w:tc>
        <w:tc>
          <w:tcPr>
            <w:tcW w:w="0" w:type="dxa"/>
            <w:vAlign w:val="bottom"/>
          </w:tcPr>
          <w:p>
            <w:pPr>
              <w:spacing w:after="0"/>
              <w:rPr>
                <w:sz w:val="1"/>
                <w:szCs w:val="1"/>
                <w:color w:val="auto"/>
              </w:rPr>
            </w:pPr>
          </w:p>
        </w:tc>
      </w:tr>
      <w:tr>
        <w:trPr>
          <w:trHeight w:val="173"/>
        </w:trPr>
        <w:tc>
          <w:tcPr>
            <w:tcW w:w="5800" w:type="dxa"/>
            <w:vAlign w:val="bottom"/>
          </w:tcPr>
          <w:p>
            <w:pPr>
              <w:spacing w:after="0"/>
              <w:rPr>
                <w:sz w:val="15"/>
                <w:szCs w:val="15"/>
                <w:color w:val="auto"/>
              </w:rPr>
            </w:pPr>
          </w:p>
        </w:tc>
        <w:tc>
          <w:tcPr>
            <w:tcW w:w="1180" w:type="dxa"/>
            <w:vAlign w:val="bottom"/>
            <w:vMerge w:val="restart"/>
          </w:tcPr>
          <w:p>
            <w:pPr>
              <w:jc w:val="center"/>
              <w:ind w:right="404"/>
              <w:spacing w:after="0"/>
              <w:rPr>
                <w:sz w:val="20"/>
                <w:szCs w:val="20"/>
                <w:color w:val="auto"/>
              </w:rPr>
            </w:pPr>
            <w:r>
              <w:rPr>
                <w:rFonts w:ascii="Times New Roman" w:cs="Times New Roman" w:eastAsia="Times New Roman" w:hAnsi="Times New Roman"/>
                <w:sz w:val="14"/>
                <w:szCs w:val="14"/>
                <w:i w:val="1"/>
                <w:iCs w:val="1"/>
                <w:color w:val="auto"/>
              </w:rPr>
              <w:t>Carrying</w:t>
            </w: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4"/>
          </w:tcPr>
          <w:p>
            <w:pPr>
              <w:jc w:val="center"/>
              <w:ind w:right="22"/>
              <w:spacing w:after="0"/>
              <w:rPr>
                <w:sz w:val="20"/>
                <w:szCs w:val="20"/>
                <w:color w:val="auto"/>
              </w:rPr>
            </w:pPr>
            <w:r>
              <w:rPr>
                <w:rFonts w:ascii="Times New Roman" w:cs="Times New Roman" w:eastAsia="Times New Roman" w:hAnsi="Times New Roman"/>
                <w:sz w:val="14"/>
                <w:szCs w:val="14"/>
                <w:i w:val="1"/>
                <w:iCs w:val="1"/>
                <w:color w:val="auto"/>
              </w:rPr>
              <w:t>as of December 31, 2021 categorized into</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58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1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Fair value</w:t>
            </w:r>
          </w:p>
        </w:tc>
        <w:tc>
          <w:tcPr>
            <w:tcW w:w="80" w:type="dxa"/>
            <w:vAlign w:val="bottom"/>
          </w:tcPr>
          <w:p>
            <w:pPr>
              <w:spacing w:after="0"/>
              <w:rPr>
                <w:sz w:val="9"/>
                <w:szCs w:val="9"/>
                <w:color w:val="auto"/>
              </w:rPr>
            </w:pPr>
          </w:p>
        </w:tc>
        <w:tc>
          <w:tcPr>
            <w:tcW w:w="900" w:type="dxa"/>
            <w:vAlign w:val="bottom"/>
            <w:gridSpan w:val="2"/>
            <w:vMerge w:val="restart"/>
          </w:tcPr>
          <w:p>
            <w:pPr>
              <w:jc w:val="right"/>
              <w:ind w:right="405"/>
              <w:spacing w:after="0"/>
              <w:rPr>
                <w:sz w:val="20"/>
                <w:szCs w:val="20"/>
                <w:color w:val="auto"/>
              </w:rPr>
            </w:pPr>
            <w:r>
              <w:rPr>
                <w:rFonts w:ascii="Times New Roman" w:cs="Times New Roman" w:eastAsia="Times New Roman" w:hAnsi="Times New Roman"/>
                <w:sz w:val="14"/>
                <w:szCs w:val="14"/>
                <w:i w:val="1"/>
                <w:iCs w:val="1"/>
                <w:color w:val="auto"/>
                <w:w w:val="97"/>
              </w:rPr>
              <w:t>Level 1</w:t>
            </w:r>
          </w:p>
        </w:tc>
        <w:tc>
          <w:tcPr>
            <w:tcW w:w="980" w:type="dxa"/>
            <w:vAlign w:val="bottom"/>
            <w:vMerge w:val="restart"/>
          </w:tcPr>
          <w:p>
            <w:pPr>
              <w:jc w:val="right"/>
              <w:ind w:right="382"/>
              <w:spacing w:after="0"/>
              <w:rPr>
                <w:sz w:val="20"/>
                <w:szCs w:val="20"/>
                <w:color w:val="auto"/>
              </w:rPr>
            </w:pPr>
            <w:r>
              <w:rPr>
                <w:rFonts w:ascii="Times New Roman" w:cs="Times New Roman" w:eastAsia="Times New Roman" w:hAnsi="Times New Roman"/>
                <w:sz w:val="14"/>
                <w:szCs w:val="14"/>
                <w:i w:val="1"/>
                <w:iCs w:val="1"/>
                <w:color w:val="auto"/>
              </w:rPr>
              <w:t>Level 2</w:t>
            </w:r>
          </w:p>
        </w:tc>
        <w:tc>
          <w:tcPr>
            <w:tcW w:w="9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i w:val="1"/>
                <w:iCs w:val="1"/>
                <w:color w:val="auto"/>
              </w:rPr>
              <w:t>Level 3</w:t>
            </w:r>
          </w:p>
        </w:tc>
        <w:tc>
          <w:tcPr>
            <w:tcW w:w="0" w:type="dxa"/>
            <w:vAlign w:val="bottom"/>
          </w:tcPr>
          <w:p>
            <w:pPr>
              <w:spacing w:after="0"/>
              <w:rPr>
                <w:sz w:val="1"/>
                <w:szCs w:val="1"/>
                <w:color w:val="auto"/>
              </w:rPr>
            </w:pPr>
          </w:p>
        </w:tc>
      </w:tr>
      <w:tr>
        <w:trPr>
          <w:trHeight w:val="151"/>
        </w:trPr>
        <w:tc>
          <w:tcPr>
            <w:tcW w:w="5800" w:type="dxa"/>
            <w:vAlign w:val="bottom"/>
          </w:tcPr>
          <w:p>
            <w:pPr>
              <w:spacing w:after="0"/>
              <w:rPr>
                <w:sz w:val="13"/>
                <w:szCs w:val="13"/>
                <w:color w:val="auto"/>
              </w:rPr>
            </w:pPr>
          </w:p>
        </w:tc>
        <w:tc>
          <w:tcPr>
            <w:tcW w:w="1180" w:type="dxa"/>
            <w:vAlign w:val="bottom"/>
          </w:tcPr>
          <w:p>
            <w:pPr>
              <w:jc w:val="center"/>
              <w:ind w:right="404"/>
              <w:spacing w:after="0" w:line="151" w:lineRule="exact"/>
              <w:rPr>
                <w:sz w:val="20"/>
                <w:szCs w:val="20"/>
                <w:color w:val="auto"/>
              </w:rPr>
            </w:pPr>
            <w:r>
              <w:rPr>
                <w:rFonts w:ascii="Times New Roman" w:cs="Times New Roman" w:eastAsia="Times New Roman" w:hAnsi="Times New Roman"/>
                <w:sz w:val="14"/>
                <w:szCs w:val="14"/>
                <w:i w:val="1"/>
                <w:iCs w:val="1"/>
                <w:color w:val="auto"/>
              </w:rPr>
              <w:t>amounts</w:t>
            </w:r>
          </w:p>
        </w:tc>
        <w:tc>
          <w:tcPr>
            <w:tcW w:w="112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800" w:type="dxa"/>
            <w:vAlign w:val="bottom"/>
          </w:tcPr>
          <w:p>
            <w:pPr>
              <w:spacing w:after="0"/>
              <w:rPr>
                <w:sz w:val="14"/>
                <w:szCs w:val="14"/>
                <w:color w:val="auto"/>
              </w:rPr>
            </w:pPr>
          </w:p>
        </w:tc>
        <w:tc>
          <w:tcPr>
            <w:tcW w:w="1180" w:type="dxa"/>
            <w:vAlign w:val="bottom"/>
          </w:tcPr>
          <w:p>
            <w:pPr>
              <w:jc w:val="center"/>
              <w:ind w:right="404"/>
              <w:spacing w:after="0"/>
              <w:rPr>
                <w:sz w:val="20"/>
                <w:szCs w:val="20"/>
                <w:color w:val="auto"/>
              </w:rPr>
            </w:pPr>
            <w:r>
              <w:rPr>
                <w:rFonts w:ascii="Times New Roman" w:cs="Times New Roman" w:eastAsia="Times New Roman" w:hAnsi="Times New Roman"/>
                <w:sz w:val="14"/>
                <w:szCs w:val="14"/>
                <w:color w:val="auto"/>
              </w:rPr>
              <w:t>RMB’000</w:t>
            </w: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RMB’000</w:t>
            </w:r>
          </w:p>
        </w:tc>
        <w:tc>
          <w:tcPr>
            <w:tcW w:w="980" w:type="dxa"/>
            <w:vAlign w:val="bottom"/>
            <w:gridSpan w:val="3"/>
          </w:tcPr>
          <w:p>
            <w:pPr>
              <w:jc w:val="right"/>
              <w:ind w:right="325"/>
              <w:spacing w:after="0"/>
              <w:rPr>
                <w:sz w:val="20"/>
                <w:szCs w:val="20"/>
                <w:color w:val="auto"/>
              </w:rPr>
            </w:pPr>
            <w:r>
              <w:rPr>
                <w:rFonts w:ascii="Times New Roman" w:cs="Times New Roman" w:eastAsia="Times New Roman" w:hAnsi="Times New Roman"/>
                <w:sz w:val="14"/>
                <w:szCs w:val="14"/>
                <w:color w:val="auto"/>
                <w:w w:val="98"/>
              </w:rPr>
              <w:t>RMB’000</w:t>
            </w:r>
          </w:p>
        </w:tc>
        <w:tc>
          <w:tcPr>
            <w:tcW w:w="980" w:type="dxa"/>
            <w:vAlign w:val="bottom"/>
          </w:tcPr>
          <w:p>
            <w:pPr>
              <w:jc w:val="right"/>
              <w:ind w:right="282"/>
              <w:spacing w:after="0"/>
              <w:rPr>
                <w:sz w:val="20"/>
                <w:szCs w:val="20"/>
                <w:color w:val="auto"/>
              </w:rPr>
            </w:pPr>
            <w:r>
              <w:rPr>
                <w:rFonts w:ascii="Times New Roman" w:cs="Times New Roman" w:eastAsia="Times New Roman" w:hAnsi="Times New Roman"/>
                <w:sz w:val="14"/>
                <w:szCs w:val="14"/>
                <w:color w:val="auto"/>
              </w:rPr>
              <w:t>RMB’000</w:t>
            </w:r>
          </w:p>
        </w:tc>
        <w:tc>
          <w:tcPr>
            <w:tcW w:w="9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RMB’000</w:t>
            </w:r>
          </w:p>
        </w:tc>
        <w:tc>
          <w:tcPr>
            <w:tcW w:w="0" w:type="dxa"/>
            <w:vAlign w:val="bottom"/>
          </w:tcPr>
          <w:p>
            <w:pPr>
              <w:spacing w:after="0"/>
              <w:rPr>
                <w:sz w:val="1"/>
                <w:szCs w:val="1"/>
                <w:color w:val="auto"/>
              </w:rPr>
            </w:pPr>
          </w:p>
        </w:tc>
      </w:tr>
      <w:tr>
        <w:trPr>
          <w:trHeight w:val="198"/>
        </w:trPr>
        <w:tc>
          <w:tcPr>
            <w:tcW w:w="58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shares and other financial instruments subject to redemption and</w:t>
            </w: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preferential rights</w:t>
            </w:r>
          </w:p>
        </w:tc>
        <w:tc>
          <w:tcPr>
            <w:tcW w:w="1180" w:type="dxa"/>
            <w:vAlign w:val="bottom"/>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w w:val="99"/>
              </w:rPr>
              <w:t>3,790,636</w:t>
            </w:r>
          </w:p>
        </w:tc>
        <w:tc>
          <w:tcPr>
            <w:tcW w:w="1100" w:type="dxa"/>
            <w:vAlign w:val="bottom"/>
            <w:gridSpan w:val="2"/>
            <w:shd w:val="clear" w:color="auto" w:fill="CCEEFF"/>
          </w:tcPr>
          <w:p>
            <w:pPr>
              <w:jc w:val="right"/>
              <w:ind w:right="302"/>
              <w:spacing w:after="0"/>
              <w:rPr>
                <w:sz w:val="20"/>
                <w:szCs w:val="20"/>
                <w:color w:val="auto"/>
              </w:rPr>
            </w:pPr>
            <w:r>
              <w:rPr>
                <w:rFonts w:ascii="Times New Roman" w:cs="Times New Roman" w:eastAsia="Times New Roman" w:hAnsi="Times New Roman"/>
                <w:sz w:val="18"/>
                <w:szCs w:val="18"/>
                <w:color w:val="auto"/>
                <w:w w:val="97"/>
              </w:rPr>
              <w:t>4,791,877</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38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center"/>
              <w:ind w:right="2"/>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4,791,877</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120" w:right="40"/>
        <w:spacing w:after="0" w:line="282" w:lineRule="auto"/>
        <w:rPr>
          <w:sz w:val="20"/>
          <w:szCs w:val="20"/>
          <w:color w:val="auto"/>
        </w:rPr>
      </w:pPr>
      <w:r>
        <w:rPr>
          <w:rFonts w:ascii="Times New Roman" w:cs="Times New Roman" w:eastAsia="Times New Roman" w:hAnsi="Times New Roman"/>
          <w:sz w:val="18"/>
          <w:szCs w:val="18"/>
          <w:color w:val="auto"/>
        </w:rPr>
        <w:t>The fair value of preferred shares and other financial instruments subject to redemption and other preferential rights was determined using the binominal option-pricing model. Assumptions used in the binominal option-pricing model are presented below:</w:t>
      </w:r>
    </w:p>
    <w:p>
      <w:pPr>
        <w:spacing w:after="0" w:line="182"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120" w:type="dxa"/>
            <w:vAlign w:val="bottom"/>
          </w:tcPr>
          <w:p>
            <w:pPr>
              <w:spacing w:after="0"/>
              <w:rPr>
                <w:sz w:val="15"/>
                <w:szCs w:val="15"/>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4"/>
                <w:szCs w:val="14"/>
                <w:i w:val="1"/>
                <w:iCs w:val="1"/>
                <w:color w:val="auto"/>
              </w:rPr>
              <w:t>As of June 30, 2022</w:t>
            </w:r>
          </w:p>
        </w:tc>
      </w:tr>
      <w:tr>
        <w:trPr>
          <w:trHeight w:val="210"/>
        </w:trPr>
        <w:tc>
          <w:tcPr>
            <w:tcW w:w="6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(per annum)</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34"/>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13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1.5-3.5 years</w:t>
            </w:r>
          </w:p>
        </w:tc>
      </w:tr>
    </w:tbl>
    <w:p>
      <w:pPr>
        <w:spacing w:after="0" w:line="324"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21</w:t>
        <w:tab/>
        <w:t>Material related party transactions</w:t>
      </w:r>
    </w:p>
    <w:p>
      <w:pPr>
        <w:spacing w:after="0" w:line="131"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(a)</w:t>
        <w:tab/>
        <w:t>Name and relationship with related parties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Name of related parties</w:t>
            </w:r>
          </w:p>
        </w:tc>
        <w:tc>
          <w:tcPr>
            <w:tcW w:w="12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180" w:type="dxa"/>
            <w:vAlign w:val="bottom"/>
            <w:tcBorders>
              <w:bottom w:val="single" w:sz="8" w:color="auto"/>
            </w:tcBorders>
          </w:tcPr>
          <w:p>
            <w:pPr>
              <w:jc w:val="right"/>
              <w:ind w:right="1691"/>
              <w:spacing w:after="0"/>
              <w:rPr>
                <w:sz w:val="20"/>
                <w:szCs w:val="20"/>
                <w:color w:val="auto"/>
              </w:rPr>
            </w:pPr>
            <w:r>
              <w:rPr>
                <w:rFonts w:ascii="Times New Roman" w:cs="Times New Roman" w:eastAsia="Times New Roman" w:hAnsi="Times New Roman"/>
                <w:sz w:val="14"/>
                <w:szCs w:val="14"/>
                <w:i w:val="1"/>
                <w:iCs w:val="1"/>
                <w:color w:val="auto"/>
              </w:rPr>
              <w:t>Relationship with the Group</w:t>
            </w:r>
          </w:p>
        </w:tc>
      </w:tr>
      <w:tr>
        <w:trPr>
          <w:trHeight w:val="28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Dr. Tony Xu Han</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Founder, Director and CEO</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Mr. Yan Li</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Co-founder, Director and Chief Technology Officer</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Mr. Hua Zhong</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Senior Vice President</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Mr. Li Zhang</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COO</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Mr. Qingxiong Yang</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Vice President</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Ms. Jennifer Xuan Li</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Vice President</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Mr. Huazhong Ning</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Vice President</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Alliance Automotive R&amp;D (Shanghai) Co., Ltd</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Affiliate of a shareholder</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Zhengzhou Yutong Bus Co., Ltd.</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Affiliate of a shareholder</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Zhengzhou Yutong Heavy Industry Co., Ltd</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Affiliate of a shareholder</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Yutong Heavy Equipment Co., Ltd.</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Affiliate of a shareholder</w:t>
            </w:r>
          </w:p>
        </w:tc>
      </w:tr>
      <w:tr>
        <w:trPr>
          <w:trHeight w:val="234"/>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Guangzhou Yuji Technology Co., Ltd.</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Entity over which the Group has significant influence</w:t>
            </w:r>
          </w:p>
        </w:tc>
      </w:tr>
      <w:tr>
        <w:trPr>
          <w:trHeight w:val="364"/>
        </w:trPr>
        <w:tc>
          <w:tcPr>
            <w:tcW w:w="4380" w:type="dxa"/>
            <w:vAlign w:val="bottom"/>
          </w:tcPr>
          <w:p>
            <w:pPr>
              <w:spacing w:after="0"/>
              <w:rPr>
                <w:sz w:val="24"/>
                <w:szCs w:val="24"/>
                <w:color w:val="auto"/>
              </w:rPr>
            </w:pPr>
          </w:p>
        </w:tc>
        <w:tc>
          <w:tcPr>
            <w:tcW w:w="6640" w:type="dxa"/>
            <w:vAlign w:val="bottom"/>
            <w:gridSpan w:val="3"/>
          </w:tcPr>
          <w:p>
            <w:pPr>
              <w:jc w:val="right"/>
              <w:ind w:right="5251"/>
              <w:spacing w:after="0"/>
              <w:rPr>
                <w:sz w:val="20"/>
                <w:szCs w:val="20"/>
                <w:color w:val="auto"/>
              </w:rPr>
            </w:pPr>
            <w:r>
              <w:rPr>
                <w:rFonts w:ascii="Times New Roman" w:cs="Times New Roman" w:eastAsia="Times New Roman" w:hAnsi="Times New Roman"/>
                <w:sz w:val="18"/>
                <w:szCs w:val="18"/>
                <w:color w:val="auto"/>
              </w:rPr>
              <w:t>F-93</w:t>
            </w:r>
          </w:p>
        </w:tc>
      </w:tr>
    </w:tbl>
    <w:p>
      <w:pPr>
        <w:sectPr>
          <w:pgSz w:w="11900" w:h="16838" w:orient="portrait"/>
          <w:cols w:equalWidth="0" w:num="1">
            <w:col w:w="11140"/>
          </w:cols>
          <w:pgMar w:left="320" w:top="455" w:right="439" w:bottom="1440" w:gutter="0" w:footer="0" w:header="0"/>
        </w:sectPr>
      </w:pPr>
    </w:p>
    <w:bookmarkStart w:id="346" w:name="page347"/>
    <w:bookmarkEnd w:id="3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(b)</w:t>
        <w:tab/>
        <w:t>Key management personnel compensation</w:t>
      </w:r>
    </w:p>
    <w:p>
      <w:pPr>
        <w:spacing w:after="0" w:line="250"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660" w:type="dxa"/>
            <w:vAlign w:val="bottom"/>
          </w:tcPr>
          <w:p>
            <w:pPr>
              <w:spacing w:after="0"/>
              <w:rPr>
                <w:sz w:val="15"/>
                <w:szCs w:val="15"/>
                <w:color w:val="auto"/>
              </w:rPr>
            </w:pPr>
          </w:p>
        </w:tc>
        <w:tc>
          <w:tcPr>
            <w:tcW w:w="2600" w:type="dxa"/>
            <w:vAlign w:val="bottom"/>
            <w:gridSpan w:val="4"/>
          </w:tcPr>
          <w:p>
            <w:pPr>
              <w:ind w:left="280"/>
              <w:spacing w:after="0"/>
              <w:rPr>
                <w:sz w:val="20"/>
                <w:szCs w:val="20"/>
                <w:color w:val="auto"/>
              </w:rPr>
            </w:pPr>
            <w:r>
              <w:rPr>
                <w:rFonts w:ascii="Times New Roman" w:cs="Times New Roman" w:eastAsia="Times New Roman" w:hAnsi="Times New Roman"/>
                <w:sz w:val="14"/>
                <w:szCs w:val="14"/>
                <w:i w:val="1"/>
                <w:iCs w:val="1"/>
                <w:color w:val="auto"/>
              </w:rPr>
              <w:t>For the six months ended June 30,</w:t>
            </w:r>
          </w:p>
        </w:tc>
      </w:tr>
      <w:tr>
        <w:trPr>
          <w:trHeight w:val="119"/>
        </w:trPr>
        <w:tc>
          <w:tcPr>
            <w:tcW w:w="6660" w:type="dxa"/>
            <w:vAlign w:val="bottom"/>
          </w:tcPr>
          <w:p>
            <w:pPr>
              <w:spacing w:after="0"/>
              <w:rPr>
                <w:sz w:val="10"/>
                <w:szCs w:val="10"/>
                <w:color w:val="auto"/>
              </w:rPr>
            </w:pPr>
          </w:p>
        </w:tc>
        <w:tc>
          <w:tcPr>
            <w:tcW w:w="860" w:type="dxa"/>
            <w:vAlign w:val="bottom"/>
            <w:tcBorders>
              <w:top w:val="single" w:sz="8" w:color="auto"/>
            </w:tcBorders>
          </w:tcPr>
          <w:p>
            <w:pPr>
              <w:jc w:val="right"/>
              <w:ind w:right="197"/>
              <w:spacing w:after="0" w:line="119" w:lineRule="exact"/>
              <w:rPr>
                <w:sz w:val="20"/>
                <w:szCs w:val="20"/>
                <w:color w:val="auto"/>
              </w:rPr>
            </w:pPr>
            <w:r>
              <w:rPr>
                <w:rFonts w:ascii="Times New Roman" w:cs="Times New Roman" w:eastAsia="Times New Roman" w:hAnsi="Times New Roman"/>
                <w:sz w:val="13"/>
                <w:szCs w:val="13"/>
                <w:i w:val="1"/>
                <w:iCs w:val="1"/>
                <w:color w:val="auto"/>
              </w:rPr>
              <w:t>2021</w:t>
            </w:r>
          </w:p>
        </w:tc>
        <w:tc>
          <w:tcPr>
            <w:tcW w:w="1680" w:type="dxa"/>
            <w:vAlign w:val="bottom"/>
            <w:tcBorders>
              <w:top w:val="single" w:sz="8" w:color="auto"/>
            </w:tcBorders>
            <w:gridSpan w:val="2"/>
          </w:tcPr>
          <w:p>
            <w:pPr>
              <w:jc w:val="right"/>
              <w:ind w:right="239"/>
              <w:spacing w:after="0" w:line="119" w:lineRule="exact"/>
              <w:rPr>
                <w:sz w:val="20"/>
                <w:szCs w:val="20"/>
                <w:color w:val="auto"/>
              </w:rPr>
            </w:pPr>
            <w:r>
              <w:rPr>
                <w:rFonts w:ascii="Times New Roman" w:cs="Times New Roman" w:eastAsia="Times New Roman" w:hAnsi="Times New Roman"/>
                <w:sz w:val="13"/>
                <w:szCs w:val="13"/>
                <w:i w:val="1"/>
                <w:iCs w:val="1"/>
                <w:color w:val="auto"/>
              </w:rPr>
              <w:t>2022</w:t>
            </w:r>
          </w:p>
        </w:tc>
        <w:tc>
          <w:tcPr>
            <w:tcW w:w="60" w:type="dxa"/>
            <w:vAlign w:val="bottom"/>
          </w:tcPr>
          <w:p>
            <w:pPr>
              <w:spacing w:after="0"/>
              <w:rPr>
                <w:sz w:val="10"/>
                <w:szCs w:val="10"/>
                <w:color w:val="auto"/>
              </w:rPr>
            </w:pPr>
          </w:p>
        </w:tc>
      </w:tr>
      <w:tr>
        <w:trPr>
          <w:trHeight w:val="171"/>
        </w:trPr>
        <w:tc>
          <w:tcPr>
            <w:tcW w:w="66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RMB’000</w:t>
            </w:r>
          </w:p>
        </w:tc>
        <w:tc>
          <w:tcPr>
            <w:tcW w:w="780" w:type="dxa"/>
            <w:vAlign w:val="bottom"/>
          </w:tcPr>
          <w:p>
            <w:pPr>
              <w:spacing w:after="0"/>
              <w:rPr>
                <w:sz w:val="14"/>
                <w:szCs w:val="14"/>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RMB’000</w:t>
            </w: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employment benefits (excluding discretionary bonus)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6,514</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12,135</w:t>
            </w:r>
          </w:p>
        </w:tc>
        <w:tc>
          <w:tcPr>
            <w:tcW w:w="6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Discretionary bonus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5,117</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5,225</w:t>
            </w:r>
          </w:p>
        </w:tc>
        <w:tc>
          <w:tcPr>
            <w:tcW w:w="6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Contributions to defined contribution retirement plans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60" w:type="dxa"/>
            <w:vAlign w:val="bottom"/>
            <w:shd w:val="clear" w:color="auto" w:fill="CCEEFF"/>
          </w:tcPr>
          <w:p>
            <w:pPr>
              <w:spacing w:after="0"/>
              <w:rPr>
                <w:sz w:val="18"/>
                <w:szCs w:val="18"/>
                <w:color w:val="auto"/>
              </w:rPr>
            </w:pPr>
          </w:p>
        </w:tc>
      </w:tr>
      <w:tr>
        <w:trPr>
          <w:trHeight w:val="223"/>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expenses (Note 19)</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3,569</w:t>
            </w:r>
          </w:p>
        </w:tc>
        <w:tc>
          <w:tcPr>
            <w:tcW w:w="78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7,062</w:t>
            </w:r>
          </w:p>
        </w:tc>
        <w:tc>
          <w:tcPr>
            <w:tcW w:w="60" w:type="dxa"/>
            <w:vAlign w:val="bottom"/>
          </w:tcPr>
          <w:p>
            <w:pPr>
              <w:spacing w:after="0"/>
              <w:rPr>
                <w:sz w:val="19"/>
                <w:szCs w:val="19"/>
                <w:color w:val="auto"/>
              </w:rPr>
            </w:pPr>
          </w:p>
        </w:tc>
      </w:tr>
      <w:tr>
        <w:trPr>
          <w:trHeight w:val="216"/>
        </w:trPr>
        <w:tc>
          <w:tcPr>
            <w:tcW w:w="66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15,277</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24,552</w:t>
            </w:r>
          </w:p>
        </w:tc>
        <w:tc>
          <w:tcPr>
            <w:tcW w:w="60" w:type="dxa"/>
            <w:vAlign w:val="bottom"/>
            <w:shd w:val="clear" w:color="auto" w:fill="CCEEFF"/>
          </w:tcPr>
          <w:p>
            <w:pPr>
              <w:spacing w:after="0"/>
              <w:rPr>
                <w:sz w:val="18"/>
                <w:szCs w:val="18"/>
                <w:color w:val="auto"/>
              </w:rPr>
            </w:pPr>
          </w:p>
        </w:tc>
      </w:tr>
      <w:tr>
        <w:trPr>
          <w:trHeight w:val="20"/>
        </w:trPr>
        <w:tc>
          <w:tcPr>
            <w:tcW w:w="66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6"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(c)</w:t>
        <w:tab/>
        <w:t>Other transactions with related parties</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In addition to the balances disclosed elsewhere in these unaudited condensed consolidated financial statements, the Group entered into the following material related party transactions during the periods presented: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8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520" w:type="dxa"/>
            <w:vAlign w:val="bottom"/>
            <w:gridSpan w:val="7"/>
          </w:tcPr>
          <w:p>
            <w:pPr>
              <w:ind w:left="240"/>
              <w:spacing w:after="0"/>
              <w:rPr>
                <w:sz w:val="20"/>
                <w:szCs w:val="20"/>
                <w:color w:val="auto"/>
              </w:rPr>
            </w:pPr>
            <w:r>
              <w:rPr>
                <w:rFonts w:ascii="Times New Roman" w:cs="Times New Roman" w:eastAsia="Times New Roman" w:hAnsi="Times New Roman"/>
                <w:sz w:val="14"/>
                <w:szCs w:val="14"/>
                <w:i w:val="1"/>
                <w:iCs w:val="1"/>
                <w:color w:val="auto"/>
              </w:rPr>
              <w:t>For the six months ended June 30,</w:t>
            </w:r>
          </w:p>
        </w:tc>
        <w:tc>
          <w:tcPr>
            <w:tcW w:w="0" w:type="dxa"/>
            <w:vAlign w:val="bottom"/>
          </w:tcPr>
          <w:p>
            <w:pPr>
              <w:spacing w:after="0"/>
              <w:rPr>
                <w:sz w:val="1"/>
                <w:szCs w:val="1"/>
                <w:color w:val="auto"/>
              </w:rPr>
            </w:pPr>
          </w:p>
        </w:tc>
      </w:tr>
      <w:tr>
        <w:trPr>
          <w:trHeight w:val="119"/>
        </w:trPr>
        <w:tc>
          <w:tcPr>
            <w:tcW w:w="88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Borders>
              <w:top w:val="single" w:sz="8" w:color="auto"/>
            </w:tcBorders>
          </w:tcPr>
          <w:p>
            <w:pPr>
              <w:jc w:val="right"/>
              <w:ind w:right="17"/>
              <w:spacing w:after="0" w:line="119" w:lineRule="exact"/>
              <w:rPr>
                <w:sz w:val="20"/>
                <w:szCs w:val="20"/>
                <w:color w:val="auto"/>
              </w:rPr>
            </w:pPr>
            <w:r>
              <w:rPr>
                <w:rFonts w:ascii="Times New Roman" w:cs="Times New Roman" w:eastAsia="Times New Roman" w:hAnsi="Times New Roman"/>
                <w:sz w:val="13"/>
                <w:szCs w:val="13"/>
                <w:i w:val="1"/>
                <w:iCs w:val="1"/>
                <w:color w:val="auto"/>
              </w:rPr>
              <w:t>2021</w:t>
            </w:r>
          </w:p>
        </w:tc>
        <w:tc>
          <w:tcPr>
            <w:tcW w:w="180" w:type="dxa"/>
            <w:vAlign w:val="bottom"/>
            <w:tcBorders>
              <w:top w:val="single" w:sz="8" w:color="auto"/>
            </w:tcBorders>
          </w:tcPr>
          <w:p>
            <w:pPr>
              <w:spacing w:after="0"/>
              <w:rPr>
                <w:sz w:val="10"/>
                <w:szCs w:val="10"/>
                <w:color w:val="auto"/>
              </w:rPr>
            </w:pPr>
          </w:p>
        </w:tc>
        <w:tc>
          <w:tcPr>
            <w:tcW w:w="1560" w:type="dxa"/>
            <w:vAlign w:val="bottom"/>
            <w:tcBorders>
              <w:top w:val="single" w:sz="8" w:color="auto"/>
            </w:tcBorders>
            <w:gridSpan w:val="3"/>
          </w:tcPr>
          <w:p>
            <w:pPr>
              <w:jc w:val="center"/>
              <w:ind w:left="633"/>
              <w:spacing w:after="0" w:line="119" w:lineRule="exact"/>
              <w:rPr>
                <w:sz w:val="20"/>
                <w:szCs w:val="20"/>
                <w:color w:val="auto"/>
              </w:rPr>
            </w:pPr>
            <w:r>
              <w:rPr>
                <w:rFonts w:ascii="Times New Roman" w:cs="Times New Roman" w:eastAsia="Times New Roman" w:hAnsi="Times New Roman"/>
                <w:sz w:val="13"/>
                <w:szCs w:val="13"/>
                <w:i w:val="1"/>
                <w:iCs w:val="1"/>
                <w:color w:val="auto"/>
              </w:rPr>
              <w:t>2022</w:t>
            </w:r>
          </w:p>
        </w:tc>
        <w:tc>
          <w:tcPr>
            <w:tcW w:w="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RMB’000</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color w:val="auto"/>
              </w:rPr>
              <w:t>RMB’000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Sales of goods to:</w:t>
            </w:r>
          </w:p>
        </w:tc>
        <w:tc>
          <w:tcPr>
            <w:tcW w:w="2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Zhengzhou Yutong Heavy Industry Co., Ltd</w:t>
            </w:r>
          </w:p>
        </w:tc>
        <w:tc>
          <w:tcPr>
            <w:tcW w:w="3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1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Zhengzhou Yutong Bus Co., Ltd</w:t>
            </w:r>
          </w:p>
        </w:tc>
        <w:tc>
          <w:tcPr>
            <w:tcW w:w="34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5,371</w:t>
            </w:r>
          </w:p>
        </w:tc>
        <w:tc>
          <w:tcPr>
            <w:tcW w:w="16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7,821</w:t>
            </w:r>
          </w:p>
        </w:tc>
        <w:tc>
          <w:tcPr>
            <w:tcW w:w="680" w:type="dxa"/>
            <w:vAlign w:val="bottom"/>
          </w:tcPr>
          <w:p>
            <w:pPr>
              <w:spacing w:after="0"/>
              <w:rPr>
                <w:sz w:val="19"/>
                <w:szCs w:val="19"/>
                <w:color w:val="auto"/>
              </w:rPr>
            </w:pPr>
          </w:p>
        </w:tc>
        <w:tc>
          <w:tcPr>
            <w:tcW w:w="9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Purchases of goods and services from:</w:t>
            </w:r>
          </w:p>
        </w:tc>
        <w:tc>
          <w:tcPr>
            <w:tcW w:w="2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Zhengzhou Yutong Bus Co., Ltd</w:t>
            </w:r>
          </w:p>
        </w:tc>
        <w:tc>
          <w:tcPr>
            <w:tcW w:w="3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19,873</w:t>
            </w:r>
          </w:p>
        </w:tc>
        <w:tc>
          <w:tcPr>
            <w:tcW w:w="1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34,639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Zhengzhou Yutong Heavy Industry Co., Ltd</w:t>
            </w:r>
          </w:p>
        </w:tc>
        <w:tc>
          <w:tcPr>
            <w:tcW w:w="2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Guangzhou Yuji Technology Co., Ltd.</w:t>
            </w:r>
          </w:p>
        </w:tc>
        <w:tc>
          <w:tcPr>
            <w:tcW w:w="2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9"/>
                <w:szCs w:val="19"/>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7,869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34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19,873</w:t>
            </w:r>
          </w:p>
        </w:tc>
        <w:tc>
          <w:tcPr>
            <w:tcW w:w="16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ind w:left="880"/>
              <w:spacing w:after="0" w:line="207" w:lineRule="exact"/>
              <w:rPr>
                <w:sz w:val="20"/>
                <w:szCs w:val="20"/>
                <w:color w:val="auto"/>
              </w:rPr>
            </w:pPr>
            <w:r>
              <w:rPr>
                <w:rFonts w:ascii="Times New Roman" w:cs="Times New Roman" w:eastAsia="Times New Roman" w:hAnsi="Times New Roman"/>
                <w:sz w:val="18"/>
                <w:szCs w:val="18"/>
                <w:b w:val="1"/>
                <w:bCs w:val="1"/>
                <w:color w:val="auto"/>
              </w:rPr>
              <w:t>Service rendered to</w:t>
            </w:r>
            <w:r>
              <w:rPr>
                <w:rFonts w:ascii="MS PGothic" w:cs="MS PGothic" w:eastAsia="MS PGothic" w:hAnsi="MS PGothic"/>
                <w:sz w:val="16"/>
                <w:szCs w:val="16"/>
                <w:color w:val="auto"/>
              </w:rPr>
              <w:t>：</w:t>
            </w:r>
          </w:p>
        </w:tc>
        <w:tc>
          <w:tcPr>
            <w:tcW w:w="2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gridSpan w:val="2"/>
            <w:vMerge w:val="continue"/>
          </w:tcPr>
          <w:p>
            <w:pPr>
              <w:spacing w:after="0"/>
              <w:rPr>
                <w:sz w:val="18"/>
                <w:szCs w:val="18"/>
                <w:color w:val="auto"/>
              </w:rPr>
            </w:pPr>
          </w:p>
        </w:tc>
        <w:tc>
          <w:tcPr>
            <w:tcW w:w="2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80" w:type="dxa"/>
            <w:vAlign w:val="bottom"/>
          </w:tcPr>
          <w:p>
            <w:pPr>
              <w:spacing w:after="0"/>
              <w:rPr>
                <w:sz w:val="19"/>
                <w:szCs w:val="19"/>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Zhengzhou Yutong Bus Co., Ltd</w:t>
            </w:r>
          </w:p>
        </w:tc>
        <w:tc>
          <w:tcPr>
            <w:tcW w:w="34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Alliance Automotive R&amp;D (Shanghai) Co., Ltd</w:t>
            </w:r>
          </w:p>
        </w:tc>
        <w:tc>
          <w:tcPr>
            <w:tcW w:w="2620" w:type="dxa"/>
            <w:vAlign w:val="bottom"/>
            <w:gridSpan w:val="2"/>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680" w:type="dxa"/>
            <w:vAlign w:val="bottom"/>
          </w:tcPr>
          <w:p>
            <w:pPr>
              <w:spacing w:after="0"/>
              <w:rPr>
                <w:sz w:val="19"/>
                <w:szCs w:val="19"/>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34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16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Balances with related parties</w:t>
            </w:r>
          </w:p>
        </w:tc>
        <w:tc>
          <w:tcPr>
            <w:tcW w:w="2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5000" w:type="dxa"/>
            <w:vAlign w:val="bottom"/>
            <w:gridSpan w:val="2"/>
            <w:vMerge w:val="continue"/>
          </w:tcPr>
          <w:p>
            <w:pPr>
              <w:spacing w:after="0"/>
              <w:rPr>
                <w:sz w:val="24"/>
                <w:szCs w:val="24"/>
                <w:color w:val="auto"/>
              </w:rPr>
            </w:pPr>
          </w:p>
        </w:tc>
        <w:tc>
          <w:tcPr>
            <w:tcW w:w="2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8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46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i w:val="1"/>
                <w:iCs w:val="1"/>
                <w:color w:val="auto"/>
              </w:rPr>
              <w:t>As of December 31,</w:t>
            </w:r>
          </w:p>
        </w:tc>
        <w:tc>
          <w:tcPr>
            <w:tcW w:w="680" w:type="dxa"/>
            <w:vAlign w:val="bottom"/>
          </w:tcPr>
          <w:p>
            <w:pPr>
              <w:spacing w:after="0"/>
              <w:rPr>
                <w:sz w:val="24"/>
                <w:szCs w:val="24"/>
                <w:color w:val="auto"/>
              </w:rPr>
            </w:pPr>
          </w:p>
        </w:tc>
        <w:tc>
          <w:tcPr>
            <w:tcW w:w="100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i w:val="1"/>
                <w:iCs w:val="1"/>
                <w:color w:val="auto"/>
              </w:rPr>
              <w:t>As of June 30,</w:t>
            </w: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3280" w:type="dxa"/>
            <w:vAlign w:val="bottom"/>
            <w:gridSpan w:val="3"/>
          </w:tcPr>
          <w:p>
            <w:pPr>
              <w:jc w:val="right"/>
              <w:ind w:right="357"/>
              <w:spacing w:after="0"/>
              <w:rPr>
                <w:sz w:val="20"/>
                <w:szCs w:val="20"/>
                <w:color w:val="auto"/>
              </w:rPr>
            </w:pPr>
            <w:r>
              <w:rPr>
                <w:rFonts w:ascii="Times New Roman" w:cs="Times New Roman" w:eastAsia="Times New Roman" w:hAnsi="Times New Roman"/>
                <w:sz w:val="14"/>
                <w:szCs w:val="14"/>
                <w:i w:val="1"/>
                <w:iCs w:val="1"/>
                <w:color w:val="auto"/>
              </w:rPr>
              <w:t>2021</w:t>
            </w:r>
          </w:p>
        </w:tc>
        <w:tc>
          <w:tcPr>
            <w:tcW w:w="180" w:type="dxa"/>
            <w:vAlign w:val="bottom"/>
          </w:tcPr>
          <w:p>
            <w:pPr>
              <w:spacing w:after="0"/>
              <w:rPr>
                <w:sz w:val="15"/>
                <w:szCs w:val="15"/>
                <w:color w:val="auto"/>
              </w:rPr>
            </w:pPr>
          </w:p>
        </w:tc>
        <w:tc>
          <w:tcPr>
            <w:tcW w:w="1560" w:type="dxa"/>
            <w:vAlign w:val="bottom"/>
            <w:gridSpan w:val="3"/>
          </w:tcPr>
          <w:p>
            <w:pPr>
              <w:jc w:val="center"/>
              <w:ind w:left="653"/>
              <w:spacing w:after="0"/>
              <w:rPr>
                <w:sz w:val="20"/>
                <w:szCs w:val="20"/>
                <w:color w:val="auto"/>
              </w:rPr>
            </w:pPr>
            <w:r>
              <w:rPr>
                <w:rFonts w:ascii="Times New Roman" w:cs="Times New Roman" w:eastAsia="Times New Roman" w:hAnsi="Times New Roman"/>
                <w:sz w:val="14"/>
                <w:szCs w:val="14"/>
                <w:i w:val="1"/>
                <w:iCs w:val="1"/>
                <w:color w:val="auto"/>
              </w:rPr>
              <w:t>2022</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14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Amounts due from related parties</w:t>
            </w:r>
          </w:p>
        </w:tc>
        <w:tc>
          <w:tcPr>
            <w:tcW w:w="2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 from:</w:t>
            </w:r>
          </w:p>
        </w:tc>
        <w:tc>
          <w:tcPr>
            <w:tcW w:w="2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Alliance Automotive R&amp;D (Shanghai) Co., Ltd</w:t>
            </w:r>
          </w:p>
        </w:tc>
        <w:tc>
          <w:tcPr>
            <w:tcW w:w="3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10,329</w:t>
            </w:r>
          </w:p>
        </w:tc>
        <w:tc>
          <w:tcPr>
            <w:tcW w:w="18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4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Less: loss allowance</w:t>
            </w:r>
          </w:p>
        </w:tc>
        <w:tc>
          <w:tcPr>
            <w:tcW w:w="34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c>
          <w:tcPr>
            <w:tcW w:w="1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880" w:type="dxa"/>
            <w:vAlign w:val="bottom"/>
            <w:vMerge w:val="restart"/>
          </w:tcPr>
          <w:p>
            <w:pPr>
              <w:spacing w:after="0"/>
              <w:rPr>
                <w:sz w:val="7"/>
                <w:szCs w:val="7"/>
                <w:color w:val="auto"/>
              </w:rPr>
            </w:pPr>
          </w:p>
        </w:tc>
        <w:tc>
          <w:tcPr>
            <w:tcW w:w="4120" w:type="dxa"/>
            <w:vAlign w:val="bottom"/>
          </w:tcPr>
          <w:p>
            <w:pPr>
              <w:spacing w:after="0"/>
              <w:rPr>
                <w:sz w:val="7"/>
                <w:szCs w:val="7"/>
                <w:color w:val="auto"/>
              </w:rPr>
            </w:pPr>
          </w:p>
        </w:tc>
        <w:tc>
          <w:tcPr>
            <w:tcW w:w="2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to and other receivables from:</w:t>
            </w:r>
          </w:p>
        </w:tc>
        <w:tc>
          <w:tcPr>
            <w:tcW w:w="2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Guangzhou Yuji Technology Co., Ltd.</w:t>
            </w:r>
          </w:p>
        </w:tc>
        <w:tc>
          <w:tcPr>
            <w:tcW w:w="3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Zhengzhou Yutong Heavy Industry Co., Ltd*</w:t>
            </w:r>
          </w:p>
        </w:tc>
        <w:tc>
          <w:tcPr>
            <w:tcW w:w="2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13,308</w:t>
            </w:r>
          </w:p>
        </w:tc>
        <w:tc>
          <w:tcPr>
            <w:tcW w:w="180" w:type="dxa"/>
            <w:vAlign w:val="bottom"/>
          </w:tcPr>
          <w:p>
            <w:pPr>
              <w:spacing w:after="0"/>
              <w:rPr>
                <w:sz w:val="19"/>
                <w:szCs w:val="19"/>
                <w:color w:val="auto"/>
              </w:rPr>
            </w:pPr>
          </w:p>
        </w:tc>
        <w:tc>
          <w:tcPr>
            <w:tcW w:w="740" w:type="dxa"/>
            <w:vAlign w:val="bottom"/>
            <w:gridSpan w:val="2"/>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32,127</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460" w:type="dxa"/>
            <w:vAlign w:val="bottom"/>
            <w:gridSpan w:val="4"/>
          </w:tcPr>
          <w:p>
            <w:pPr>
              <w:jc w:val="right"/>
              <w:ind w:right="2780"/>
              <w:spacing w:after="0"/>
              <w:rPr>
                <w:sz w:val="20"/>
                <w:szCs w:val="20"/>
                <w:color w:val="auto"/>
              </w:rPr>
            </w:pPr>
            <w:r>
              <w:rPr>
                <w:rFonts w:ascii="Times New Roman" w:cs="Times New Roman" w:eastAsia="Times New Roman" w:hAnsi="Times New Roman"/>
                <w:sz w:val="18"/>
                <w:szCs w:val="18"/>
                <w:color w:val="auto"/>
              </w:rPr>
              <w:t>F-94</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1615440</wp:posOffset>
            </wp:positionH>
            <wp:positionV relativeFrom="paragraph">
              <wp:posOffset>-2837180</wp:posOffset>
            </wp:positionV>
            <wp:extent cx="41275" cy="8191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41275" cy="81915"/>
                    </a:xfrm>
                    <a:prstGeom prst="rect">
                      <a:avLst/>
                    </a:prstGeom>
                    <a:noFill/>
                  </pic:spPr>
                </pic:pic>
              </a:graphicData>
            </a:graphic>
          </wp:anchor>
        </w:drawing>
      </w:r>
    </w:p>
    <w:p>
      <w:pPr>
        <w:sectPr>
          <w:pgSz w:w="11900" w:h="16838" w:orient="portrait"/>
          <w:cols w:equalWidth="0" w:num="1">
            <w:col w:w="10800"/>
          </w:cols>
          <w:pgMar w:left="320" w:top="455" w:right="779" w:bottom="1440" w:gutter="0" w:footer="0" w:header="0"/>
        </w:sectPr>
      </w:pPr>
    </w:p>
    <w:bookmarkStart w:id="347" w:name="page348"/>
    <w:bookmarkEnd w:id="3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4"/>
                <w:szCs w:val="14"/>
                <w:i w:val="1"/>
                <w:iCs w:val="1"/>
                <w:color w:val="auto"/>
              </w:rPr>
              <w:t>As of December 31,</w:t>
            </w:r>
          </w:p>
        </w:tc>
        <w:tc>
          <w:tcPr>
            <w:tcW w:w="1760" w:type="dxa"/>
            <w:vAlign w:val="bottom"/>
            <w:gridSpan w:val="3"/>
          </w:tcPr>
          <w:p>
            <w:pPr>
              <w:ind w:left="880"/>
              <w:spacing w:after="0"/>
              <w:rPr>
                <w:sz w:val="20"/>
                <w:szCs w:val="20"/>
                <w:color w:val="auto"/>
              </w:rPr>
            </w:pPr>
            <w:r>
              <w:rPr>
                <w:rFonts w:ascii="Times New Roman" w:cs="Times New Roman" w:eastAsia="Times New Roman" w:hAnsi="Times New Roman"/>
                <w:sz w:val="14"/>
                <w:szCs w:val="14"/>
                <w:i w:val="1"/>
                <w:iCs w:val="1"/>
                <w:color w:val="auto"/>
              </w:rPr>
              <w:t>As of June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2560" w:type="dxa"/>
            <w:vAlign w:val="bottom"/>
            <w:gridSpan w:val="2"/>
          </w:tcPr>
          <w:p>
            <w:pPr>
              <w:jc w:val="right"/>
              <w:ind w:right="359"/>
              <w:spacing w:after="0"/>
              <w:rPr>
                <w:sz w:val="20"/>
                <w:szCs w:val="20"/>
                <w:color w:val="auto"/>
              </w:rPr>
            </w:pPr>
            <w:r>
              <w:rPr>
                <w:rFonts w:ascii="Times New Roman" w:cs="Times New Roman" w:eastAsia="Times New Roman" w:hAnsi="Times New Roman"/>
                <w:sz w:val="14"/>
                <w:szCs w:val="14"/>
                <w:i w:val="1"/>
                <w:iCs w:val="1"/>
                <w:color w:val="auto"/>
              </w:rPr>
              <w:t>2021</w:t>
            </w:r>
          </w:p>
        </w:tc>
        <w:tc>
          <w:tcPr>
            <w:tcW w:w="1700" w:type="dxa"/>
            <w:vAlign w:val="bottom"/>
            <w:gridSpan w:val="2"/>
          </w:tcPr>
          <w:p>
            <w:pPr>
              <w:jc w:val="right"/>
              <w:ind w:right="199"/>
              <w:spacing w:after="0"/>
              <w:rPr>
                <w:sz w:val="20"/>
                <w:szCs w:val="20"/>
                <w:color w:val="auto"/>
              </w:rPr>
            </w:pPr>
            <w:r>
              <w:rPr>
                <w:rFonts w:ascii="Times New Roman" w:cs="Times New Roman" w:eastAsia="Times New Roman" w:hAnsi="Times New Roman"/>
                <w:sz w:val="14"/>
                <w:szCs w:val="14"/>
                <w:i w:val="1"/>
                <w:iCs w:val="1"/>
                <w:color w:val="auto"/>
              </w:rPr>
              <w:t>2022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1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88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RMB’000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Amounts due to related parties</w:t>
            </w:r>
          </w:p>
        </w:tc>
        <w:tc>
          <w:tcPr>
            <w:tcW w:w="1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Trade payables to:</w:t>
            </w:r>
          </w:p>
        </w:tc>
        <w:tc>
          <w:tcPr>
            <w:tcW w:w="1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Zhengzhou Yutong Bus Co., Ltd</w:t>
            </w:r>
          </w:p>
        </w:tc>
        <w:tc>
          <w:tcPr>
            <w:tcW w:w="2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16,330</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Zhengzhou Yutong Heavy Industry Co., Ltd</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2,366</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4,188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49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Received in advance from:</w:t>
            </w:r>
          </w:p>
        </w:tc>
        <w:tc>
          <w:tcPr>
            <w:tcW w:w="1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Zhengzhou Yutong Bus Co., Ltd</w:t>
            </w:r>
          </w:p>
        </w:tc>
        <w:tc>
          <w:tcPr>
            <w:tcW w:w="14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24,751</w:t>
            </w:r>
          </w:p>
        </w:tc>
        <w:tc>
          <w:tcPr>
            <w:tcW w:w="8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43,447</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Represents the deposit for the purchase of vehicles from Zhengzhou Yutong Heavy Industry Co., Ltd.</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2021 and June 30, 2022, amounts due from related parties are unsecured, interest-free and repayable on demand.</w:t>
      </w:r>
    </w:p>
    <w:p>
      <w:pPr>
        <w:spacing w:after="0" w:line="370"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22</w:t>
        <w:tab/>
        <w:t>Subsequent events</w:t>
      </w:r>
    </w:p>
    <w:p>
      <w:pPr>
        <w:spacing w:after="0" w:line="121" w:lineRule="exact"/>
        <w:rPr>
          <w:sz w:val="20"/>
          <w:szCs w:val="20"/>
          <w:color w:val="auto"/>
        </w:rPr>
      </w:pPr>
    </w:p>
    <w:p>
      <w:pPr>
        <w:ind w:left="120" w:right="680"/>
        <w:spacing w:after="0" w:line="282" w:lineRule="auto"/>
        <w:rPr>
          <w:sz w:val="20"/>
          <w:szCs w:val="20"/>
          <w:color w:val="auto"/>
        </w:rPr>
      </w:pPr>
      <w:r>
        <w:rPr>
          <w:rFonts w:ascii="Times New Roman" w:cs="Times New Roman" w:eastAsia="Times New Roman" w:hAnsi="Times New Roman"/>
          <w:sz w:val="18"/>
          <w:szCs w:val="18"/>
          <w:color w:val="auto"/>
        </w:rPr>
        <w:t>Management has considered subsequent events through February 23, 2023, which was the date the unaudited condensed consolidated financial statements were issued.</w:t>
      </w:r>
    </w:p>
    <w:p>
      <w:pPr>
        <w:spacing w:after="0" w:line="16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 October 2022, the Company entered into a shares purchase agreement with certain investor, to issue 22,430,597 shares of Series D+ Preferred Shares at the issuance price of USD5.0429 per share in exchange for an aggregated cash consideration of USD113.1 million (equivalent to RMB759.1 million). The key terms of Series D+ Preferred Shares including redemption, conversion, dividend and liquidation, are the same as Series C-1 Preferred Shares (Note 21).</w:t>
      </w:r>
    </w:p>
    <w:p>
      <w:pPr>
        <w:spacing w:after="0" w:line="180"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An aggregated cash consideration of USD69.6 million (equivalent to RMB467.1 million) was received while none of the Series D+ Preferred Shares have been issued due to the completion of the foreign exchange registration procedures for the ODI subsequent to June 30, 2022.</w:t>
      </w:r>
    </w:p>
    <w:p>
      <w:pPr>
        <w:spacing w:after="0" w:line="162"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In October 2022, the Company entered into a share transfer agreement with one investor, pursuant to which, the Company repurchased 1,892,780 Ordinary Shares and 2,547,980 Series B-3 Preferred Shares from the investor at the price of USD3.4935 per share transfer price for an aggregated cash consideration of USD15.5 million (equivalent to RMB104.0 million).</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F-95</w:t>
      </w:r>
    </w:p>
    <w:p>
      <w:pPr>
        <w:sectPr>
          <w:pgSz w:w="11900" w:h="16838" w:orient="portrait"/>
          <w:cols w:equalWidth="0" w:num="1">
            <w:col w:w="11080"/>
          </w:cols>
          <w:pgMar w:left="320" w:top="455" w:right="499" w:bottom="1440" w:gutter="0" w:footer="0" w:header="0"/>
        </w:sectPr>
      </w:pPr>
    </w:p>
    <w:bookmarkStart w:id="348" w:name="page349"/>
    <w:bookmarkEnd w:id="3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52" w:lineRule="exact"/>
        <w:rPr>
          <w:sz w:val="20"/>
          <w:szCs w:val="20"/>
          <w:color w:val="auto"/>
        </w:rPr>
      </w:pPr>
    </w:p>
    <w:p>
      <w:pPr>
        <w:ind w:left="12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INDEMNIFICATION OF DIRECTORS AND OFFICERS.</w:t>
      </w:r>
    </w:p>
    <w:p>
      <w:pPr>
        <w:spacing w:after="0" w:line="121" w:lineRule="exact"/>
        <w:rPr>
          <w:sz w:val="20"/>
          <w:szCs w:val="20"/>
          <w:color w:val="auto"/>
        </w:rPr>
      </w:pPr>
    </w:p>
    <w:p>
      <w:pPr>
        <w:ind w:left="120" w:right="620" w:firstLine="440"/>
        <w:spacing w:after="0" w:line="266" w:lineRule="auto"/>
        <w:rPr>
          <w:sz w:val="20"/>
          <w:szCs w:val="20"/>
          <w:color w:val="auto"/>
        </w:rPr>
      </w:pPr>
      <w:r>
        <w:rPr>
          <w:rFonts w:ascii="Times New Roman" w:cs="Times New Roman" w:eastAsia="Times New Roman" w:hAnsi="Times New Roman"/>
          <w:sz w:val="18"/>
          <w:szCs w:val="18"/>
          <w:color w:val="auto"/>
        </w:rPr>
        <w:t>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civil fraud or the consequences or committing a crime.</w:t>
      </w:r>
    </w:p>
    <w:p>
      <w:pPr>
        <w:spacing w:after="0" w:line="17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Our post-offering amended and restated memorandum and articles of association provide that each officer or director of our company shall be indemnified against all actions, proceedings, costs, charges, expenses, losses, damages or liabilities incurred or sustained by such director or officer, other than by reason of such person’s own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w:t>
      </w:r>
    </w:p>
    <w:p>
      <w:pPr>
        <w:spacing w:after="0" w:line="187"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Pursuant to indemnification agreements, the form of which is filed as Exhibit 10.2 to this Registration Statement, we have agreed to indemnify our directors and senior officers against certain liabilities and expenses that they incur in connection with claims made by reason of their being a director or officer of our company.</w:t>
      </w:r>
    </w:p>
    <w:p>
      <w:pPr>
        <w:spacing w:after="0" w:line="176"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underwriting agreement, the form of which is filed as Exhibit 1.1 to this Registration Statement, will also provide for indemnification of us and our officers and directors.</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of 1933, as amended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120"/>
          </w:cols>
          <w:pgMar w:left="320" w:top="455" w:right="459" w:bottom="1440" w:gutter="0" w:footer="0" w:header="0"/>
        </w:sectPr>
      </w:pPr>
    </w:p>
    <w:bookmarkStart w:id="349" w:name="page350"/>
    <w:bookmarkEnd w:id="3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RECENT SALES OF UNREGISTERED SECURITIES.</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During the past three years, we have issued the following securities (including options to acquire our ordinary shares). We believe that each of the following issuances was exempt from registration under the Securities Act pursuant to Section 4(2) of the Securities Act regarding transactions not involving a public offering or in reliance on Regulation S under the Securities Act regarding sales by an issuer in offshore transactions.</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Securities/Purchaser</w:t>
            </w:r>
          </w:p>
        </w:tc>
        <w:tc>
          <w:tcPr>
            <w:tcW w:w="3500" w:type="dxa"/>
            <w:vAlign w:val="bottom"/>
            <w:gridSpan w:val="2"/>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Date of Issuance</w:t>
            </w:r>
          </w:p>
        </w:tc>
        <w:tc>
          <w:tcPr>
            <w:tcW w:w="2260" w:type="dxa"/>
            <w:vAlign w:val="bottom"/>
            <w:gridSpan w:val="2"/>
          </w:tcPr>
          <w:p>
            <w:pPr>
              <w:jc w:val="center"/>
              <w:ind w:right="10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160"/>
        </w:trPr>
        <w:tc>
          <w:tcPr>
            <w:tcW w:w="3960" w:type="dxa"/>
            <w:vAlign w:val="bottom"/>
            <w:gridSpan w:val="2"/>
            <w:vMerge w:val="continue"/>
          </w:tcPr>
          <w:p>
            <w:pPr>
              <w:spacing w:after="0"/>
              <w:rPr>
                <w:sz w:val="13"/>
                <w:szCs w:val="13"/>
                <w:color w:val="auto"/>
              </w:rPr>
            </w:pPr>
          </w:p>
        </w:tc>
        <w:tc>
          <w:tcPr>
            <w:tcW w:w="3500" w:type="dxa"/>
            <w:vAlign w:val="bottom"/>
            <w:gridSpan w:val="2"/>
            <w:vMerge w:val="continue"/>
          </w:tcPr>
          <w:p>
            <w:pPr>
              <w:spacing w:after="0"/>
              <w:rPr>
                <w:sz w:val="13"/>
                <w:szCs w:val="13"/>
                <w:color w:val="auto"/>
              </w:rPr>
            </w:pPr>
          </w:p>
        </w:tc>
        <w:tc>
          <w:tcPr>
            <w:tcW w:w="2260" w:type="dxa"/>
            <w:vAlign w:val="bottom"/>
            <w:gridSpan w:val="2"/>
          </w:tcPr>
          <w:p>
            <w:pPr>
              <w:jc w:val="center"/>
              <w:ind w:right="1060"/>
              <w:spacing w:after="0" w:line="160"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3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tcBorders>
              <w:bottom w:val="single" w:sz="8" w:color="CCEEFF"/>
            </w:tcBorders>
            <w:shd w:val="clear" w:color="auto" w:fill="000000"/>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9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Ordinary Shares</w:t>
            </w:r>
          </w:p>
        </w:tc>
        <w:tc>
          <w:tcPr>
            <w:tcW w:w="25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9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Qing Lu, Yiqing Yang, Zhenya Liu,</w:t>
            </w:r>
          </w:p>
        </w:tc>
        <w:tc>
          <w:tcPr>
            <w:tcW w:w="3500" w:type="dxa"/>
            <w:vAlign w:val="bottom"/>
            <w:gridSpan w:val="2"/>
          </w:tcPr>
          <w:p>
            <w:pPr>
              <w:jc w:val="right"/>
              <w:ind w:right="980"/>
              <w:spacing w:after="0" w:line="198" w:lineRule="exact"/>
              <w:rPr>
                <w:sz w:val="20"/>
                <w:szCs w:val="20"/>
                <w:color w:val="auto"/>
              </w:rPr>
            </w:pPr>
            <w:r>
              <w:rPr>
                <w:rFonts w:ascii="Times New Roman" w:cs="Times New Roman" w:eastAsia="Times New Roman" w:hAnsi="Times New Roman"/>
                <w:sz w:val="18"/>
                <w:szCs w:val="18"/>
                <w:color w:val="auto"/>
              </w:rPr>
              <w:t>September 16, 2020 and</w:t>
            </w: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Miao Sun and Da Huo</w:t>
            </w:r>
          </w:p>
        </w:tc>
        <w:tc>
          <w:tcPr>
            <w:tcW w:w="350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November 11, 2020</w:t>
            </w:r>
          </w:p>
        </w:tc>
        <w:tc>
          <w:tcPr>
            <w:tcW w:w="226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3,816,368</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19,196,331</w:t>
            </w:r>
          </w:p>
        </w:tc>
        <w:tc>
          <w:tcPr>
            <w:tcW w:w="0" w:type="dxa"/>
            <w:vAlign w:val="bottom"/>
          </w:tcPr>
          <w:p>
            <w:pPr>
              <w:spacing w:after="0"/>
              <w:rPr>
                <w:sz w:val="1"/>
                <w:szCs w:val="1"/>
                <w:color w:val="auto"/>
              </w:rPr>
            </w:pPr>
          </w:p>
        </w:tc>
      </w:tr>
      <w:tr>
        <w:trPr>
          <w:trHeight w:val="27"/>
        </w:trPr>
        <w:tc>
          <w:tcPr>
            <w:tcW w:w="12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39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Yiqing Yang, Kun Huang, Miao Sun,</w:t>
            </w:r>
          </w:p>
        </w:tc>
        <w:tc>
          <w:tcPr>
            <w:tcW w:w="25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Eugene Bogatov, Guoli Shu, Paul Kuo</w:t>
            </w:r>
          </w:p>
        </w:tc>
        <w:tc>
          <w:tcPr>
            <w:tcW w:w="2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Liu, Xun Xu, Zhenzhen Kou, Qiu Jin,</w:t>
            </w:r>
          </w:p>
        </w:tc>
        <w:tc>
          <w:tcPr>
            <w:tcW w:w="2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Huazhong Ning, Zhenya Liu, Quan</w:t>
            </w:r>
          </w:p>
        </w:tc>
        <w:tc>
          <w:tcPr>
            <w:tcW w:w="2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Zhou, Renfeng Zuo, Xingfang Yuan,</w:t>
            </w:r>
          </w:p>
        </w:tc>
        <w:tc>
          <w:tcPr>
            <w:tcW w:w="2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Huan Chen, Qilin Ren, Bijun Zhang,</w:t>
            </w:r>
          </w:p>
        </w:tc>
        <w:tc>
          <w:tcPr>
            <w:tcW w:w="2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Xiaobo Ren, Kunjie Chen, Binglin</w:t>
            </w:r>
          </w:p>
        </w:tc>
        <w:tc>
          <w:tcPr>
            <w:tcW w:w="2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Wu, Yuchen Zhou, Qin Wang,</w:t>
            </w:r>
          </w:p>
        </w:tc>
        <w:tc>
          <w:tcPr>
            <w:tcW w:w="2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Tianxun Liu, Jie Huang, Yifan Li, Yan</w:t>
            </w:r>
          </w:p>
        </w:tc>
        <w:tc>
          <w:tcPr>
            <w:tcW w:w="2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 and Jian Ma</w:t>
            </w:r>
          </w:p>
        </w:tc>
        <w:tc>
          <w:tcPr>
            <w:tcW w:w="350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January 13, 2021</w:t>
            </w:r>
          </w:p>
        </w:tc>
        <w:tc>
          <w:tcPr>
            <w:tcW w:w="226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823,785</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8,707,407</w:t>
            </w:r>
          </w:p>
        </w:tc>
        <w:tc>
          <w:tcPr>
            <w:tcW w:w="0" w:type="dxa"/>
            <w:vAlign w:val="bottom"/>
          </w:tcPr>
          <w:p>
            <w:pPr>
              <w:spacing w:after="0"/>
              <w:rPr>
                <w:sz w:val="1"/>
                <w:szCs w:val="1"/>
                <w:color w:val="auto"/>
              </w:rPr>
            </w:pPr>
          </w:p>
        </w:tc>
      </w:tr>
      <w:tr>
        <w:trPr>
          <w:trHeight w:val="225"/>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Tianjin Wenze Equity Investment Fund</w:t>
            </w:r>
          </w:p>
        </w:tc>
        <w:tc>
          <w:tcPr>
            <w:tcW w:w="2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Partnership (Limited Partnership)</w:t>
            </w:r>
          </w:p>
        </w:tc>
        <w:tc>
          <w:tcPr>
            <w:tcW w:w="350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June 30, 2021</w:t>
            </w:r>
          </w:p>
        </w:tc>
        <w:tc>
          <w:tcPr>
            <w:tcW w:w="226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4,731,960</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US$5,000,000</w:t>
            </w:r>
          </w:p>
        </w:tc>
        <w:tc>
          <w:tcPr>
            <w:tcW w:w="0" w:type="dxa"/>
            <w:vAlign w:val="bottom"/>
          </w:tcPr>
          <w:p>
            <w:pPr>
              <w:spacing w:after="0"/>
              <w:rPr>
                <w:sz w:val="1"/>
                <w:szCs w:val="1"/>
                <w:color w:val="auto"/>
              </w:rPr>
            </w:pPr>
          </w:p>
        </w:tc>
      </w:tr>
      <w:tr>
        <w:trPr>
          <w:trHeight w:val="27"/>
        </w:trPr>
        <w:tc>
          <w:tcPr>
            <w:tcW w:w="12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39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Nanjing Jianye Jushi Technology</w:t>
            </w:r>
          </w:p>
        </w:tc>
        <w:tc>
          <w:tcPr>
            <w:tcW w:w="25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Innovation Growth Fund Partnership</w:t>
            </w:r>
          </w:p>
        </w:tc>
        <w:tc>
          <w:tcPr>
            <w:tcW w:w="2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(Limited Partnership)</w:t>
            </w:r>
          </w:p>
        </w:tc>
        <w:tc>
          <w:tcPr>
            <w:tcW w:w="350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September 1, 2021</w:t>
            </w:r>
          </w:p>
        </w:tc>
        <w:tc>
          <w:tcPr>
            <w:tcW w:w="226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1,892,780</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US$2,000,000</w:t>
            </w:r>
          </w:p>
        </w:tc>
        <w:tc>
          <w:tcPr>
            <w:tcW w:w="0" w:type="dxa"/>
            <w:vAlign w:val="bottom"/>
          </w:tcPr>
          <w:p>
            <w:pPr>
              <w:spacing w:after="0"/>
              <w:rPr>
                <w:sz w:val="1"/>
                <w:szCs w:val="1"/>
                <w:color w:val="auto"/>
              </w:rPr>
            </w:pPr>
          </w:p>
        </w:tc>
      </w:tr>
      <w:tr>
        <w:trPr>
          <w:trHeight w:val="225"/>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Guangzhou Hengdazhixing Industrial</w:t>
            </w:r>
          </w:p>
        </w:tc>
        <w:tc>
          <w:tcPr>
            <w:tcW w:w="2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Investment Fund Partnership (Limited</w:t>
            </w:r>
          </w:p>
        </w:tc>
        <w:tc>
          <w:tcPr>
            <w:tcW w:w="2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Partnership)</w:t>
            </w:r>
          </w:p>
        </w:tc>
        <w:tc>
          <w:tcPr>
            <w:tcW w:w="350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July 12, 2022</w:t>
            </w:r>
          </w:p>
        </w:tc>
        <w:tc>
          <w:tcPr>
            <w:tcW w:w="226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1,892,780</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US$2,000,000</w:t>
            </w: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2700" w:type="dxa"/>
            <w:vAlign w:val="bottom"/>
          </w:tcPr>
          <w:p>
            <w:pPr>
              <w:spacing w:after="0"/>
              <w:rPr>
                <w:sz w:val="9"/>
                <w:szCs w:val="9"/>
                <w:color w:val="auto"/>
              </w:rPr>
            </w:pPr>
          </w:p>
        </w:tc>
        <w:tc>
          <w:tcPr>
            <w:tcW w:w="25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Golden Shares</w:t>
            </w:r>
          </w:p>
        </w:tc>
        <w:tc>
          <w:tcPr>
            <w:tcW w:w="2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9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 wholly-owned holding vehicle of</w:t>
            </w:r>
          </w:p>
        </w:tc>
        <w:tc>
          <w:tcPr>
            <w:tcW w:w="2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Dr. Tony Xu Han</w:t>
            </w:r>
          </w:p>
        </w:tc>
        <w:tc>
          <w:tcPr>
            <w:tcW w:w="350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February 24, 2020</w:t>
            </w:r>
          </w:p>
        </w:tc>
        <w:tc>
          <w:tcPr>
            <w:tcW w:w="226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3</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2700" w:type="dxa"/>
            <w:vAlign w:val="bottom"/>
          </w:tcPr>
          <w:p>
            <w:pPr>
              <w:spacing w:after="0"/>
              <w:rPr>
                <w:sz w:val="9"/>
                <w:szCs w:val="9"/>
                <w:color w:val="auto"/>
              </w:rPr>
            </w:pPr>
          </w:p>
        </w:tc>
        <w:tc>
          <w:tcPr>
            <w:tcW w:w="25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Series Seed-1 Preferred Shares</w:t>
            </w:r>
          </w:p>
        </w:tc>
        <w:tc>
          <w:tcPr>
            <w:tcW w:w="2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Space V Holdings Limited</w:t>
            </w:r>
          </w:p>
        </w:tc>
        <w:tc>
          <w:tcPr>
            <w:tcW w:w="350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February 24, 2020</w:t>
            </w:r>
          </w:p>
        </w:tc>
        <w:tc>
          <w:tcPr>
            <w:tcW w:w="226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576,820</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US$2,414.596.2</w:t>
            </w:r>
          </w:p>
        </w:tc>
        <w:tc>
          <w:tcPr>
            <w:tcW w:w="0" w:type="dxa"/>
            <w:vAlign w:val="bottom"/>
          </w:tcPr>
          <w:p>
            <w:pPr>
              <w:spacing w:after="0"/>
              <w:rPr>
                <w:sz w:val="1"/>
                <w:szCs w:val="1"/>
                <w:color w:val="auto"/>
              </w:rPr>
            </w:pPr>
          </w:p>
        </w:tc>
      </w:tr>
      <w:tr>
        <w:trPr>
          <w:trHeight w:val="202"/>
        </w:trPr>
        <w:tc>
          <w:tcPr>
            <w:tcW w:w="396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Homeric Spirit HK Limited Partnership</w:t>
            </w:r>
          </w:p>
        </w:tc>
        <w:tc>
          <w:tcPr>
            <w:tcW w:w="25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Fund</w:t>
            </w:r>
          </w:p>
        </w:tc>
        <w:tc>
          <w:tcPr>
            <w:tcW w:w="350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January 20, 2022</w:t>
            </w:r>
          </w:p>
        </w:tc>
        <w:tc>
          <w:tcPr>
            <w:tcW w:w="226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286,246</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US$1,000,000</w:t>
            </w:r>
          </w:p>
        </w:tc>
        <w:tc>
          <w:tcPr>
            <w:tcW w:w="0" w:type="dxa"/>
            <w:vAlign w:val="bottom"/>
          </w:tcPr>
          <w:p>
            <w:pPr>
              <w:spacing w:after="0"/>
              <w:rPr>
                <w:sz w:val="1"/>
                <w:szCs w:val="1"/>
                <w:color w:val="auto"/>
              </w:rPr>
            </w:pPr>
          </w:p>
        </w:tc>
      </w:tr>
      <w:tr>
        <w:trPr>
          <w:trHeight w:val="243"/>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Zto Ljf Holding Limited</w:t>
            </w:r>
          </w:p>
        </w:tc>
        <w:tc>
          <w:tcPr>
            <w:tcW w:w="350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January 20, 2022</w:t>
            </w:r>
          </w:p>
        </w:tc>
        <w:tc>
          <w:tcPr>
            <w:tcW w:w="226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882,382</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US$3,082,602</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140"/>
          </w:cols>
          <w:pgMar w:left="320" w:top="455" w:right="439" w:bottom="1440" w:gutter="0" w:footer="0" w:header="0"/>
        </w:sectPr>
      </w:pPr>
    </w:p>
    <w:bookmarkStart w:id="350" w:name="page351"/>
    <w:bookmarkEnd w:id="3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Securities/Purchaser</w:t>
            </w:r>
          </w:p>
        </w:tc>
        <w:tc>
          <w:tcPr>
            <w:tcW w:w="3400" w:type="dxa"/>
            <w:vAlign w:val="bottom"/>
            <w:gridSpan w:val="2"/>
          </w:tcPr>
          <w:p>
            <w:pPr>
              <w:ind w:left="760"/>
              <w:spacing w:after="0"/>
              <w:rPr>
                <w:sz w:val="20"/>
                <w:szCs w:val="20"/>
                <w:color w:val="auto"/>
              </w:rPr>
            </w:pPr>
            <w:r>
              <w:rPr>
                <w:rFonts w:ascii="Times New Roman" w:cs="Times New Roman" w:eastAsia="Times New Roman" w:hAnsi="Times New Roman"/>
                <w:sz w:val="14"/>
                <w:szCs w:val="14"/>
                <w:b w:val="1"/>
                <w:bCs w:val="1"/>
                <w:color w:val="auto"/>
              </w:rPr>
              <w:t>Date of Issuance</w:t>
            </w:r>
          </w:p>
        </w:tc>
        <w:tc>
          <w:tcPr>
            <w:tcW w:w="2260" w:type="dxa"/>
            <w:vAlign w:val="bottom"/>
            <w:gridSpan w:val="2"/>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Consideration</w:t>
            </w:r>
          </w:p>
        </w:tc>
      </w:tr>
      <w:tr>
        <w:trPr>
          <w:trHeight w:val="20"/>
        </w:trPr>
        <w:tc>
          <w:tcPr>
            <w:tcW w:w="1260" w:type="dxa"/>
            <w:vAlign w:val="bottom"/>
            <w:tcBorders>
              <w:bottom w:val="single" w:sz="8" w:color="CCEEFF"/>
            </w:tcBorders>
            <w:shd w:val="clear" w:color="auto" w:fill="000000"/>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190"/>
        </w:trPr>
        <w:tc>
          <w:tcPr>
            <w:tcW w:w="39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Series Seed-2 Preferred Shares</w:t>
            </w:r>
          </w:p>
        </w:tc>
        <w:tc>
          <w:tcPr>
            <w:tcW w:w="25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98"/>
        </w:trPr>
        <w:tc>
          <w:tcPr>
            <w:tcW w:w="39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Ningbo Meishan Free Trade Port Area</w:t>
            </w:r>
          </w:p>
        </w:tc>
        <w:tc>
          <w:tcPr>
            <w:tcW w:w="2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3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Jiangmen Venture Investment Center</w:t>
            </w:r>
          </w:p>
        </w:tc>
        <w:tc>
          <w:tcPr>
            <w:tcW w:w="2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3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L.P.</w:t>
            </w:r>
          </w:p>
        </w:tc>
        <w:tc>
          <w:tcPr>
            <w:tcW w:w="340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December 23, 2020</w:t>
            </w:r>
          </w:p>
        </w:tc>
        <w:tc>
          <w:tcPr>
            <w:tcW w:w="226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316,528</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US$1,943,338</w:t>
            </w:r>
          </w:p>
        </w:tc>
      </w:tr>
      <w:tr>
        <w:trPr>
          <w:trHeight w:val="27"/>
        </w:trPr>
        <w:tc>
          <w:tcPr>
            <w:tcW w:w="12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98"/>
        </w:trPr>
        <w:tc>
          <w:tcPr>
            <w:tcW w:w="39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Suzhou Industrial Part Oriza Zhengze</w:t>
            </w:r>
          </w:p>
        </w:tc>
        <w:tc>
          <w:tcPr>
            <w:tcW w:w="25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3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Venture Capital Two (Limited</w:t>
            </w:r>
          </w:p>
        </w:tc>
        <w:tc>
          <w:tcPr>
            <w:tcW w:w="2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3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Partnership)</w:t>
            </w:r>
          </w:p>
        </w:tc>
        <w:tc>
          <w:tcPr>
            <w:tcW w:w="340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December 25, 2020</w:t>
            </w:r>
          </w:p>
        </w:tc>
        <w:tc>
          <w:tcPr>
            <w:tcW w:w="226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341,498</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US$2,096,641.4</w:t>
            </w:r>
          </w:p>
        </w:tc>
      </w:tr>
      <w:tr>
        <w:trPr>
          <w:trHeight w:val="324"/>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Series A Preferred Shares</w:t>
            </w:r>
          </w:p>
        </w:tc>
        <w:tc>
          <w:tcPr>
            <w:tcW w:w="2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Unified City Limited</w:t>
            </w:r>
          </w:p>
        </w:tc>
        <w:tc>
          <w:tcPr>
            <w:tcW w:w="340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May 7, 2021</w:t>
            </w:r>
          </w:p>
        </w:tc>
        <w:tc>
          <w:tcPr>
            <w:tcW w:w="226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3,481,950</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US$3,461,981</w:t>
            </w:r>
          </w:p>
        </w:tc>
      </w:tr>
      <w:tr>
        <w:trPr>
          <w:trHeight w:val="243"/>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EverestLu Holding Limited</w:t>
            </w:r>
          </w:p>
        </w:tc>
        <w:tc>
          <w:tcPr>
            <w:tcW w:w="340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June 3, 2021</w:t>
            </w:r>
          </w:p>
        </w:tc>
        <w:tc>
          <w:tcPr>
            <w:tcW w:w="226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1,000,000</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US$994,265</w:t>
            </w:r>
          </w:p>
        </w:tc>
      </w:tr>
      <w:tr>
        <w:trPr>
          <w:trHeight w:val="108"/>
        </w:trPr>
        <w:tc>
          <w:tcPr>
            <w:tcW w:w="1260" w:type="dxa"/>
            <w:vAlign w:val="bottom"/>
          </w:tcPr>
          <w:p>
            <w:pPr>
              <w:spacing w:after="0"/>
              <w:rPr>
                <w:sz w:val="9"/>
                <w:szCs w:val="9"/>
                <w:color w:val="auto"/>
              </w:rPr>
            </w:pPr>
          </w:p>
        </w:tc>
        <w:tc>
          <w:tcPr>
            <w:tcW w:w="2700" w:type="dxa"/>
            <w:vAlign w:val="bottom"/>
          </w:tcPr>
          <w:p>
            <w:pPr>
              <w:spacing w:after="0"/>
              <w:rPr>
                <w:sz w:val="9"/>
                <w:szCs w:val="9"/>
                <w:color w:val="auto"/>
              </w:rPr>
            </w:pPr>
          </w:p>
        </w:tc>
        <w:tc>
          <w:tcPr>
            <w:tcW w:w="25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Series B-1 Preferred Shares</w:t>
            </w:r>
          </w:p>
        </w:tc>
        <w:tc>
          <w:tcPr>
            <w:tcW w:w="2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39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Zhengzhou Xufeng Jiayuan Intelligent</w:t>
            </w:r>
          </w:p>
        </w:tc>
        <w:tc>
          <w:tcPr>
            <w:tcW w:w="2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3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Connected Enterprise Management</w:t>
            </w:r>
          </w:p>
        </w:tc>
        <w:tc>
          <w:tcPr>
            <w:tcW w:w="2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3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Center (Limited Partnership)</w:t>
            </w:r>
          </w:p>
        </w:tc>
        <w:tc>
          <w:tcPr>
            <w:tcW w:w="340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June 17, 2021</w:t>
            </w:r>
          </w:p>
        </w:tc>
        <w:tc>
          <w:tcPr>
            <w:tcW w:w="226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66,247,450</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US$100,000,000</w:t>
            </w:r>
          </w:p>
        </w:tc>
      </w:tr>
      <w:tr>
        <w:trPr>
          <w:trHeight w:val="27"/>
        </w:trPr>
        <w:tc>
          <w:tcPr>
            <w:tcW w:w="12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98"/>
        </w:trPr>
        <w:tc>
          <w:tcPr>
            <w:tcW w:w="39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Beijing Xufeng Zhiyuan Intelligent</w:t>
            </w:r>
          </w:p>
        </w:tc>
        <w:tc>
          <w:tcPr>
            <w:tcW w:w="25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3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Technology Limited Partnership</w:t>
            </w:r>
          </w:p>
        </w:tc>
        <w:tc>
          <w:tcPr>
            <w:tcW w:w="340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June 15, 2022</w:t>
            </w:r>
          </w:p>
        </w:tc>
        <w:tc>
          <w:tcPr>
            <w:tcW w:w="226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66,247,450</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US$100,000,000</w:t>
            </w:r>
          </w:p>
        </w:tc>
      </w:tr>
      <w:tr>
        <w:trPr>
          <w:trHeight w:val="324"/>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Series B-2 Preferred Shares</w:t>
            </w:r>
          </w:p>
        </w:tc>
        <w:tc>
          <w:tcPr>
            <w:tcW w:w="2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8"/>
        </w:trPr>
        <w:tc>
          <w:tcPr>
            <w:tcW w:w="39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Qiming Venture Partners VII, L.P. and</w:t>
            </w:r>
          </w:p>
        </w:tc>
        <w:tc>
          <w:tcPr>
            <w:tcW w:w="25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3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Qiming VII Strategic Investors Fund,</w:t>
            </w:r>
          </w:p>
        </w:tc>
        <w:tc>
          <w:tcPr>
            <w:tcW w:w="2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3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L.P.</w:t>
            </w:r>
          </w:p>
        </w:tc>
        <w:tc>
          <w:tcPr>
            <w:tcW w:w="340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December 14, 2020</w:t>
            </w:r>
          </w:p>
        </w:tc>
        <w:tc>
          <w:tcPr>
            <w:tcW w:w="226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271,012</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US$5,000,000</w:t>
            </w:r>
          </w:p>
        </w:tc>
      </w:tr>
      <w:tr>
        <w:trPr>
          <w:trHeight w:val="225"/>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Shanghai Zhicai Enterprise Management</w:t>
            </w:r>
          </w:p>
        </w:tc>
        <w:tc>
          <w:tcPr>
            <w:tcW w:w="2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3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Consulting Partnership (Limited</w:t>
            </w:r>
          </w:p>
        </w:tc>
        <w:tc>
          <w:tcPr>
            <w:tcW w:w="2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Partnership), Guangzhou Flower City</w:t>
            </w:r>
          </w:p>
        </w:tc>
        <w:tc>
          <w:tcPr>
            <w:tcW w:w="2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Venture Partnership Limited (Limited</w:t>
            </w:r>
          </w:p>
        </w:tc>
        <w:tc>
          <w:tcPr>
            <w:tcW w:w="2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Partnership) and Guangdong-Zhuhai-</w:t>
            </w:r>
          </w:p>
        </w:tc>
        <w:tc>
          <w:tcPr>
            <w:tcW w:w="2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Macao (Zhuhai) Frontier Industry</w:t>
            </w:r>
          </w:p>
        </w:tc>
        <w:tc>
          <w:tcPr>
            <w:tcW w:w="2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Equity Investment Fund (Limited</w:t>
            </w:r>
          </w:p>
        </w:tc>
        <w:tc>
          <w:tcPr>
            <w:tcW w:w="2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3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Partnership)</w:t>
            </w:r>
          </w:p>
        </w:tc>
        <w:tc>
          <w:tcPr>
            <w:tcW w:w="340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June 2021</w:t>
            </w:r>
          </w:p>
        </w:tc>
        <w:tc>
          <w:tcPr>
            <w:tcW w:w="226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9,560,580</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US$14,940,983</w:t>
            </w:r>
          </w:p>
        </w:tc>
      </w:tr>
      <w:tr>
        <w:trPr>
          <w:trHeight w:val="27"/>
        </w:trPr>
        <w:tc>
          <w:tcPr>
            <w:tcW w:w="12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Zto Ljf Holding Limited</w:t>
            </w:r>
          </w:p>
        </w:tc>
        <w:tc>
          <w:tcPr>
            <w:tcW w:w="340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January 20, 2022</w:t>
            </w:r>
          </w:p>
        </w:tc>
        <w:tc>
          <w:tcPr>
            <w:tcW w:w="226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1,693,830</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US$5,917,395</w:t>
            </w:r>
          </w:p>
        </w:tc>
      </w:tr>
      <w:tr>
        <w:trPr>
          <w:trHeight w:val="324"/>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Series B-3 Preferred Shares</w:t>
            </w:r>
          </w:p>
        </w:tc>
        <w:tc>
          <w:tcPr>
            <w:tcW w:w="2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8"/>
        </w:trPr>
        <w:tc>
          <w:tcPr>
            <w:tcW w:w="39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CMC Warrior Holdings Limited, ZD</w:t>
            </w:r>
          </w:p>
        </w:tc>
        <w:tc>
          <w:tcPr>
            <w:tcW w:w="25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3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Global Fund SP CMC Warrior and</w:t>
            </w:r>
          </w:p>
        </w:tc>
        <w:tc>
          <w:tcPr>
            <w:tcW w:w="2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3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Happy Wisdom Limited</w:t>
            </w:r>
          </w:p>
        </w:tc>
        <w:tc>
          <w:tcPr>
            <w:tcW w:w="340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January 5, 2021</w:t>
            </w:r>
          </w:p>
        </w:tc>
        <w:tc>
          <w:tcPr>
            <w:tcW w:w="226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1,223,030</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US$24,000,000</w:t>
            </w: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140"/>
          </w:cols>
          <w:pgMar w:left="320" w:top="455" w:right="439" w:bottom="1440" w:gutter="0" w:footer="0" w:header="0"/>
        </w:sectPr>
      </w:pPr>
    </w:p>
    <w:bookmarkStart w:id="351" w:name="page352"/>
    <w:bookmarkEnd w:id="3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Securities/Purchaser</w:t>
            </w:r>
          </w:p>
        </w:tc>
        <w:tc>
          <w:tcPr>
            <w:tcW w:w="3400" w:type="dxa"/>
            <w:vAlign w:val="bottom"/>
            <w:gridSpan w:val="2"/>
          </w:tcPr>
          <w:p>
            <w:pPr>
              <w:ind w:left="760"/>
              <w:spacing w:after="0"/>
              <w:rPr>
                <w:sz w:val="20"/>
                <w:szCs w:val="20"/>
                <w:color w:val="auto"/>
              </w:rPr>
            </w:pPr>
            <w:r>
              <w:rPr>
                <w:rFonts w:ascii="Times New Roman" w:cs="Times New Roman" w:eastAsia="Times New Roman" w:hAnsi="Times New Roman"/>
                <w:sz w:val="14"/>
                <w:szCs w:val="14"/>
                <w:b w:val="1"/>
                <w:bCs w:val="1"/>
                <w:color w:val="auto"/>
              </w:rPr>
              <w:t>Date of Issuance</w:t>
            </w:r>
          </w:p>
        </w:tc>
        <w:tc>
          <w:tcPr>
            <w:tcW w:w="2260" w:type="dxa"/>
            <w:vAlign w:val="bottom"/>
            <w:gridSpan w:val="2"/>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Consideration</w:t>
            </w:r>
          </w:p>
        </w:tc>
      </w:tr>
      <w:tr>
        <w:trPr>
          <w:trHeight w:val="20"/>
        </w:trPr>
        <w:tc>
          <w:tcPr>
            <w:tcW w:w="1260" w:type="dxa"/>
            <w:vAlign w:val="bottom"/>
            <w:tcBorders>
              <w:bottom w:val="single" w:sz="8" w:color="CCEEFF"/>
            </w:tcBorders>
            <w:shd w:val="clear" w:color="auto" w:fill="000000"/>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171"/>
        </w:trPr>
        <w:tc>
          <w:tcPr>
            <w:tcW w:w="3960" w:type="dxa"/>
            <w:vAlign w:val="bottom"/>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Guangzhou Ruosi Investment Partnership</w:t>
            </w:r>
          </w:p>
        </w:tc>
        <w:tc>
          <w:tcPr>
            <w:tcW w:w="25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216"/>
        </w:trPr>
        <w:tc>
          <w:tcPr>
            <w:tcW w:w="3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(Limited Partnership), Tianjin Wenze</w:t>
            </w:r>
          </w:p>
        </w:tc>
        <w:tc>
          <w:tcPr>
            <w:tcW w:w="2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Investment Fund Partnership</w:t>
            </w:r>
          </w:p>
        </w:tc>
        <w:tc>
          <w:tcPr>
            <w:tcW w:w="2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(Limited Partnership), Nanjing Jianye</w:t>
            </w:r>
          </w:p>
        </w:tc>
        <w:tc>
          <w:tcPr>
            <w:tcW w:w="2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Jushi Technology Innovation Growth</w:t>
            </w:r>
          </w:p>
        </w:tc>
        <w:tc>
          <w:tcPr>
            <w:tcW w:w="2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Fund (Limited Partnership), Shanghai</w:t>
            </w:r>
          </w:p>
        </w:tc>
        <w:tc>
          <w:tcPr>
            <w:tcW w:w="2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Daining Business Management</w:t>
            </w:r>
          </w:p>
        </w:tc>
        <w:tc>
          <w:tcPr>
            <w:tcW w:w="2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Partnership (Limited Partnership),</w:t>
            </w:r>
          </w:p>
        </w:tc>
        <w:tc>
          <w:tcPr>
            <w:tcW w:w="2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Anhui Hongxinli Equity Investment</w:t>
            </w:r>
          </w:p>
        </w:tc>
        <w:tc>
          <w:tcPr>
            <w:tcW w:w="2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Partnership (Limited Partnership) and</w:t>
            </w:r>
          </w:p>
        </w:tc>
        <w:tc>
          <w:tcPr>
            <w:tcW w:w="2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Guangzhou Hengda Zhixing Industrial</w:t>
            </w:r>
          </w:p>
        </w:tc>
        <w:tc>
          <w:tcPr>
            <w:tcW w:w="2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Fund Partnership (Limited</w:t>
            </w:r>
          </w:p>
        </w:tc>
        <w:tc>
          <w:tcPr>
            <w:tcW w:w="340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Various dates from June 2021 to</w:t>
            </w:r>
          </w:p>
        </w:tc>
        <w:tc>
          <w:tcPr>
            <w:tcW w:w="1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3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Partnership)</w:t>
            </w:r>
          </w:p>
        </w:tc>
        <w:tc>
          <w:tcPr>
            <w:tcW w:w="340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July 2022</w:t>
            </w:r>
          </w:p>
        </w:tc>
        <w:tc>
          <w:tcPr>
            <w:tcW w:w="226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18,855,050</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US$37,000,000</w:t>
            </w:r>
          </w:p>
        </w:tc>
      </w:tr>
      <w:tr>
        <w:trPr>
          <w:trHeight w:val="324"/>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Series C-1 Preferred Shares</w:t>
            </w:r>
          </w:p>
        </w:tc>
        <w:tc>
          <w:tcPr>
            <w:tcW w:w="2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8"/>
        </w:trPr>
        <w:tc>
          <w:tcPr>
            <w:tcW w:w="39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Leading View Holdings Limited, Unified</w:t>
            </w:r>
          </w:p>
        </w:tc>
        <w:tc>
          <w:tcPr>
            <w:tcW w:w="25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3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City Limited, Novelty Venture Limited,</w:t>
            </w:r>
          </w:p>
        </w:tc>
        <w:tc>
          <w:tcPr>
            <w:tcW w:w="2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Happy Wisdom Limited, K3 Auklet</w:t>
            </w:r>
          </w:p>
        </w:tc>
        <w:tc>
          <w:tcPr>
            <w:tcW w:w="2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III Limited, Sky9 Capital MVP</w:t>
            </w:r>
          </w:p>
        </w:tc>
        <w:tc>
          <w:tcPr>
            <w:tcW w:w="2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Fund, L.P., Cypress Star Holdings</w:t>
            </w:r>
          </w:p>
        </w:tc>
        <w:tc>
          <w:tcPr>
            <w:tcW w:w="2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Limited, Homericapital HK Limited</w:t>
            </w:r>
          </w:p>
        </w:tc>
        <w:tc>
          <w:tcPr>
            <w:tcW w:w="2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Partnership Fund and CMC Warrior</w:t>
            </w:r>
          </w:p>
        </w:tc>
        <w:tc>
          <w:tcPr>
            <w:tcW w:w="2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3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Holdings Limited</w:t>
            </w:r>
          </w:p>
        </w:tc>
        <w:tc>
          <w:tcPr>
            <w:tcW w:w="340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May 7, 2021</w:t>
            </w:r>
          </w:p>
        </w:tc>
        <w:tc>
          <w:tcPr>
            <w:tcW w:w="226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41,034,590</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US$156,350,000</w:t>
            </w:r>
          </w:p>
        </w:tc>
      </w:tr>
      <w:tr>
        <w:trPr>
          <w:trHeight w:val="225"/>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LeadingView Holdings Limited,</w:t>
            </w:r>
          </w:p>
        </w:tc>
        <w:tc>
          <w:tcPr>
            <w:tcW w:w="2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3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EverestLu Holding Limited, ProRide</w:t>
            </w:r>
          </w:p>
        </w:tc>
        <w:tc>
          <w:tcPr>
            <w:tcW w:w="2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Holdings Limited, Yangtze Global</w:t>
            </w:r>
          </w:p>
        </w:tc>
        <w:tc>
          <w:tcPr>
            <w:tcW w:w="2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Growth Fund SPC - Costone NO.1 SP</w:t>
            </w:r>
          </w:p>
        </w:tc>
        <w:tc>
          <w:tcPr>
            <w:tcW w:w="2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3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and Alliance Ventures B.V.</w:t>
            </w:r>
          </w:p>
        </w:tc>
        <w:tc>
          <w:tcPr>
            <w:tcW w:w="340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June 3, 2021</w:t>
            </w:r>
          </w:p>
        </w:tc>
        <w:tc>
          <w:tcPr>
            <w:tcW w:w="226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30,352,737</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US$115,650,000</w:t>
            </w: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140"/>
          </w:cols>
          <w:pgMar w:left="320" w:top="455" w:right="439" w:bottom="1440" w:gutter="0" w:footer="0" w:header="0"/>
        </w:sectPr>
      </w:pPr>
    </w:p>
    <w:bookmarkStart w:id="352" w:name="page353"/>
    <w:bookmarkEnd w:id="3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Securities/Purchaser</w:t>
            </w:r>
          </w:p>
        </w:tc>
        <w:tc>
          <w:tcPr>
            <w:tcW w:w="3060" w:type="dxa"/>
            <w:vAlign w:val="bottom"/>
            <w:gridSpan w:val="2"/>
          </w:tcPr>
          <w:p>
            <w:pPr>
              <w:ind w:left="760"/>
              <w:spacing w:after="0"/>
              <w:rPr>
                <w:sz w:val="20"/>
                <w:szCs w:val="20"/>
                <w:color w:val="auto"/>
              </w:rPr>
            </w:pPr>
            <w:r>
              <w:rPr>
                <w:rFonts w:ascii="Times New Roman" w:cs="Times New Roman" w:eastAsia="Times New Roman" w:hAnsi="Times New Roman"/>
                <w:sz w:val="14"/>
                <w:szCs w:val="14"/>
                <w:b w:val="1"/>
                <w:bCs w:val="1"/>
                <w:color w:val="auto"/>
              </w:rPr>
              <w:t>Date of Issuance</w:t>
            </w:r>
          </w:p>
        </w:tc>
        <w:tc>
          <w:tcPr>
            <w:tcW w:w="238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9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Consideration</w:t>
            </w:r>
          </w:p>
        </w:tc>
      </w:tr>
      <w:tr>
        <w:trPr>
          <w:trHeight w:val="20"/>
        </w:trPr>
        <w:tc>
          <w:tcPr>
            <w:tcW w:w="1260" w:type="dxa"/>
            <w:vAlign w:val="bottom"/>
            <w:tcBorders>
              <w:bottom w:val="single" w:sz="8" w:color="CCEEFF"/>
            </w:tcBorders>
            <w:shd w:val="clear" w:color="auto" w:fill="000000"/>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190"/>
        </w:trPr>
        <w:tc>
          <w:tcPr>
            <w:tcW w:w="36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Series D Preferred Shares</w:t>
            </w:r>
          </w:p>
        </w:tc>
        <w:tc>
          <w:tcPr>
            <w:tcW w:w="25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98"/>
        </w:trPr>
        <w:tc>
          <w:tcPr>
            <w:tcW w:w="36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China-UAE Investment Cooperation</w:t>
            </w:r>
          </w:p>
        </w:tc>
        <w:tc>
          <w:tcPr>
            <w:tcW w:w="2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Fund, L.P., Allindrive Capital</w:t>
            </w:r>
          </w:p>
        </w:tc>
        <w:tc>
          <w:tcPr>
            <w:tcW w:w="2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(Cayman) Limited, Catalpa</w:t>
            </w:r>
          </w:p>
        </w:tc>
        <w:tc>
          <w:tcPr>
            <w:tcW w:w="2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Investments, MOMENTUM</w:t>
            </w:r>
          </w:p>
        </w:tc>
        <w:tc>
          <w:tcPr>
            <w:tcW w:w="2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VENTURE CAPITAL PTE. LTD.,</w:t>
            </w:r>
          </w:p>
        </w:tc>
        <w:tc>
          <w:tcPr>
            <w:tcW w:w="2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CCB International Overseas Limited</w:t>
            </w:r>
          </w:p>
        </w:tc>
        <w:tc>
          <w:tcPr>
            <w:tcW w:w="30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Various dates from January 20,</w:t>
            </w:r>
          </w:p>
        </w:tc>
        <w:tc>
          <w:tcPr>
            <w:tcW w:w="1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and Robert Bosch GmbH</w:t>
            </w:r>
          </w:p>
        </w:tc>
        <w:tc>
          <w:tcPr>
            <w:tcW w:w="30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2022 to June 15, 2022</w:t>
            </w:r>
          </w:p>
        </w:tc>
        <w:tc>
          <w:tcPr>
            <w:tcW w:w="23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39,716,614</w:t>
            </w:r>
          </w:p>
        </w:tc>
        <w:tc>
          <w:tcPr>
            <w:tcW w:w="1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US$185,000,000</w:t>
            </w:r>
          </w:p>
        </w:tc>
      </w:tr>
      <w:tr>
        <w:trPr>
          <w:trHeight w:val="27"/>
        </w:trPr>
        <w:tc>
          <w:tcPr>
            <w:tcW w:w="12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98"/>
        </w:trPr>
        <w:tc>
          <w:tcPr>
            <w:tcW w:w="36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Hainan Kaiyi Investment Partnership</w:t>
            </w:r>
          </w:p>
        </w:tc>
        <w:tc>
          <w:tcPr>
            <w:tcW w:w="2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(Limited Partnership)</w:t>
            </w:r>
          </w:p>
        </w:tc>
        <w:tc>
          <w:tcPr>
            <w:tcW w:w="30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December 2, 2022</w:t>
            </w:r>
          </w:p>
        </w:tc>
        <w:tc>
          <w:tcPr>
            <w:tcW w:w="23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3,220,266</w:t>
            </w:r>
          </w:p>
        </w:tc>
        <w:tc>
          <w:tcPr>
            <w:tcW w:w="1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US$15,000,000</w:t>
            </w:r>
          </w:p>
        </w:tc>
      </w:tr>
      <w:tr>
        <w:trPr>
          <w:trHeight w:val="225"/>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China-UAE Investment Cooperation</w:t>
            </w:r>
          </w:p>
        </w:tc>
        <w:tc>
          <w:tcPr>
            <w:tcW w:w="2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Fund, L.P.</w:t>
            </w:r>
          </w:p>
        </w:tc>
        <w:tc>
          <w:tcPr>
            <w:tcW w:w="30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December 28, 2022</w:t>
            </w:r>
          </w:p>
        </w:tc>
        <w:tc>
          <w:tcPr>
            <w:tcW w:w="23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10,734,220</w:t>
            </w:r>
          </w:p>
        </w:tc>
        <w:tc>
          <w:tcPr>
            <w:tcW w:w="1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US$50,000,000</w:t>
            </w:r>
          </w:p>
        </w:tc>
      </w:tr>
      <w:tr>
        <w:trPr>
          <w:trHeight w:val="108"/>
        </w:trPr>
        <w:tc>
          <w:tcPr>
            <w:tcW w:w="1260" w:type="dxa"/>
            <w:vAlign w:val="bottom"/>
          </w:tcPr>
          <w:p>
            <w:pPr>
              <w:spacing w:after="0"/>
              <w:rPr>
                <w:sz w:val="9"/>
                <w:szCs w:val="9"/>
                <w:color w:val="auto"/>
              </w:rPr>
            </w:pPr>
          </w:p>
        </w:tc>
        <w:tc>
          <w:tcPr>
            <w:tcW w:w="2360" w:type="dxa"/>
            <w:vAlign w:val="bottom"/>
          </w:tcPr>
          <w:p>
            <w:pPr>
              <w:spacing w:after="0"/>
              <w:rPr>
                <w:sz w:val="9"/>
                <w:szCs w:val="9"/>
                <w:color w:val="auto"/>
              </w:rPr>
            </w:pPr>
          </w:p>
        </w:tc>
        <w:tc>
          <w:tcPr>
            <w:tcW w:w="2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8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2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36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Guangzhou Flower City Venture</w:t>
            </w:r>
          </w:p>
        </w:tc>
        <w:tc>
          <w:tcPr>
            <w:tcW w:w="2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Partnership Limited (Limited</w:t>
            </w:r>
          </w:p>
        </w:tc>
        <w:tc>
          <w:tcPr>
            <w:tcW w:w="2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3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Calculated as specified</w:t>
            </w: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Partnership)</w:t>
            </w:r>
          </w:p>
        </w:tc>
        <w:tc>
          <w:tcPr>
            <w:tcW w:w="30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January 10, 2020</w:t>
            </w:r>
          </w:p>
        </w:tc>
        <w:tc>
          <w:tcPr>
            <w:tcW w:w="23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in the warrant</w:t>
            </w:r>
          </w:p>
        </w:tc>
        <w:tc>
          <w:tcPr>
            <w:tcW w:w="1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RMB20,000,000</w:t>
            </w:r>
          </w:p>
        </w:tc>
      </w:tr>
      <w:tr>
        <w:trPr>
          <w:trHeight w:val="27"/>
        </w:trPr>
        <w:tc>
          <w:tcPr>
            <w:tcW w:w="12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98"/>
        </w:trPr>
        <w:tc>
          <w:tcPr>
            <w:tcW w:w="36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Sinovation Intelligence (Guangzhou)</w:t>
            </w:r>
          </w:p>
        </w:tc>
        <w:tc>
          <w:tcPr>
            <w:tcW w:w="2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Venture Capital Investment Limited</w:t>
            </w:r>
          </w:p>
        </w:tc>
        <w:tc>
          <w:tcPr>
            <w:tcW w:w="2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Calculated as specified</w:t>
            </w: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Partnership (Limited Partnership)</w:t>
            </w:r>
          </w:p>
        </w:tc>
        <w:tc>
          <w:tcPr>
            <w:tcW w:w="30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February 12, 2020</w:t>
            </w:r>
          </w:p>
        </w:tc>
        <w:tc>
          <w:tcPr>
            <w:tcW w:w="23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in the warrant</w:t>
            </w:r>
          </w:p>
        </w:tc>
        <w:tc>
          <w:tcPr>
            <w:tcW w:w="1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RMB30,000,000</w:t>
            </w:r>
          </w:p>
        </w:tc>
      </w:tr>
      <w:tr>
        <w:trPr>
          <w:trHeight w:val="225"/>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Guangdong-Zhuhai-Macao (Zhuhai)</w:t>
            </w:r>
          </w:p>
        </w:tc>
        <w:tc>
          <w:tcPr>
            <w:tcW w:w="2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Frontier Industry Equity Investment</w:t>
            </w:r>
          </w:p>
        </w:tc>
        <w:tc>
          <w:tcPr>
            <w:tcW w:w="2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3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Calculated as specified</w:t>
            </w: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Fund (Limited Partnership)</w:t>
            </w:r>
          </w:p>
        </w:tc>
        <w:tc>
          <w:tcPr>
            <w:tcW w:w="30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December 14, 2020</w:t>
            </w:r>
          </w:p>
        </w:tc>
        <w:tc>
          <w:tcPr>
            <w:tcW w:w="23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in the warrant</w:t>
            </w:r>
          </w:p>
        </w:tc>
        <w:tc>
          <w:tcPr>
            <w:tcW w:w="1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RMB50,000,000</w:t>
            </w:r>
          </w:p>
        </w:tc>
      </w:tr>
      <w:tr>
        <w:trPr>
          <w:trHeight w:val="27"/>
        </w:trPr>
        <w:tc>
          <w:tcPr>
            <w:tcW w:w="12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98"/>
        </w:trPr>
        <w:tc>
          <w:tcPr>
            <w:tcW w:w="36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Zhengzhou Maoshu Jiayuan Intelligent</w:t>
            </w:r>
          </w:p>
        </w:tc>
        <w:tc>
          <w:tcPr>
            <w:tcW w:w="2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380" w:type="dxa"/>
            <w:vAlign w:val="bottom"/>
            <w:gridSpan w:val="2"/>
            <w:shd w:val="clear" w:color="auto" w:fill="CCEEFF"/>
          </w:tcPr>
          <w:p>
            <w:pPr>
              <w:jc w:val="right"/>
              <w:ind w:right="600"/>
              <w:spacing w:after="0" w:line="198" w:lineRule="exact"/>
              <w:rPr>
                <w:sz w:val="20"/>
                <w:szCs w:val="20"/>
                <w:color w:val="auto"/>
              </w:rPr>
            </w:pPr>
            <w:r>
              <w:rPr>
                <w:rFonts w:ascii="Times New Roman" w:cs="Times New Roman" w:eastAsia="Times New Roman" w:hAnsi="Times New Roman"/>
                <w:sz w:val="18"/>
                <w:szCs w:val="18"/>
                <w:color w:val="auto"/>
              </w:rPr>
              <w:t>6,624,745</w:t>
            </w:r>
          </w:p>
        </w:tc>
        <w:tc>
          <w:tcPr>
            <w:tcW w:w="1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Connected Industry Investment Fund</w:t>
            </w:r>
          </w:p>
        </w:tc>
        <w:tc>
          <w:tcPr>
            <w:tcW w:w="2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Series B-1</w:t>
            </w: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(Limited Partnership)</w:t>
            </w:r>
          </w:p>
        </w:tc>
        <w:tc>
          <w:tcPr>
            <w:tcW w:w="30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December 14, 2020</w:t>
            </w:r>
          </w:p>
        </w:tc>
        <w:tc>
          <w:tcPr>
            <w:tcW w:w="23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preferred shares</w:t>
            </w:r>
          </w:p>
        </w:tc>
        <w:tc>
          <w:tcPr>
            <w:tcW w:w="1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US$100,000,000</w:t>
            </w:r>
          </w:p>
        </w:tc>
      </w:tr>
      <w:tr>
        <w:trPr>
          <w:trHeight w:val="225"/>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Tianjin Wenze Equity Investment Fund</w:t>
            </w:r>
          </w:p>
        </w:tc>
        <w:tc>
          <w:tcPr>
            <w:tcW w:w="2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3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Certain amount of</w:t>
            </w:r>
          </w:p>
        </w:tc>
        <w:tc>
          <w:tcPr>
            <w:tcW w:w="18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Partnership (Limited Partnership)</w:t>
            </w:r>
          </w:p>
        </w:tc>
        <w:tc>
          <w:tcPr>
            <w:tcW w:w="2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3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ordinary shares as</w:t>
            </w:r>
          </w:p>
        </w:tc>
        <w:tc>
          <w:tcPr>
            <w:tcW w:w="1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Between US$10,000,000</w:t>
            </w:r>
          </w:p>
        </w:tc>
      </w:tr>
      <w:tr>
        <w:trPr>
          <w:trHeight w:val="234"/>
        </w:trPr>
        <w:tc>
          <w:tcPr>
            <w:tcW w:w="12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0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January 15, 2021</w:t>
            </w:r>
          </w:p>
        </w:tc>
        <w:tc>
          <w:tcPr>
            <w:tcW w:w="23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specified in the warrant</w:t>
            </w:r>
          </w:p>
        </w:tc>
        <w:tc>
          <w:tcPr>
            <w:tcW w:w="1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and RMB101,000,000</w:t>
            </w:r>
          </w:p>
        </w:tc>
      </w:tr>
      <w:tr>
        <w:trPr>
          <w:trHeight w:val="27"/>
        </w:trPr>
        <w:tc>
          <w:tcPr>
            <w:tcW w:w="12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98"/>
        </w:trPr>
        <w:tc>
          <w:tcPr>
            <w:tcW w:w="36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Tianjin Wenze Equity Investment Fund</w:t>
            </w:r>
          </w:p>
        </w:tc>
        <w:tc>
          <w:tcPr>
            <w:tcW w:w="2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380" w:type="dxa"/>
            <w:vAlign w:val="bottom"/>
            <w:gridSpan w:val="2"/>
            <w:shd w:val="clear" w:color="auto" w:fill="CCEEFF"/>
          </w:tcPr>
          <w:p>
            <w:pPr>
              <w:jc w:val="right"/>
              <w:ind w:right="600"/>
              <w:spacing w:after="0" w:line="198" w:lineRule="exact"/>
              <w:rPr>
                <w:sz w:val="20"/>
                <w:szCs w:val="20"/>
                <w:color w:val="auto"/>
              </w:rPr>
            </w:pPr>
            <w:r>
              <w:rPr>
                <w:rFonts w:ascii="Times New Roman" w:cs="Times New Roman" w:eastAsia="Times New Roman" w:hAnsi="Times New Roman"/>
                <w:sz w:val="18"/>
                <w:szCs w:val="18"/>
                <w:color w:val="auto"/>
              </w:rPr>
              <w:t>certain amount of</w:t>
            </w:r>
          </w:p>
        </w:tc>
        <w:tc>
          <w:tcPr>
            <w:tcW w:w="1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Partnership (Limited Partnership)</w:t>
            </w:r>
          </w:p>
        </w:tc>
        <w:tc>
          <w:tcPr>
            <w:tcW w:w="2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Series B-3 preferred</w:t>
            </w: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2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shares as specified in</w:t>
            </w: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1260" w:type="dxa"/>
            <w:vAlign w:val="bottom"/>
            <w:shd w:val="clear" w:color="auto" w:fill="CCEEFF"/>
          </w:tcPr>
          <w:p>
            <w:pPr>
              <w:spacing w:after="0"/>
              <w:rPr>
                <w:sz w:val="20"/>
                <w:szCs w:val="20"/>
                <w:color w:val="auto"/>
              </w:rPr>
            </w:pPr>
          </w:p>
        </w:tc>
        <w:tc>
          <w:tcPr>
            <w:tcW w:w="2360" w:type="dxa"/>
            <w:vAlign w:val="bottom"/>
            <w:shd w:val="clear" w:color="auto" w:fill="CCEEFF"/>
          </w:tcPr>
          <w:p>
            <w:pPr>
              <w:spacing w:after="0"/>
              <w:rPr>
                <w:sz w:val="20"/>
                <w:szCs w:val="20"/>
                <w:color w:val="auto"/>
              </w:rPr>
            </w:pPr>
          </w:p>
        </w:tc>
        <w:tc>
          <w:tcPr>
            <w:tcW w:w="30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January 15, 2021</w:t>
            </w:r>
          </w:p>
        </w:tc>
        <w:tc>
          <w:tcPr>
            <w:tcW w:w="23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the warrant</w:t>
            </w:r>
          </w:p>
        </w:tc>
        <w:tc>
          <w:tcPr>
            <w:tcW w:w="1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US$10,000,000</w:t>
            </w:r>
          </w:p>
        </w:tc>
      </w:tr>
      <w:tr>
        <w:trPr>
          <w:trHeight w:val="225"/>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Anhui Hongxinli Equity Investment</w:t>
            </w:r>
          </w:p>
        </w:tc>
        <w:tc>
          <w:tcPr>
            <w:tcW w:w="2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3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certain amount of</w:t>
            </w:r>
          </w:p>
        </w:tc>
        <w:tc>
          <w:tcPr>
            <w:tcW w:w="18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Partnership (Limited Partnership)</w:t>
            </w:r>
          </w:p>
        </w:tc>
        <w:tc>
          <w:tcPr>
            <w:tcW w:w="2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3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Series B-3 preferred</w:t>
            </w: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3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shares as specified in</w:t>
            </w: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12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0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January 15, 2021</w:t>
            </w:r>
          </w:p>
        </w:tc>
        <w:tc>
          <w:tcPr>
            <w:tcW w:w="23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the warrant</w:t>
            </w:r>
          </w:p>
        </w:tc>
        <w:tc>
          <w:tcPr>
            <w:tcW w:w="1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US$5,000,000</w:t>
            </w: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140"/>
          </w:cols>
          <w:pgMar w:left="320" w:top="455" w:right="439" w:bottom="1440" w:gutter="0" w:footer="0" w:header="0"/>
        </w:sectPr>
      </w:pPr>
    </w:p>
    <w:bookmarkStart w:id="353" w:name="page354"/>
    <w:bookmarkEnd w:id="3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Securities/Purchaser</w:t>
            </w:r>
          </w:p>
        </w:tc>
        <w:tc>
          <w:tcPr>
            <w:tcW w:w="3160" w:type="dxa"/>
            <w:vAlign w:val="bottom"/>
            <w:gridSpan w:val="2"/>
          </w:tcPr>
          <w:p>
            <w:pPr>
              <w:jc w:val="right"/>
              <w:ind w:right="1340"/>
              <w:spacing w:after="0"/>
              <w:rPr>
                <w:sz w:val="20"/>
                <w:szCs w:val="20"/>
                <w:color w:val="auto"/>
              </w:rPr>
            </w:pPr>
            <w:r>
              <w:rPr>
                <w:rFonts w:ascii="Times New Roman" w:cs="Times New Roman" w:eastAsia="Times New Roman" w:hAnsi="Times New Roman"/>
                <w:sz w:val="14"/>
                <w:szCs w:val="14"/>
                <w:b w:val="1"/>
                <w:bCs w:val="1"/>
                <w:color w:val="auto"/>
              </w:rPr>
              <w:t>Date of Issuance</w:t>
            </w:r>
          </w:p>
        </w:tc>
        <w:tc>
          <w:tcPr>
            <w:tcW w:w="266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5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Consideration</w:t>
            </w:r>
          </w:p>
        </w:tc>
      </w:tr>
      <w:tr>
        <w:trPr>
          <w:trHeight w:val="20"/>
        </w:trPr>
        <w:tc>
          <w:tcPr>
            <w:tcW w:w="1260" w:type="dxa"/>
            <w:vAlign w:val="bottom"/>
            <w:tcBorders>
              <w:bottom w:val="single" w:sz="8" w:color="CCEEFF"/>
            </w:tcBorders>
            <w:shd w:val="clear" w:color="auto" w:fill="000000"/>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171"/>
        </w:trPr>
        <w:tc>
          <w:tcPr>
            <w:tcW w:w="3620" w:type="dxa"/>
            <w:vAlign w:val="bottom"/>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Guangzhou Ruosi Investment</w:t>
            </w:r>
          </w:p>
        </w:tc>
        <w:tc>
          <w:tcPr>
            <w:tcW w:w="26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6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8"/>
                <w:szCs w:val="18"/>
                <w:color w:val="auto"/>
              </w:rPr>
              <w:t>certain amount of</w:t>
            </w:r>
          </w:p>
        </w:tc>
        <w:tc>
          <w:tcPr>
            <w:tcW w:w="6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229"/>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Partnership (Limited Partnership)</w:t>
            </w:r>
          </w:p>
        </w:tc>
        <w:tc>
          <w:tcPr>
            <w:tcW w:w="26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6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Series B-3 preferred</w:t>
            </w: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16"/>
        </w:trPr>
        <w:tc>
          <w:tcPr>
            <w:tcW w:w="12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shares as specified in</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1260" w:type="dxa"/>
            <w:vAlign w:val="bottom"/>
            <w:shd w:val="clear" w:color="auto" w:fill="CCEEFF"/>
          </w:tcPr>
          <w:p>
            <w:pPr>
              <w:spacing w:after="0"/>
              <w:rPr>
                <w:sz w:val="20"/>
                <w:szCs w:val="20"/>
                <w:color w:val="auto"/>
              </w:rPr>
            </w:pPr>
          </w:p>
        </w:tc>
        <w:tc>
          <w:tcPr>
            <w:tcW w:w="2360" w:type="dxa"/>
            <w:vAlign w:val="bottom"/>
            <w:shd w:val="clear" w:color="auto" w:fill="CCEEFF"/>
          </w:tcPr>
          <w:p>
            <w:pPr>
              <w:spacing w:after="0"/>
              <w:rPr>
                <w:sz w:val="20"/>
                <w:szCs w:val="20"/>
                <w:color w:val="auto"/>
              </w:rPr>
            </w:pPr>
          </w:p>
        </w:tc>
        <w:tc>
          <w:tcPr>
            <w:tcW w:w="31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January 15, 2021</w:t>
            </w:r>
          </w:p>
        </w:tc>
        <w:tc>
          <w:tcPr>
            <w:tcW w:w="26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the warrant</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US$7,000,000</w:t>
            </w:r>
          </w:p>
        </w:tc>
      </w:tr>
      <w:tr>
        <w:trPr>
          <w:trHeight w:val="225"/>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Nanjing Jianye Jushi Kechuang Growth</w:t>
            </w:r>
          </w:p>
        </w:tc>
        <w:tc>
          <w:tcPr>
            <w:tcW w:w="2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Certain amount of</w:t>
            </w: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Fund (Limited Partnership)</w:t>
            </w:r>
          </w:p>
        </w:tc>
        <w:tc>
          <w:tcPr>
            <w:tcW w:w="2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ordinary shares as</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12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1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January 19, 2021</w:t>
            </w:r>
          </w:p>
        </w:tc>
        <w:tc>
          <w:tcPr>
            <w:tcW w:w="26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specified in the warrant</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US$2,000,000</w:t>
            </w:r>
          </w:p>
        </w:tc>
      </w:tr>
      <w:tr>
        <w:trPr>
          <w:trHeight w:val="27"/>
        </w:trPr>
        <w:tc>
          <w:tcPr>
            <w:tcW w:w="12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98"/>
        </w:trPr>
        <w:tc>
          <w:tcPr>
            <w:tcW w:w="36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Nanjing Jianye Jushi Kechuang Growth</w:t>
            </w:r>
          </w:p>
        </w:tc>
        <w:tc>
          <w:tcPr>
            <w:tcW w:w="26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60" w:type="dxa"/>
            <w:vAlign w:val="bottom"/>
            <w:gridSpan w:val="2"/>
            <w:shd w:val="clear" w:color="auto" w:fill="CCEEFF"/>
          </w:tcPr>
          <w:p>
            <w:pPr>
              <w:jc w:val="right"/>
              <w:ind w:right="600"/>
              <w:spacing w:after="0" w:line="198" w:lineRule="exact"/>
              <w:rPr>
                <w:sz w:val="20"/>
                <w:szCs w:val="20"/>
                <w:color w:val="auto"/>
              </w:rPr>
            </w:pPr>
            <w:r>
              <w:rPr>
                <w:rFonts w:ascii="Times New Roman" w:cs="Times New Roman" w:eastAsia="Times New Roman" w:hAnsi="Times New Roman"/>
                <w:sz w:val="18"/>
                <w:szCs w:val="18"/>
                <w:color w:val="auto"/>
              </w:rPr>
              <w:t>certain amount of</w:t>
            </w:r>
          </w:p>
        </w:tc>
        <w:tc>
          <w:tcPr>
            <w:tcW w:w="1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Fund (Limited Partnership)</w:t>
            </w:r>
          </w:p>
        </w:tc>
        <w:tc>
          <w:tcPr>
            <w:tcW w:w="2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Series B-3 preferred</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2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shares as specified in</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1260" w:type="dxa"/>
            <w:vAlign w:val="bottom"/>
            <w:shd w:val="clear" w:color="auto" w:fill="CCEEFF"/>
          </w:tcPr>
          <w:p>
            <w:pPr>
              <w:spacing w:after="0"/>
              <w:rPr>
                <w:sz w:val="20"/>
                <w:szCs w:val="20"/>
                <w:color w:val="auto"/>
              </w:rPr>
            </w:pPr>
          </w:p>
        </w:tc>
        <w:tc>
          <w:tcPr>
            <w:tcW w:w="2360" w:type="dxa"/>
            <w:vAlign w:val="bottom"/>
            <w:shd w:val="clear" w:color="auto" w:fill="CCEEFF"/>
          </w:tcPr>
          <w:p>
            <w:pPr>
              <w:spacing w:after="0"/>
              <w:rPr>
                <w:sz w:val="20"/>
                <w:szCs w:val="20"/>
                <w:color w:val="auto"/>
              </w:rPr>
            </w:pPr>
          </w:p>
        </w:tc>
        <w:tc>
          <w:tcPr>
            <w:tcW w:w="31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January 19, 2021</w:t>
            </w:r>
          </w:p>
        </w:tc>
        <w:tc>
          <w:tcPr>
            <w:tcW w:w="26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the warrant</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US$5,000,000</w:t>
            </w:r>
          </w:p>
        </w:tc>
      </w:tr>
      <w:tr>
        <w:trPr>
          <w:trHeight w:val="225"/>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Shanghai Daining Enterprise Management</w:t>
            </w:r>
          </w:p>
        </w:tc>
        <w:tc>
          <w:tcPr>
            <w:tcW w:w="2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certain amount of</w:t>
            </w: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Partnership (Limited Partnership)</w:t>
            </w:r>
          </w:p>
        </w:tc>
        <w:tc>
          <w:tcPr>
            <w:tcW w:w="2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Series B-3 preferred</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shares as specified in</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12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1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February 5, 2021</w:t>
            </w:r>
          </w:p>
        </w:tc>
        <w:tc>
          <w:tcPr>
            <w:tcW w:w="26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the warrant</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US$5,000,000</w:t>
            </w:r>
          </w:p>
        </w:tc>
      </w:tr>
      <w:tr>
        <w:trPr>
          <w:trHeight w:val="27"/>
        </w:trPr>
        <w:tc>
          <w:tcPr>
            <w:tcW w:w="12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98"/>
        </w:trPr>
        <w:tc>
          <w:tcPr>
            <w:tcW w:w="36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Guangzhou Hengda Zhixing Industry</w:t>
            </w:r>
          </w:p>
        </w:tc>
        <w:tc>
          <w:tcPr>
            <w:tcW w:w="26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60" w:type="dxa"/>
            <w:vAlign w:val="bottom"/>
            <w:gridSpan w:val="2"/>
            <w:shd w:val="clear" w:color="auto" w:fill="CCEEFF"/>
          </w:tcPr>
          <w:p>
            <w:pPr>
              <w:jc w:val="right"/>
              <w:ind w:right="600"/>
              <w:spacing w:after="0" w:line="198" w:lineRule="exact"/>
              <w:rPr>
                <w:sz w:val="20"/>
                <w:szCs w:val="20"/>
                <w:color w:val="auto"/>
              </w:rPr>
            </w:pPr>
            <w:r>
              <w:rPr>
                <w:rFonts w:ascii="Times New Roman" w:cs="Times New Roman" w:eastAsia="Times New Roman" w:hAnsi="Times New Roman"/>
                <w:sz w:val="18"/>
                <w:szCs w:val="18"/>
                <w:color w:val="auto"/>
              </w:rPr>
              <w:t>Certain amount of</w:t>
            </w:r>
          </w:p>
        </w:tc>
        <w:tc>
          <w:tcPr>
            <w:tcW w:w="1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Fund Limited Partnership</w:t>
            </w:r>
          </w:p>
        </w:tc>
        <w:tc>
          <w:tcPr>
            <w:tcW w:w="2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ordinary shares as</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(Limited Partnership)</w:t>
            </w:r>
          </w:p>
        </w:tc>
        <w:tc>
          <w:tcPr>
            <w:tcW w:w="31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February 5, 2021</w:t>
            </w:r>
          </w:p>
        </w:tc>
        <w:tc>
          <w:tcPr>
            <w:tcW w:w="26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specified in the warrant</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US$2,000,000</w:t>
            </w:r>
          </w:p>
        </w:tc>
      </w:tr>
      <w:tr>
        <w:trPr>
          <w:trHeight w:val="225"/>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Guangzhou Hengda Zhixing Industry</w:t>
            </w:r>
          </w:p>
        </w:tc>
        <w:tc>
          <w:tcPr>
            <w:tcW w:w="2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certain amount of</w:t>
            </w: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Investment Fund Limited Partnership</w:t>
            </w:r>
          </w:p>
        </w:tc>
        <w:tc>
          <w:tcPr>
            <w:tcW w:w="2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Series B-3 preferred</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(Limited Partnership)</w:t>
            </w:r>
          </w:p>
        </w:tc>
        <w:tc>
          <w:tcPr>
            <w:tcW w:w="2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shares as specified in</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12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1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February 5, 2021</w:t>
            </w:r>
          </w:p>
        </w:tc>
        <w:tc>
          <w:tcPr>
            <w:tcW w:w="26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the warrant</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US$5,000,000</w:t>
            </w:r>
          </w:p>
        </w:tc>
      </w:tr>
      <w:tr>
        <w:trPr>
          <w:trHeight w:val="27"/>
        </w:trPr>
        <w:tc>
          <w:tcPr>
            <w:tcW w:w="12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98"/>
        </w:trPr>
        <w:tc>
          <w:tcPr>
            <w:tcW w:w="36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Zhengzhou Xufeng Jiayuan Intelligent</w:t>
            </w:r>
          </w:p>
        </w:tc>
        <w:tc>
          <w:tcPr>
            <w:tcW w:w="26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60" w:type="dxa"/>
            <w:vAlign w:val="bottom"/>
            <w:gridSpan w:val="2"/>
            <w:shd w:val="clear" w:color="auto" w:fill="CCEEFF"/>
          </w:tcPr>
          <w:p>
            <w:pPr>
              <w:jc w:val="right"/>
              <w:ind w:right="600"/>
              <w:spacing w:after="0" w:line="198" w:lineRule="exact"/>
              <w:rPr>
                <w:sz w:val="20"/>
                <w:szCs w:val="20"/>
                <w:color w:val="auto"/>
              </w:rPr>
            </w:pPr>
            <w:r>
              <w:rPr>
                <w:rFonts w:ascii="Times New Roman" w:cs="Times New Roman" w:eastAsia="Times New Roman" w:hAnsi="Times New Roman"/>
                <w:sz w:val="18"/>
                <w:szCs w:val="18"/>
                <w:color w:val="auto"/>
              </w:rPr>
              <w:t>6,624,745</w:t>
            </w:r>
          </w:p>
        </w:tc>
        <w:tc>
          <w:tcPr>
            <w:tcW w:w="1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Connected Enterprise Management</w:t>
            </w:r>
          </w:p>
        </w:tc>
        <w:tc>
          <w:tcPr>
            <w:tcW w:w="2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Series B-1</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Centre (LP)</w:t>
            </w:r>
          </w:p>
        </w:tc>
        <w:tc>
          <w:tcPr>
            <w:tcW w:w="31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June 3, 2021</w:t>
            </w:r>
          </w:p>
        </w:tc>
        <w:tc>
          <w:tcPr>
            <w:tcW w:w="26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preferred shares</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US$100,000,000</w:t>
            </w:r>
          </w:p>
        </w:tc>
      </w:tr>
      <w:tr>
        <w:trPr>
          <w:trHeight w:val="225"/>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Hainan Kaiyi Investment Partnership</w:t>
            </w:r>
          </w:p>
        </w:tc>
        <w:tc>
          <w:tcPr>
            <w:tcW w:w="2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3,220,266</w:t>
            </w: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(Limited Partnership)</w:t>
            </w:r>
          </w:p>
        </w:tc>
        <w:tc>
          <w:tcPr>
            <w:tcW w:w="2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Series D</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12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1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January 20, 2022</w:t>
            </w:r>
          </w:p>
        </w:tc>
        <w:tc>
          <w:tcPr>
            <w:tcW w:w="26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preferred shares</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US$15,000,000</w:t>
            </w:r>
          </w:p>
        </w:tc>
      </w:tr>
      <w:tr>
        <w:trPr>
          <w:trHeight w:val="27"/>
        </w:trPr>
        <w:tc>
          <w:tcPr>
            <w:tcW w:w="12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98"/>
        </w:trPr>
        <w:tc>
          <w:tcPr>
            <w:tcW w:w="36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Shanghai Huitianfu Yijian Equity</w:t>
            </w:r>
          </w:p>
        </w:tc>
        <w:tc>
          <w:tcPr>
            <w:tcW w:w="26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60" w:type="dxa"/>
            <w:vAlign w:val="bottom"/>
            <w:gridSpan w:val="2"/>
            <w:shd w:val="clear" w:color="auto" w:fill="CCEEFF"/>
          </w:tcPr>
          <w:p>
            <w:pPr>
              <w:jc w:val="right"/>
              <w:ind w:right="600"/>
              <w:spacing w:after="0" w:line="198" w:lineRule="exact"/>
              <w:rPr>
                <w:sz w:val="20"/>
                <w:szCs w:val="20"/>
                <w:color w:val="auto"/>
              </w:rPr>
            </w:pPr>
            <w:r>
              <w:rPr>
                <w:rFonts w:ascii="Times New Roman" w:cs="Times New Roman" w:eastAsia="Times New Roman" w:hAnsi="Times New Roman"/>
                <w:sz w:val="18"/>
                <w:szCs w:val="18"/>
                <w:color w:val="auto"/>
              </w:rPr>
              <w:t>1,610,133</w:t>
            </w:r>
          </w:p>
        </w:tc>
        <w:tc>
          <w:tcPr>
            <w:tcW w:w="1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Management Co., Ltd.</w:t>
            </w:r>
          </w:p>
        </w:tc>
        <w:tc>
          <w:tcPr>
            <w:tcW w:w="2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Series D</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1260" w:type="dxa"/>
            <w:vAlign w:val="bottom"/>
            <w:shd w:val="clear" w:color="auto" w:fill="CCEEFF"/>
          </w:tcPr>
          <w:p>
            <w:pPr>
              <w:spacing w:after="0"/>
              <w:rPr>
                <w:sz w:val="20"/>
                <w:szCs w:val="20"/>
                <w:color w:val="auto"/>
              </w:rPr>
            </w:pPr>
          </w:p>
        </w:tc>
        <w:tc>
          <w:tcPr>
            <w:tcW w:w="2360" w:type="dxa"/>
            <w:vAlign w:val="bottom"/>
            <w:shd w:val="clear" w:color="auto" w:fill="CCEEFF"/>
          </w:tcPr>
          <w:p>
            <w:pPr>
              <w:spacing w:after="0"/>
              <w:rPr>
                <w:sz w:val="20"/>
                <w:szCs w:val="20"/>
                <w:color w:val="auto"/>
              </w:rPr>
            </w:pPr>
          </w:p>
        </w:tc>
        <w:tc>
          <w:tcPr>
            <w:tcW w:w="31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January 20, 2022</w:t>
            </w:r>
          </w:p>
        </w:tc>
        <w:tc>
          <w:tcPr>
            <w:tcW w:w="26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preferred shares</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US$7,500,000</w:t>
            </w:r>
          </w:p>
        </w:tc>
      </w:tr>
      <w:tr>
        <w:trPr>
          <w:trHeight w:val="225"/>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Guangzhou Yuexiu Jinchan III Equity</w:t>
            </w:r>
          </w:p>
        </w:tc>
        <w:tc>
          <w:tcPr>
            <w:tcW w:w="2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2,146,844</w:t>
            </w: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Investment Partnership (Limited</w:t>
            </w:r>
          </w:p>
        </w:tc>
        <w:tc>
          <w:tcPr>
            <w:tcW w:w="2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Series D</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Partnership)</w:t>
            </w:r>
          </w:p>
        </w:tc>
        <w:tc>
          <w:tcPr>
            <w:tcW w:w="31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January 20, 2022</w:t>
            </w:r>
          </w:p>
        </w:tc>
        <w:tc>
          <w:tcPr>
            <w:tcW w:w="26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preferred shares</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US$10,000,000</w:t>
            </w:r>
          </w:p>
        </w:tc>
      </w:tr>
      <w:tr>
        <w:trPr>
          <w:trHeight w:val="27"/>
        </w:trPr>
        <w:tc>
          <w:tcPr>
            <w:tcW w:w="12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98"/>
        </w:trPr>
        <w:tc>
          <w:tcPr>
            <w:tcW w:w="36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Guangzhou Zhiruo Investment Partnership</w:t>
            </w:r>
          </w:p>
        </w:tc>
        <w:tc>
          <w:tcPr>
            <w:tcW w:w="26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60" w:type="dxa"/>
            <w:vAlign w:val="bottom"/>
            <w:gridSpan w:val="2"/>
            <w:shd w:val="clear" w:color="auto" w:fill="CCEEFF"/>
          </w:tcPr>
          <w:p>
            <w:pPr>
              <w:jc w:val="right"/>
              <w:ind w:right="600"/>
              <w:spacing w:after="0" w:line="198" w:lineRule="exact"/>
              <w:rPr>
                <w:sz w:val="20"/>
                <w:szCs w:val="20"/>
                <w:color w:val="auto"/>
              </w:rPr>
            </w:pPr>
            <w:r>
              <w:rPr>
                <w:rFonts w:ascii="Times New Roman" w:cs="Times New Roman" w:eastAsia="Times New Roman" w:hAnsi="Times New Roman"/>
                <w:sz w:val="18"/>
                <w:szCs w:val="18"/>
                <w:color w:val="auto"/>
              </w:rPr>
              <w:t>345,234</w:t>
            </w:r>
          </w:p>
        </w:tc>
        <w:tc>
          <w:tcPr>
            <w:tcW w:w="1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(Limited Partnership)</w:t>
            </w:r>
          </w:p>
        </w:tc>
        <w:tc>
          <w:tcPr>
            <w:tcW w:w="2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Series D</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1260" w:type="dxa"/>
            <w:vAlign w:val="bottom"/>
            <w:shd w:val="clear" w:color="auto" w:fill="CCEEFF"/>
          </w:tcPr>
          <w:p>
            <w:pPr>
              <w:spacing w:after="0"/>
              <w:rPr>
                <w:sz w:val="20"/>
                <w:szCs w:val="20"/>
                <w:color w:val="auto"/>
              </w:rPr>
            </w:pPr>
          </w:p>
        </w:tc>
        <w:tc>
          <w:tcPr>
            <w:tcW w:w="2360" w:type="dxa"/>
            <w:vAlign w:val="bottom"/>
            <w:shd w:val="clear" w:color="auto" w:fill="CCEEFF"/>
          </w:tcPr>
          <w:p>
            <w:pPr>
              <w:spacing w:after="0"/>
              <w:rPr>
                <w:sz w:val="20"/>
                <w:szCs w:val="20"/>
                <w:color w:val="auto"/>
              </w:rPr>
            </w:pPr>
          </w:p>
        </w:tc>
        <w:tc>
          <w:tcPr>
            <w:tcW w:w="31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January 20, 2022</w:t>
            </w:r>
          </w:p>
        </w:tc>
        <w:tc>
          <w:tcPr>
            <w:tcW w:w="26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preferred shares</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US$1,608,100</w:t>
            </w:r>
          </w:p>
        </w:tc>
      </w:tr>
      <w:tr>
        <w:trPr>
          <w:trHeight w:val="225"/>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CCB Pilot Strategic Emerging Industry</w:t>
            </w:r>
          </w:p>
        </w:tc>
        <w:tc>
          <w:tcPr>
            <w:tcW w:w="2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6,440,532</w:t>
            </w: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Development Fund (Limited</w:t>
            </w:r>
          </w:p>
        </w:tc>
        <w:tc>
          <w:tcPr>
            <w:tcW w:w="2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Series D</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Partnership)</w:t>
            </w:r>
          </w:p>
        </w:tc>
        <w:tc>
          <w:tcPr>
            <w:tcW w:w="31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January 20, 2022</w:t>
            </w:r>
          </w:p>
        </w:tc>
        <w:tc>
          <w:tcPr>
            <w:tcW w:w="26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preferred shares</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US$30,000,000</w:t>
            </w:r>
          </w:p>
        </w:tc>
      </w:tr>
      <w:tr>
        <w:trPr>
          <w:trHeight w:val="27"/>
        </w:trPr>
        <w:tc>
          <w:tcPr>
            <w:tcW w:w="12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98"/>
        </w:trPr>
        <w:tc>
          <w:tcPr>
            <w:tcW w:w="36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China-UAE Investment Cooperation</w:t>
            </w:r>
          </w:p>
        </w:tc>
        <w:tc>
          <w:tcPr>
            <w:tcW w:w="26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60" w:type="dxa"/>
            <w:vAlign w:val="bottom"/>
            <w:gridSpan w:val="2"/>
            <w:shd w:val="clear" w:color="auto" w:fill="CCEEFF"/>
          </w:tcPr>
          <w:p>
            <w:pPr>
              <w:jc w:val="right"/>
              <w:ind w:right="600"/>
              <w:spacing w:after="0" w:line="198" w:lineRule="exact"/>
              <w:rPr>
                <w:sz w:val="20"/>
                <w:szCs w:val="20"/>
                <w:color w:val="auto"/>
              </w:rPr>
            </w:pPr>
            <w:r>
              <w:rPr>
                <w:rFonts w:ascii="Times New Roman" w:cs="Times New Roman" w:eastAsia="Times New Roman" w:hAnsi="Times New Roman"/>
                <w:sz w:val="18"/>
                <w:szCs w:val="18"/>
                <w:color w:val="auto"/>
              </w:rPr>
              <w:t>10,734,220</w:t>
            </w:r>
          </w:p>
        </w:tc>
        <w:tc>
          <w:tcPr>
            <w:tcW w:w="1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Fund, L.P.</w:t>
            </w:r>
          </w:p>
        </w:tc>
        <w:tc>
          <w:tcPr>
            <w:tcW w:w="2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Series D</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1260" w:type="dxa"/>
            <w:vAlign w:val="bottom"/>
            <w:shd w:val="clear" w:color="auto" w:fill="CCEEFF"/>
          </w:tcPr>
          <w:p>
            <w:pPr>
              <w:spacing w:after="0"/>
              <w:rPr>
                <w:sz w:val="20"/>
                <w:szCs w:val="20"/>
                <w:color w:val="auto"/>
              </w:rPr>
            </w:pPr>
          </w:p>
        </w:tc>
        <w:tc>
          <w:tcPr>
            <w:tcW w:w="2360" w:type="dxa"/>
            <w:vAlign w:val="bottom"/>
            <w:shd w:val="clear" w:color="auto" w:fill="CCEEFF"/>
          </w:tcPr>
          <w:p>
            <w:pPr>
              <w:spacing w:after="0"/>
              <w:rPr>
                <w:sz w:val="20"/>
                <w:szCs w:val="20"/>
                <w:color w:val="auto"/>
              </w:rPr>
            </w:pPr>
          </w:p>
        </w:tc>
        <w:tc>
          <w:tcPr>
            <w:tcW w:w="31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January 20, 2022</w:t>
            </w:r>
          </w:p>
        </w:tc>
        <w:tc>
          <w:tcPr>
            <w:tcW w:w="26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preferred shares</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US$50,000,000</w:t>
            </w: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1140"/>
          </w:cols>
          <w:pgMar w:left="320" w:top="455" w:right="439" w:bottom="1440" w:gutter="0" w:footer="0" w:header="0"/>
        </w:sectPr>
      </w:pPr>
    </w:p>
    <w:bookmarkStart w:id="354" w:name="page355"/>
    <w:bookmarkEnd w:id="3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Securities/Purchaser</w:t>
            </w:r>
          </w:p>
        </w:tc>
        <w:tc>
          <w:tcPr>
            <w:tcW w:w="2960" w:type="dxa"/>
            <w:vAlign w:val="bottom"/>
            <w:gridSpan w:val="2"/>
          </w:tcPr>
          <w:p>
            <w:pPr>
              <w:ind w:left="760"/>
              <w:spacing w:after="0"/>
              <w:rPr>
                <w:sz w:val="20"/>
                <w:szCs w:val="20"/>
                <w:color w:val="auto"/>
              </w:rPr>
            </w:pPr>
            <w:r>
              <w:rPr>
                <w:rFonts w:ascii="Times New Roman" w:cs="Times New Roman" w:eastAsia="Times New Roman" w:hAnsi="Times New Roman"/>
                <w:sz w:val="14"/>
                <w:szCs w:val="14"/>
                <w:b w:val="1"/>
                <w:bCs w:val="1"/>
                <w:color w:val="auto"/>
              </w:rPr>
              <w:t>Date of Issuance</w:t>
            </w:r>
          </w:p>
        </w:tc>
        <w:tc>
          <w:tcPr>
            <w:tcW w:w="218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238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Consideration</w:t>
            </w:r>
          </w:p>
        </w:tc>
      </w:tr>
      <w:tr>
        <w:trPr>
          <w:trHeight w:val="20"/>
        </w:trPr>
        <w:tc>
          <w:tcPr>
            <w:tcW w:w="1260" w:type="dxa"/>
            <w:vAlign w:val="bottom"/>
            <w:tcBorders>
              <w:bottom w:val="single" w:sz="8" w:color="CCEEFF"/>
            </w:tcBorders>
            <w:shd w:val="clear" w:color="auto" w:fill="000000"/>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185"/>
        </w:trPr>
        <w:tc>
          <w:tcPr>
            <w:tcW w:w="3500" w:type="dxa"/>
            <w:vAlign w:val="bottom"/>
            <w:gridSpan w:val="2"/>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auto"/>
              </w:rPr>
              <w:t>Allindrive Capital (Cayman) Limited</w:t>
            </w:r>
          </w:p>
        </w:tc>
        <w:tc>
          <w:tcPr>
            <w:tcW w:w="25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line="185" w:lineRule="exact"/>
              <w:rPr>
                <w:sz w:val="20"/>
                <w:szCs w:val="20"/>
                <w:color w:val="auto"/>
              </w:rPr>
            </w:pPr>
            <w:r>
              <w:rPr>
                <w:rFonts w:ascii="Times New Roman" w:cs="Times New Roman" w:eastAsia="Times New Roman" w:hAnsi="Times New Roman"/>
                <w:sz w:val="18"/>
                <w:szCs w:val="18"/>
                <w:color w:val="auto"/>
              </w:rPr>
              <w:t>10,734,220</w:t>
            </w:r>
          </w:p>
        </w:tc>
        <w:tc>
          <w:tcPr>
            <w:tcW w:w="480" w:type="dxa"/>
            <w:vAlign w:val="bottom"/>
            <w:shd w:val="clear" w:color="auto" w:fill="CCEEFF"/>
          </w:tcPr>
          <w:p>
            <w:pPr>
              <w:spacing w:after="0"/>
              <w:rPr>
                <w:sz w:val="16"/>
                <w:szCs w:val="16"/>
                <w:color w:val="auto"/>
              </w:rPr>
            </w:pPr>
          </w:p>
        </w:tc>
        <w:tc>
          <w:tcPr>
            <w:tcW w:w="2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6"/>
        </w:trPr>
        <w:tc>
          <w:tcPr>
            <w:tcW w:w="12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Series D</w:t>
            </w:r>
          </w:p>
        </w:tc>
        <w:tc>
          <w:tcPr>
            <w:tcW w:w="2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126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2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January 20, 2022</w:t>
            </w:r>
          </w:p>
        </w:tc>
        <w:tc>
          <w:tcPr>
            <w:tcW w:w="21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preferred shares</w:t>
            </w:r>
          </w:p>
        </w:tc>
        <w:tc>
          <w:tcPr>
            <w:tcW w:w="2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US$50,000,000</w:t>
            </w:r>
          </w:p>
        </w:tc>
      </w:tr>
      <w:tr>
        <w:trPr>
          <w:trHeight w:val="225"/>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Catalpa Investments</w:t>
            </w:r>
          </w:p>
        </w:tc>
        <w:tc>
          <w:tcPr>
            <w:tcW w:w="2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2,146,844</w:t>
            </w:r>
          </w:p>
        </w:tc>
        <w:tc>
          <w:tcPr>
            <w:tcW w:w="23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12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Series D</w:t>
            </w: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12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9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January 20, 2022</w:t>
            </w:r>
          </w:p>
        </w:tc>
        <w:tc>
          <w:tcPr>
            <w:tcW w:w="2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preferred shares</w:t>
            </w:r>
          </w:p>
        </w:tc>
        <w:tc>
          <w:tcPr>
            <w:tcW w:w="2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US$10,000,000</w:t>
            </w:r>
          </w:p>
        </w:tc>
      </w:tr>
      <w:tr>
        <w:trPr>
          <w:trHeight w:val="27"/>
        </w:trPr>
        <w:tc>
          <w:tcPr>
            <w:tcW w:w="12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98"/>
        </w:trPr>
        <w:tc>
          <w:tcPr>
            <w:tcW w:w="35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Hainan Kaiyi Investment Partnership</w:t>
            </w:r>
          </w:p>
        </w:tc>
        <w:tc>
          <w:tcPr>
            <w:tcW w:w="25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180" w:type="dxa"/>
            <w:vAlign w:val="bottom"/>
            <w:gridSpan w:val="2"/>
            <w:shd w:val="clear" w:color="auto" w:fill="CCEEFF"/>
          </w:tcPr>
          <w:p>
            <w:pPr>
              <w:jc w:val="right"/>
              <w:ind w:right="480"/>
              <w:spacing w:after="0" w:line="198" w:lineRule="exact"/>
              <w:rPr>
                <w:sz w:val="20"/>
                <w:szCs w:val="20"/>
                <w:color w:val="auto"/>
              </w:rPr>
            </w:pPr>
            <w:r>
              <w:rPr>
                <w:rFonts w:ascii="Times New Roman" w:cs="Times New Roman" w:eastAsia="Times New Roman" w:hAnsi="Times New Roman"/>
                <w:sz w:val="18"/>
                <w:szCs w:val="18"/>
                <w:color w:val="auto"/>
              </w:rPr>
              <w:t>2,146,844</w:t>
            </w:r>
          </w:p>
        </w:tc>
        <w:tc>
          <w:tcPr>
            <w:tcW w:w="2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3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(Limited Partnership)</w:t>
            </w:r>
          </w:p>
        </w:tc>
        <w:tc>
          <w:tcPr>
            <w:tcW w:w="2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Series D</w:t>
            </w:r>
          </w:p>
        </w:tc>
        <w:tc>
          <w:tcPr>
            <w:tcW w:w="2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126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2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January 20, 2022</w:t>
            </w:r>
          </w:p>
        </w:tc>
        <w:tc>
          <w:tcPr>
            <w:tcW w:w="21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preferred shares</w:t>
            </w:r>
          </w:p>
        </w:tc>
        <w:tc>
          <w:tcPr>
            <w:tcW w:w="2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US$10,000,000</w:t>
            </w:r>
          </w:p>
        </w:tc>
      </w:tr>
      <w:tr>
        <w:trPr>
          <w:trHeight w:val="225"/>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Xiamen Hechuang Junteng Investment</w:t>
            </w:r>
          </w:p>
        </w:tc>
        <w:tc>
          <w:tcPr>
            <w:tcW w:w="2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1,133,534</w:t>
            </w:r>
          </w:p>
        </w:tc>
        <w:tc>
          <w:tcPr>
            <w:tcW w:w="23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3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Partnership (Limited Partnership)</w:t>
            </w:r>
          </w:p>
        </w:tc>
        <w:tc>
          <w:tcPr>
            <w:tcW w:w="2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Series D</w:t>
            </w: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preferred shares or</w:t>
            </w: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12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9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March 1, 2022</w:t>
            </w:r>
          </w:p>
        </w:tc>
        <w:tc>
          <w:tcPr>
            <w:tcW w:w="2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ordinary shares</w:t>
            </w:r>
          </w:p>
        </w:tc>
        <w:tc>
          <w:tcPr>
            <w:tcW w:w="2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US$5,280,000</w:t>
            </w:r>
          </w:p>
        </w:tc>
      </w:tr>
      <w:tr>
        <w:trPr>
          <w:trHeight w:val="27"/>
        </w:trPr>
        <w:tc>
          <w:tcPr>
            <w:tcW w:w="12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98"/>
        </w:trPr>
        <w:tc>
          <w:tcPr>
            <w:tcW w:w="35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National Development and Manufacturing</w:t>
            </w:r>
          </w:p>
        </w:tc>
        <w:tc>
          <w:tcPr>
            <w:tcW w:w="25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180" w:type="dxa"/>
            <w:vAlign w:val="bottom"/>
            <w:gridSpan w:val="2"/>
            <w:shd w:val="clear" w:color="auto" w:fill="CCEEFF"/>
          </w:tcPr>
          <w:p>
            <w:pPr>
              <w:jc w:val="right"/>
              <w:ind w:right="480"/>
              <w:spacing w:after="0" w:line="198" w:lineRule="exact"/>
              <w:rPr>
                <w:sz w:val="20"/>
                <w:szCs w:val="20"/>
                <w:color w:val="auto"/>
              </w:rPr>
            </w:pPr>
            <w:r>
              <w:rPr>
                <w:rFonts w:ascii="Times New Roman" w:cs="Times New Roman" w:eastAsia="Times New Roman" w:hAnsi="Times New Roman"/>
                <w:sz w:val="18"/>
                <w:szCs w:val="18"/>
                <w:color w:val="auto"/>
              </w:rPr>
              <w:t>11,834,910</w:t>
            </w:r>
          </w:p>
        </w:tc>
        <w:tc>
          <w:tcPr>
            <w:tcW w:w="2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3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Industry Transformation and Upgrading</w:t>
            </w:r>
          </w:p>
        </w:tc>
        <w:tc>
          <w:tcPr>
            <w:tcW w:w="2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Series D+</w:t>
            </w:r>
          </w:p>
        </w:tc>
        <w:tc>
          <w:tcPr>
            <w:tcW w:w="2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3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Fund (Limited Partnership)</w:t>
            </w:r>
          </w:p>
        </w:tc>
        <w:tc>
          <w:tcPr>
            <w:tcW w:w="2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October 31, 2022</w:t>
            </w:r>
          </w:p>
        </w:tc>
        <w:tc>
          <w:tcPr>
            <w:tcW w:w="21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preferred shares</w:t>
            </w:r>
          </w:p>
        </w:tc>
        <w:tc>
          <w:tcPr>
            <w:tcW w:w="2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US$59,682,280</w:t>
            </w:r>
          </w:p>
        </w:tc>
      </w:tr>
      <w:tr>
        <w:trPr>
          <w:trHeight w:val="225"/>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National Development and Manufacturing</w:t>
            </w:r>
          </w:p>
        </w:tc>
        <w:tc>
          <w:tcPr>
            <w:tcW w:w="2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3,100,000</w:t>
            </w:r>
          </w:p>
        </w:tc>
        <w:tc>
          <w:tcPr>
            <w:tcW w:w="23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3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Industry Transformation and Upgrading</w:t>
            </w:r>
          </w:p>
        </w:tc>
        <w:tc>
          <w:tcPr>
            <w:tcW w:w="2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Series D+</w:t>
            </w: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3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Fund (Limited Partnership)</w:t>
            </w:r>
          </w:p>
        </w:tc>
        <w:tc>
          <w:tcPr>
            <w:tcW w:w="29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October 31, 2022</w:t>
            </w:r>
          </w:p>
        </w:tc>
        <w:tc>
          <w:tcPr>
            <w:tcW w:w="2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preferred shares</w:t>
            </w:r>
          </w:p>
        </w:tc>
        <w:tc>
          <w:tcPr>
            <w:tcW w:w="2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US$10,317,730</w:t>
            </w:r>
          </w:p>
        </w:tc>
      </w:tr>
      <w:tr>
        <w:trPr>
          <w:trHeight w:val="108"/>
        </w:trPr>
        <w:tc>
          <w:tcPr>
            <w:tcW w:w="1260" w:type="dxa"/>
            <w:vAlign w:val="bottom"/>
          </w:tcPr>
          <w:p>
            <w:pPr>
              <w:spacing w:after="0"/>
              <w:rPr>
                <w:sz w:val="9"/>
                <w:szCs w:val="9"/>
                <w:color w:val="auto"/>
              </w:rPr>
            </w:pPr>
          </w:p>
        </w:tc>
        <w:tc>
          <w:tcPr>
            <w:tcW w:w="2240" w:type="dxa"/>
            <w:vAlign w:val="bottom"/>
          </w:tcPr>
          <w:p>
            <w:pPr>
              <w:spacing w:after="0"/>
              <w:rPr>
                <w:sz w:val="9"/>
                <w:szCs w:val="9"/>
                <w:color w:val="auto"/>
              </w:rPr>
            </w:pPr>
          </w:p>
        </w:tc>
        <w:tc>
          <w:tcPr>
            <w:tcW w:w="2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30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35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Certain directors, officers and employees</w:t>
            </w:r>
          </w:p>
        </w:tc>
        <w:tc>
          <w:tcPr>
            <w:tcW w:w="2960" w:type="dxa"/>
            <w:vAlign w:val="bottom"/>
            <w:gridSpan w:val="2"/>
          </w:tcPr>
          <w:p>
            <w:pPr>
              <w:jc w:val="right"/>
              <w:ind w:right="420"/>
              <w:spacing w:after="0" w:line="198" w:lineRule="exact"/>
              <w:rPr>
                <w:sz w:val="20"/>
                <w:szCs w:val="20"/>
                <w:color w:val="auto"/>
              </w:rPr>
            </w:pPr>
            <w:r>
              <w:rPr>
                <w:rFonts w:ascii="Times New Roman" w:cs="Times New Roman" w:eastAsia="Times New Roman" w:hAnsi="Times New Roman"/>
                <w:sz w:val="18"/>
                <w:szCs w:val="18"/>
                <w:color w:val="auto"/>
              </w:rPr>
              <w:t>Various dates</w:t>
            </w:r>
          </w:p>
        </w:tc>
        <w:tc>
          <w:tcPr>
            <w:tcW w:w="1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12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9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from February 2020</w:t>
            </w:r>
          </w:p>
        </w:tc>
        <w:tc>
          <w:tcPr>
            <w:tcW w:w="1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Services provided by the</w:t>
            </w:r>
          </w:p>
        </w:tc>
      </w:tr>
      <w:tr>
        <w:trPr>
          <w:trHeight w:val="234"/>
        </w:trPr>
        <w:tc>
          <w:tcPr>
            <w:tcW w:w="12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9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to November 2022</w:t>
            </w:r>
          </w:p>
        </w:tc>
        <w:tc>
          <w:tcPr>
            <w:tcW w:w="2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104,108,581</w:t>
            </w:r>
          </w:p>
        </w:tc>
        <w:tc>
          <w:tcPr>
            <w:tcW w:w="2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respective grantees</w:t>
            </w:r>
          </w:p>
        </w:tc>
      </w:tr>
      <w:tr>
        <w:trPr>
          <w:trHeight w:val="108"/>
        </w:trPr>
        <w:tc>
          <w:tcPr>
            <w:tcW w:w="1260" w:type="dxa"/>
            <w:vAlign w:val="bottom"/>
          </w:tcPr>
          <w:p>
            <w:pPr>
              <w:spacing w:after="0"/>
              <w:rPr>
                <w:sz w:val="9"/>
                <w:szCs w:val="9"/>
                <w:color w:val="auto"/>
              </w:rPr>
            </w:pPr>
          </w:p>
        </w:tc>
        <w:tc>
          <w:tcPr>
            <w:tcW w:w="2240" w:type="dxa"/>
            <w:vAlign w:val="bottom"/>
          </w:tcPr>
          <w:p>
            <w:pPr>
              <w:spacing w:after="0"/>
              <w:rPr>
                <w:sz w:val="9"/>
                <w:szCs w:val="9"/>
                <w:color w:val="auto"/>
              </w:rPr>
            </w:pPr>
          </w:p>
        </w:tc>
        <w:tc>
          <w:tcPr>
            <w:tcW w:w="2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30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Restricted Share Units</w:t>
            </w:r>
          </w:p>
        </w:tc>
        <w:tc>
          <w:tcPr>
            <w:tcW w:w="2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35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Certain directors, officers and employees</w:t>
            </w:r>
          </w:p>
        </w:tc>
        <w:tc>
          <w:tcPr>
            <w:tcW w:w="2960" w:type="dxa"/>
            <w:vAlign w:val="bottom"/>
            <w:gridSpan w:val="2"/>
          </w:tcPr>
          <w:p>
            <w:pPr>
              <w:jc w:val="right"/>
              <w:ind w:right="420"/>
              <w:spacing w:after="0" w:line="198" w:lineRule="exact"/>
              <w:rPr>
                <w:sz w:val="20"/>
                <w:szCs w:val="20"/>
                <w:color w:val="auto"/>
              </w:rPr>
            </w:pPr>
            <w:r>
              <w:rPr>
                <w:rFonts w:ascii="Times New Roman" w:cs="Times New Roman" w:eastAsia="Times New Roman" w:hAnsi="Times New Roman"/>
                <w:sz w:val="18"/>
                <w:szCs w:val="18"/>
                <w:color w:val="auto"/>
              </w:rPr>
              <w:t>Various dates</w:t>
            </w:r>
          </w:p>
        </w:tc>
        <w:tc>
          <w:tcPr>
            <w:tcW w:w="1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12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9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from June 2018</w:t>
            </w:r>
          </w:p>
        </w:tc>
        <w:tc>
          <w:tcPr>
            <w:tcW w:w="1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Services provided by the</w:t>
            </w:r>
          </w:p>
        </w:tc>
      </w:tr>
      <w:tr>
        <w:trPr>
          <w:trHeight w:val="234"/>
        </w:trPr>
        <w:tc>
          <w:tcPr>
            <w:tcW w:w="12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9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to May 2019</w:t>
            </w:r>
          </w:p>
        </w:tc>
        <w:tc>
          <w:tcPr>
            <w:tcW w:w="2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251,916,196</w:t>
            </w:r>
          </w:p>
        </w:tc>
        <w:tc>
          <w:tcPr>
            <w:tcW w:w="2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respective grantees</w:t>
            </w:r>
          </w:p>
        </w:tc>
      </w:tr>
    </w:tbl>
    <w:p>
      <w:pPr>
        <w:spacing w:after="0" w:line="342" w:lineRule="exact"/>
        <w:rPr>
          <w:sz w:val="20"/>
          <w:szCs w:val="20"/>
          <w:color w:val="auto"/>
        </w:rPr>
      </w:pPr>
    </w:p>
    <w:p>
      <w:pPr>
        <w:ind w:left="12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135" w:lineRule="exact"/>
        <w:rPr>
          <w:sz w:val="20"/>
          <w:szCs w:val="20"/>
          <w:color w:val="auto"/>
        </w:rPr>
      </w:pPr>
    </w:p>
    <w:p>
      <w:pPr>
        <w:ind w:left="540" w:hanging="424"/>
        <w:spacing w:after="0"/>
        <w:tabs>
          <w:tab w:leader="none" w:pos="54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17"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Exhibit Index beginning on page II-9 of this registration statement.</w:t>
      </w:r>
    </w:p>
    <w:p>
      <w:pPr>
        <w:spacing w:after="0" w:line="225" w:lineRule="exact"/>
        <w:rPr>
          <w:sz w:val="20"/>
          <w:szCs w:val="20"/>
          <w:color w:val="auto"/>
        </w:rPr>
      </w:pPr>
    </w:p>
    <w:p>
      <w:pPr>
        <w:ind w:left="120" w:right="220" w:firstLine="440"/>
        <w:spacing w:after="0" w:line="269" w:lineRule="auto"/>
        <w:rPr>
          <w:sz w:val="20"/>
          <w:szCs w:val="20"/>
          <w:color w:val="auto"/>
        </w:rPr>
      </w:pPr>
      <w:r>
        <w:rPr>
          <w:rFonts w:ascii="Times New Roman" w:cs="Times New Roman" w:eastAsia="Times New Roman" w:hAnsi="Times New Roman"/>
          <w:sz w:val="17"/>
          <w:szCs w:val="17"/>
          <w:color w:val="auto"/>
        </w:rPr>
        <w:t>The agreements included as exhibits to this registration statement contain representations and warranties by each of the parties to the applicable agreement. These representations and warranties were made solely for the benefit of the other parties to the applicable agreement and (i) were not intended to be treated as categorical statements of fact, but rather as a way of allocating the risk to one of the parties if those statements prove to be inaccurate; (ii) may have been qualified in such agreement by disclosure that was made to the other party in connection with the negotiation of the applicable agreement; (iii) may apply contract standards of “materiality” that are different from “materiality” under the applicable securities laws; and</w:t>
      </w:r>
    </w:p>
    <w:p>
      <w:pPr>
        <w:spacing w:after="0" w:line="3" w:lineRule="exact"/>
        <w:rPr>
          <w:sz w:val="20"/>
          <w:szCs w:val="20"/>
          <w:color w:val="auto"/>
        </w:rPr>
      </w:pPr>
    </w:p>
    <w:p>
      <w:pPr>
        <w:ind w:left="5480" w:right="1840" w:hanging="5364"/>
        <w:spacing w:after="0" w:line="433" w:lineRule="auto"/>
        <w:tabs>
          <w:tab w:leader="none" w:pos="412"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made only as of the date of the applicable agreement or such other date or dates as may be specified in the agreement. II-7</w:t>
      </w:r>
    </w:p>
    <w:p>
      <w:pPr>
        <w:sectPr>
          <w:pgSz w:w="11900" w:h="16838" w:orient="portrait"/>
          <w:cols w:equalWidth="0" w:num="1">
            <w:col w:w="11140"/>
          </w:cols>
          <w:pgMar w:left="320" w:top="455" w:right="439" w:bottom="1440" w:gutter="0" w:footer="0" w:header="0"/>
        </w:sectPr>
      </w:pPr>
    </w:p>
    <w:bookmarkStart w:id="355" w:name="page356"/>
    <w:bookmarkEnd w:id="3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acknowledge that, notwithstanding the inclusion of the foregoing cautionary statements, we are responsible for considering whether additional specific disclosure of material information regarding material contractual provisions is required to make the statements in this registration statement not misleading.</w:t>
      </w:r>
    </w:p>
    <w:p>
      <w:pPr>
        <w:spacing w:after="0" w:line="324" w:lineRule="exact"/>
        <w:rPr>
          <w:sz w:val="20"/>
          <w:szCs w:val="20"/>
          <w:color w:val="auto"/>
        </w:rPr>
      </w:pPr>
    </w:p>
    <w:p>
      <w:pPr>
        <w:ind w:left="540" w:hanging="424"/>
        <w:spacing w:after="0"/>
        <w:tabs>
          <w:tab w:leader="none" w:pos="54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117"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Schedules have been omitted because the information required to be set forth therein is not applicable or is shown in the Consolidated Financial Statements or the Notes thereto.</w:t>
      </w:r>
    </w:p>
    <w:p>
      <w:pPr>
        <w:spacing w:after="0" w:line="306" w:lineRule="exact"/>
        <w:rPr>
          <w:sz w:val="20"/>
          <w:szCs w:val="20"/>
          <w:color w:val="auto"/>
        </w:rPr>
      </w:pPr>
    </w:p>
    <w:p>
      <w:pPr>
        <w:ind w:left="12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UNDERTAKINGS.</w:t>
      </w:r>
    </w:p>
    <w:p>
      <w:pPr>
        <w:spacing w:after="0" w:line="12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provisions described in Item 6,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undersigned registrant hereby undertakes that:</w:t>
      </w:r>
    </w:p>
    <w:p>
      <w:pPr>
        <w:spacing w:after="0" w:line="117" w:lineRule="exact"/>
        <w:rPr>
          <w:sz w:val="20"/>
          <w:szCs w:val="20"/>
          <w:color w:val="auto"/>
        </w:rPr>
      </w:pPr>
    </w:p>
    <w:p>
      <w:pPr>
        <w:ind w:left="560" w:right="60" w:firstLine="419"/>
        <w:spacing w:after="0" w:line="276" w:lineRule="auto"/>
        <w:tabs>
          <w:tab w:leader="none" w:pos="1373" w:val="left"/>
        </w:tabs>
        <w:numPr>
          <w:ilvl w:val="1"/>
          <w:numId w:val="2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w:t>
      </w:r>
    </w:p>
    <w:p>
      <w:pPr>
        <w:ind w:left="820" w:hanging="264"/>
        <w:spacing w:after="0"/>
        <w:tabs>
          <w:tab w:leader="none" w:pos="82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497(h) under the Securities Act shall be deemed to be part of this registration statement as of the time it was declared effective.</w:t>
      </w:r>
    </w:p>
    <w:p>
      <w:pPr>
        <w:spacing w:after="0" w:line="98" w:lineRule="exact"/>
        <w:rPr>
          <w:rFonts w:ascii="Times New Roman" w:cs="Times New Roman" w:eastAsia="Times New Roman" w:hAnsi="Times New Roman"/>
          <w:sz w:val="18"/>
          <w:szCs w:val="18"/>
          <w:color w:val="auto"/>
        </w:rPr>
      </w:pPr>
    </w:p>
    <w:p>
      <w:pPr>
        <w:ind w:left="560" w:firstLine="419"/>
        <w:spacing w:after="0" w:line="266" w:lineRule="auto"/>
        <w:tabs>
          <w:tab w:leader="none" w:pos="1373"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76"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undersigned registrant hereby undertakes to file a post-effective amendment to the registration statement to include any financial statements required by Item 8.A of Form 20-F at the start of any delayed offering or throughout a continuous offering.</w:t>
      </w:r>
    </w:p>
    <w:p>
      <w:pPr>
        <w:spacing w:after="0" w:line="162"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5" w:lineRule="exact"/>
        <w:rPr>
          <w:sz w:val="20"/>
          <w:szCs w:val="20"/>
          <w:color w:val="auto"/>
        </w:rPr>
      </w:pPr>
    </w:p>
    <w:p>
      <w:pPr>
        <w:ind w:left="560" w:right="100" w:firstLine="419"/>
        <w:spacing w:after="0" w:line="282" w:lineRule="auto"/>
        <w:tabs>
          <w:tab w:leader="none" w:pos="1363"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53" w:lineRule="exact"/>
        <w:rPr>
          <w:rFonts w:ascii="Times New Roman" w:cs="Times New Roman" w:eastAsia="Times New Roman" w:hAnsi="Times New Roman"/>
          <w:sz w:val="18"/>
          <w:szCs w:val="18"/>
          <w:color w:val="auto"/>
        </w:rPr>
      </w:pPr>
    </w:p>
    <w:p>
      <w:pPr>
        <w:ind w:left="560" w:right="660" w:firstLine="419"/>
        <w:spacing w:after="0" w:line="282" w:lineRule="auto"/>
        <w:tabs>
          <w:tab w:leader="none" w:pos="1369"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53" w:lineRule="exact"/>
        <w:rPr>
          <w:rFonts w:ascii="Times New Roman" w:cs="Times New Roman" w:eastAsia="Times New Roman" w:hAnsi="Times New Roman"/>
          <w:sz w:val="18"/>
          <w:szCs w:val="18"/>
          <w:color w:val="auto"/>
        </w:rPr>
      </w:pPr>
    </w:p>
    <w:p>
      <w:pPr>
        <w:ind w:left="1360" w:hanging="381"/>
        <w:spacing w:after="0"/>
        <w:tabs>
          <w:tab w:leader="none" w:pos="136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II-8</w:t>
      </w:r>
    </w:p>
    <w:p>
      <w:pPr>
        <w:sectPr>
          <w:pgSz w:w="11900" w:h="16838" w:orient="portrait"/>
          <w:cols w:equalWidth="0" w:num="1">
            <w:col w:w="11120"/>
          </w:cols>
          <w:pgMar w:left="320" w:top="455" w:right="459" w:bottom="1440" w:gutter="0" w:footer="0" w:header="0"/>
        </w:sectPr>
      </w:pPr>
    </w:p>
    <w:bookmarkStart w:id="356" w:name="page357"/>
    <w:bookmarkEnd w:id="3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20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1042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WeRide Inc.</w:t>
            </w: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1042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7"/>
        </w:trPr>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700" w:type="dxa"/>
            <w:vAlign w:val="bottom"/>
          </w:tcPr>
          <w:p>
            <w:pPr>
              <w:spacing w:after="0"/>
              <w:rPr>
                <w:sz w:val="24"/>
                <w:szCs w:val="24"/>
                <w:color w:val="auto"/>
              </w:rPr>
            </w:pPr>
          </w:p>
        </w:tc>
        <w:tc>
          <w:tcPr>
            <w:tcW w:w="5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73"/>
        </w:trPr>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4700" w:type="dxa"/>
            <w:vAlign w:val="bottom"/>
          </w:tcPr>
          <w:p>
            <w:pPr>
              <w:spacing w:after="0"/>
              <w:rPr>
                <w:sz w:val="15"/>
                <w:szCs w:val="15"/>
                <w:color w:val="auto"/>
              </w:rPr>
            </w:pPr>
          </w:p>
        </w:tc>
        <w:tc>
          <w:tcPr>
            <w:tcW w:w="5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1540" w:type="dxa"/>
            <w:vAlign w:val="bottom"/>
            <w:tcBorders>
              <w:top w:val="single" w:sz="8" w:color="auto"/>
            </w:tcBorders>
          </w:tcPr>
          <w:p>
            <w:pPr>
              <w:spacing w:after="0"/>
              <w:rPr>
                <w:sz w:val="24"/>
                <w:szCs w:val="24"/>
                <w:color w:val="auto"/>
              </w:rPr>
            </w:pPr>
          </w:p>
        </w:tc>
        <w:tc>
          <w:tcPr>
            <w:tcW w:w="4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42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Seventh Amended and Restated Memorandum and Articles of Association of the Registrant, as currently in effect</w:t>
            </w:r>
          </w:p>
        </w:tc>
        <w:tc>
          <w:tcPr>
            <w:tcW w:w="0" w:type="dxa"/>
            <w:vAlign w:val="bottom"/>
          </w:tcPr>
          <w:p>
            <w:pPr>
              <w:spacing w:after="0"/>
              <w:rPr>
                <w:sz w:val="1"/>
                <w:szCs w:val="1"/>
                <w:color w:val="auto"/>
              </w:rPr>
            </w:pPr>
          </w:p>
        </w:tc>
      </w:tr>
      <w:tr>
        <w:trPr>
          <w:trHeight w:val="306"/>
        </w:trPr>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42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Form of Eighth Amended and Restated Memorandum and Articles of Association of the Registrant, effective immediately prior to the</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042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completion of this offering</w:t>
            </w:r>
          </w:p>
        </w:tc>
        <w:tc>
          <w:tcPr>
            <w:tcW w:w="0" w:type="dxa"/>
            <w:vAlign w:val="bottom"/>
          </w:tcPr>
          <w:p>
            <w:pPr>
              <w:spacing w:after="0"/>
              <w:rPr>
                <w:sz w:val="1"/>
                <w:szCs w:val="1"/>
                <w:color w:val="auto"/>
              </w:rPr>
            </w:pPr>
          </w:p>
        </w:tc>
      </w:tr>
      <w:tr>
        <w:trPr>
          <w:trHeight w:val="324"/>
        </w:trPr>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42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Registrant’s Specimen American Depositary Receipt (included in Exhibit 4.3)</w:t>
            </w:r>
          </w:p>
        </w:tc>
        <w:tc>
          <w:tcPr>
            <w:tcW w:w="0" w:type="dxa"/>
            <w:vAlign w:val="bottom"/>
          </w:tcPr>
          <w:p>
            <w:pPr>
              <w:spacing w:after="0"/>
              <w:rPr>
                <w:sz w:val="1"/>
                <w:szCs w:val="1"/>
                <w:color w:val="auto"/>
              </w:rPr>
            </w:pPr>
          </w:p>
        </w:tc>
      </w:tr>
      <w:tr>
        <w:trPr>
          <w:trHeight w:val="324"/>
        </w:trPr>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42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Registrant’s Specimen Certificate for Class A ordinary shares</w:t>
            </w:r>
          </w:p>
        </w:tc>
        <w:tc>
          <w:tcPr>
            <w:tcW w:w="0" w:type="dxa"/>
            <w:vAlign w:val="bottom"/>
          </w:tcPr>
          <w:p>
            <w:pPr>
              <w:spacing w:after="0"/>
              <w:rPr>
                <w:sz w:val="1"/>
                <w:szCs w:val="1"/>
                <w:color w:val="auto"/>
              </w:rPr>
            </w:pPr>
          </w:p>
        </w:tc>
      </w:tr>
      <w:tr>
        <w:trPr>
          <w:trHeight w:val="324"/>
        </w:trPr>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42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Form of Deposit Agreement among the Registrant, the depositary and the owners and holders of the American Depositary Receipts</w:t>
            </w:r>
          </w:p>
        </w:tc>
        <w:tc>
          <w:tcPr>
            <w:tcW w:w="0" w:type="dxa"/>
            <w:vAlign w:val="bottom"/>
          </w:tcPr>
          <w:p>
            <w:pPr>
              <w:spacing w:after="0"/>
              <w:rPr>
                <w:sz w:val="1"/>
                <w:szCs w:val="1"/>
                <w:color w:val="auto"/>
              </w:rPr>
            </w:pPr>
          </w:p>
        </w:tc>
      </w:tr>
      <w:tr>
        <w:trPr>
          <w:trHeight w:val="324"/>
        </w:trPr>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42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Sixth Amended and Restated Shareholders Agreement among the Registrant and other parties thereto dated October 29, 2022</w:t>
            </w:r>
          </w:p>
        </w:tc>
        <w:tc>
          <w:tcPr>
            <w:tcW w:w="0" w:type="dxa"/>
            <w:vAlign w:val="bottom"/>
          </w:tcPr>
          <w:p>
            <w:pPr>
              <w:spacing w:after="0"/>
              <w:rPr>
                <w:sz w:val="1"/>
                <w:szCs w:val="1"/>
                <w:color w:val="auto"/>
              </w:rPr>
            </w:pPr>
          </w:p>
        </w:tc>
      </w:tr>
      <w:tr>
        <w:trPr>
          <w:trHeight w:val="306"/>
        </w:trPr>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42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Sixth Amended and Restated Right of First Refusal and Co-sale Agreement among the Registrant and other parties thereto dated</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042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October 29, 2022</w:t>
            </w:r>
          </w:p>
        </w:tc>
        <w:tc>
          <w:tcPr>
            <w:tcW w:w="0" w:type="dxa"/>
            <w:vAlign w:val="bottom"/>
          </w:tcPr>
          <w:p>
            <w:pPr>
              <w:spacing w:after="0"/>
              <w:rPr>
                <w:sz w:val="1"/>
                <w:szCs w:val="1"/>
                <w:color w:val="auto"/>
              </w:rPr>
            </w:pPr>
          </w:p>
        </w:tc>
      </w:tr>
      <w:tr>
        <w:trPr>
          <w:trHeight w:val="324"/>
        </w:trPr>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42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Opinion of Travers Thorp Alberga regarding the validity of the Class A ordinary shares being registered</w:t>
            </w:r>
          </w:p>
        </w:tc>
        <w:tc>
          <w:tcPr>
            <w:tcW w:w="0" w:type="dxa"/>
            <w:vAlign w:val="bottom"/>
          </w:tcPr>
          <w:p>
            <w:pPr>
              <w:spacing w:after="0"/>
              <w:rPr>
                <w:sz w:val="1"/>
                <w:szCs w:val="1"/>
                <w:color w:val="auto"/>
              </w:rPr>
            </w:pPr>
          </w:p>
        </w:tc>
      </w:tr>
      <w:tr>
        <w:trPr>
          <w:trHeight w:val="324"/>
        </w:trPr>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42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Opinion of Travers Thorp Alberga regarding certain Cayman Islands tax matters (included in Exhibit 5.1)</w:t>
            </w:r>
          </w:p>
        </w:tc>
        <w:tc>
          <w:tcPr>
            <w:tcW w:w="0" w:type="dxa"/>
            <w:vAlign w:val="bottom"/>
          </w:tcPr>
          <w:p>
            <w:pPr>
              <w:spacing w:after="0"/>
              <w:rPr>
                <w:sz w:val="1"/>
                <w:szCs w:val="1"/>
                <w:color w:val="auto"/>
              </w:rPr>
            </w:pPr>
          </w:p>
        </w:tc>
      </w:tr>
      <w:tr>
        <w:trPr>
          <w:trHeight w:val="324"/>
        </w:trPr>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10.1*</w:t>
            </w:r>
          </w:p>
        </w:tc>
        <w:tc>
          <w:tcPr>
            <w:tcW w:w="1042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2018 Share Plan</w:t>
            </w:r>
          </w:p>
        </w:tc>
        <w:tc>
          <w:tcPr>
            <w:tcW w:w="0" w:type="dxa"/>
            <w:vAlign w:val="bottom"/>
          </w:tcPr>
          <w:p>
            <w:pPr>
              <w:spacing w:after="0"/>
              <w:rPr>
                <w:sz w:val="1"/>
                <w:szCs w:val="1"/>
                <w:color w:val="auto"/>
              </w:rPr>
            </w:pPr>
          </w:p>
        </w:tc>
      </w:tr>
      <w:tr>
        <w:trPr>
          <w:trHeight w:val="324"/>
        </w:trPr>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10.2*</w:t>
            </w:r>
          </w:p>
        </w:tc>
        <w:tc>
          <w:tcPr>
            <w:tcW w:w="1042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Form of Indemnification Agreement between the Registrant and its directors and executive officers</w:t>
            </w:r>
          </w:p>
        </w:tc>
        <w:tc>
          <w:tcPr>
            <w:tcW w:w="0" w:type="dxa"/>
            <w:vAlign w:val="bottom"/>
          </w:tcPr>
          <w:p>
            <w:pPr>
              <w:spacing w:after="0"/>
              <w:rPr>
                <w:sz w:val="1"/>
                <w:szCs w:val="1"/>
                <w:color w:val="auto"/>
              </w:rPr>
            </w:pPr>
          </w:p>
        </w:tc>
      </w:tr>
      <w:tr>
        <w:trPr>
          <w:trHeight w:val="324"/>
        </w:trPr>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10.3*</w:t>
            </w:r>
          </w:p>
        </w:tc>
        <w:tc>
          <w:tcPr>
            <w:tcW w:w="1042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Form of Employment Agreement between the Registrant and its executive officer</w:t>
            </w:r>
          </w:p>
        </w:tc>
        <w:tc>
          <w:tcPr>
            <w:tcW w:w="0" w:type="dxa"/>
            <w:vAlign w:val="bottom"/>
          </w:tcPr>
          <w:p>
            <w:pPr>
              <w:spacing w:after="0"/>
              <w:rPr>
                <w:sz w:val="1"/>
                <w:szCs w:val="1"/>
                <w:color w:val="auto"/>
              </w:rPr>
            </w:pPr>
          </w:p>
        </w:tc>
      </w:tr>
      <w:tr>
        <w:trPr>
          <w:trHeight w:val="324"/>
        </w:trPr>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10.4*</w:t>
            </w:r>
          </w:p>
        </w:tc>
        <w:tc>
          <w:tcPr>
            <w:tcW w:w="1042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English translation of the Exclusive Technology Consulting and Service Agreement between the VIE and our WFOE, dated July 2, 2018</w:t>
            </w:r>
          </w:p>
        </w:tc>
        <w:tc>
          <w:tcPr>
            <w:tcW w:w="0" w:type="dxa"/>
            <w:vAlign w:val="bottom"/>
          </w:tcPr>
          <w:p>
            <w:pPr>
              <w:spacing w:after="0"/>
              <w:rPr>
                <w:sz w:val="1"/>
                <w:szCs w:val="1"/>
                <w:color w:val="auto"/>
              </w:rPr>
            </w:pPr>
          </w:p>
        </w:tc>
      </w:tr>
      <w:tr>
        <w:trPr>
          <w:trHeight w:val="306"/>
        </w:trPr>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10.5*</w:t>
            </w:r>
          </w:p>
        </w:tc>
        <w:tc>
          <w:tcPr>
            <w:tcW w:w="1042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w w:val="99"/>
              </w:rPr>
              <w:t>English translation of the Exclusive Option Agreement among our WFOE, the VIE and each of the shareholders of the VIE, dated July 7,</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4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2020</w:t>
            </w:r>
          </w:p>
        </w:tc>
        <w:tc>
          <w:tcPr>
            <w:tcW w:w="154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10.6*</w:t>
            </w:r>
          </w:p>
        </w:tc>
        <w:tc>
          <w:tcPr>
            <w:tcW w:w="1042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English translation of the form of Powers of Attorney granted by each shareholder of the VIE, as currently in effect, and a schedule of all</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042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executed Powers of Attorney adopting the same form</w:t>
            </w:r>
          </w:p>
        </w:tc>
        <w:tc>
          <w:tcPr>
            <w:tcW w:w="0" w:type="dxa"/>
            <w:vAlign w:val="bottom"/>
          </w:tcPr>
          <w:p>
            <w:pPr>
              <w:spacing w:after="0"/>
              <w:rPr>
                <w:sz w:val="1"/>
                <w:szCs w:val="1"/>
                <w:color w:val="auto"/>
              </w:rPr>
            </w:pPr>
          </w:p>
        </w:tc>
      </w:tr>
      <w:tr>
        <w:trPr>
          <w:trHeight w:val="306"/>
        </w:trPr>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10.7*</w:t>
            </w:r>
          </w:p>
        </w:tc>
        <w:tc>
          <w:tcPr>
            <w:tcW w:w="1042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English translation of the form of the Equity Interest Pledge Agreements between our WFOE and each shareholder of the VIE, and a</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042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schedule of all executed Equity Interest Pledge Agreements adopting the same form</w:t>
            </w:r>
          </w:p>
        </w:tc>
        <w:tc>
          <w:tcPr>
            <w:tcW w:w="0" w:type="dxa"/>
            <w:vAlign w:val="bottom"/>
          </w:tcPr>
          <w:p>
            <w:pPr>
              <w:spacing w:after="0"/>
              <w:rPr>
                <w:sz w:val="1"/>
                <w:szCs w:val="1"/>
                <w:color w:val="auto"/>
              </w:rPr>
            </w:pPr>
          </w:p>
        </w:tc>
      </w:tr>
      <w:tr>
        <w:trPr>
          <w:trHeight w:val="306"/>
        </w:trPr>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10.8*</w:t>
            </w:r>
          </w:p>
        </w:tc>
        <w:tc>
          <w:tcPr>
            <w:tcW w:w="1042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English translation of the form of the Spousal Consent Letters granted by the spouse of each nominee shareholder of the VIE, as</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042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currently in effect, and a schedule of all executed Spousal Consent adopting the same form</w:t>
            </w:r>
          </w:p>
        </w:tc>
        <w:tc>
          <w:tcPr>
            <w:tcW w:w="0" w:type="dxa"/>
            <w:vAlign w:val="bottom"/>
          </w:tcPr>
          <w:p>
            <w:pPr>
              <w:spacing w:after="0"/>
              <w:rPr>
                <w:sz w:val="1"/>
                <w:szCs w:val="1"/>
                <w:color w:val="auto"/>
              </w:rPr>
            </w:pPr>
          </w:p>
        </w:tc>
      </w:tr>
      <w:tr>
        <w:trPr>
          <w:trHeight w:val="324"/>
        </w:trPr>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10.9*</w:t>
            </w:r>
          </w:p>
        </w:tc>
        <w:tc>
          <w:tcPr>
            <w:tcW w:w="1042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Series C-1 Preferred Share Purchase Agreement among the Registrant and certain offshore investors, dated April 23, 2021</w:t>
            </w:r>
          </w:p>
        </w:tc>
        <w:tc>
          <w:tcPr>
            <w:tcW w:w="0" w:type="dxa"/>
            <w:vAlign w:val="bottom"/>
          </w:tcPr>
          <w:p>
            <w:pPr>
              <w:spacing w:after="0"/>
              <w:rPr>
                <w:sz w:val="1"/>
                <w:szCs w:val="1"/>
                <w:color w:val="auto"/>
              </w:rPr>
            </w:pPr>
          </w:p>
        </w:tc>
      </w:tr>
      <w:tr>
        <w:trPr>
          <w:trHeight w:val="324"/>
        </w:trPr>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10.10*</w:t>
            </w:r>
          </w:p>
        </w:tc>
        <w:tc>
          <w:tcPr>
            <w:tcW w:w="1042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Series C-1 Preferred Share Purchase Agreement among the Registrant and certain onshore investors, dated April 23, 2021</w:t>
            </w:r>
          </w:p>
        </w:tc>
        <w:tc>
          <w:tcPr>
            <w:tcW w:w="0" w:type="dxa"/>
            <w:vAlign w:val="bottom"/>
          </w:tcPr>
          <w:p>
            <w:pPr>
              <w:spacing w:after="0"/>
              <w:rPr>
                <w:sz w:val="1"/>
                <w:szCs w:val="1"/>
                <w:color w:val="auto"/>
              </w:rPr>
            </w:pPr>
          </w:p>
        </w:tc>
      </w:tr>
      <w:tr>
        <w:trPr>
          <w:trHeight w:val="364"/>
        </w:trPr>
        <w:tc>
          <w:tcPr>
            <w:tcW w:w="50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5720" w:type="dxa"/>
            <w:vAlign w:val="bottom"/>
            <w:gridSpan w:val="2"/>
          </w:tcPr>
          <w:p>
            <w:pPr>
              <w:jc w:val="center"/>
              <w:ind w:right="5280"/>
              <w:spacing w:after="0"/>
              <w:rPr>
                <w:sz w:val="20"/>
                <w:szCs w:val="20"/>
                <w:color w:val="auto"/>
              </w:rPr>
            </w:pPr>
            <w:r>
              <w:rPr>
                <w:rFonts w:ascii="Times New Roman" w:cs="Times New Roman" w:eastAsia="Times New Roman" w:hAnsi="Times New Roman"/>
                <w:sz w:val="18"/>
                <w:szCs w:val="18"/>
                <w:color w:val="auto"/>
              </w:rPr>
              <w:t>II-9</w:t>
            </w: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357" w:name="page358"/>
    <w:bookmarkEnd w:id="3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 w:type="dxa"/>
            <w:vAlign w:val="bottom"/>
          </w:tcPr>
          <w:p>
            <w:pPr>
              <w:spacing w:after="0"/>
              <w:rPr>
                <w:sz w:val="13"/>
                <w:szCs w:val="13"/>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700" w:type="dxa"/>
            <w:vAlign w:val="bottom"/>
          </w:tcPr>
          <w:p>
            <w:pPr>
              <w:spacing w:after="0"/>
              <w:rPr>
                <w:sz w:val="13"/>
                <w:szCs w:val="13"/>
                <w:color w:val="auto"/>
              </w:rPr>
            </w:pPr>
          </w:p>
        </w:tc>
        <w:tc>
          <w:tcPr>
            <w:tcW w:w="5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73"/>
        </w:trPr>
        <w:tc>
          <w:tcPr>
            <w:tcW w:w="8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700" w:type="dxa"/>
            <w:vAlign w:val="bottom"/>
          </w:tcPr>
          <w:p>
            <w:pPr>
              <w:spacing w:after="0"/>
              <w:rPr>
                <w:sz w:val="15"/>
                <w:szCs w:val="15"/>
                <w:color w:val="auto"/>
              </w:rPr>
            </w:pPr>
          </w:p>
        </w:tc>
        <w:tc>
          <w:tcPr>
            <w:tcW w:w="5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10.11*</w:t>
            </w:r>
          </w:p>
        </w:tc>
        <w:tc>
          <w:tcPr>
            <w:tcW w:w="104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Ordinary Share Purchase Agreement among the Registrant and the other parties thereto, dated December 24, 2021</w:t>
            </w:r>
          </w:p>
        </w:tc>
        <w:tc>
          <w:tcPr>
            <w:tcW w:w="0" w:type="dxa"/>
            <w:vAlign w:val="bottom"/>
          </w:tcPr>
          <w:p>
            <w:pPr>
              <w:spacing w:after="0"/>
              <w:rPr>
                <w:sz w:val="1"/>
                <w:szCs w:val="1"/>
                <w:color w:val="auto"/>
              </w:rPr>
            </w:pPr>
          </w:p>
        </w:tc>
      </w:tr>
      <w:tr>
        <w:trPr>
          <w:trHeight w:val="306"/>
        </w:trPr>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6"/>
              </w:rPr>
              <w:t>10.12*</w:t>
            </w:r>
          </w:p>
        </w:tc>
        <w:tc>
          <w:tcPr>
            <w:tcW w:w="104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Series Seed-1 and Series B-2 Preferred Share Purchase Agreement among the Registrant and the other parties thereto, dated</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December 24, 2021</w:t>
            </w:r>
          </w:p>
        </w:tc>
        <w:tc>
          <w:tcPr>
            <w:tcW w:w="0" w:type="dxa"/>
            <w:vAlign w:val="bottom"/>
          </w:tcPr>
          <w:p>
            <w:pPr>
              <w:spacing w:after="0"/>
              <w:rPr>
                <w:sz w:val="1"/>
                <w:szCs w:val="1"/>
                <w:color w:val="auto"/>
              </w:rPr>
            </w:pPr>
          </w:p>
        </w:tc>
      </w:tr>
      <w:tr>
        <w:trPr>
          <w:trHeight w:val="324"/>
        </w:trPr>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6"/>
              </w:rPr>
              <w:t>10.13*</w:t>
            </w:r>
          </w:p>
        </w:tc>
        <w:tc>
          <w:tcPr>
            <w:tcW w:w="104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Series D Preferred Share and Warrant Purchase Agreement among the Registrant and certain investors, dated December 24, 2021</w:t>
            </w:r>
          </w:p>
        </w:tc>
        <w:tc>
          <w:tcPr>
            <w:tcW w:w="0" w:type="dxa"/>
            <w:vAlign w:val="bottom"/>
          </w:tcPr>
          <w:p>
            <w:pPr>
              <w:spacing w:after="0"/>
              <w:rPr>
                <w:sz w:val="1"/>
                <w:szCs w:val="1"/>
                <w:color w:val="auto"/>
              </w:rPr>
            </w:pPr>
          </w:p>
        </w:tc>
      </w:tr>
      <w:tr>
        <w:trPr>
          <w:trHeight w:val="306"/>
        </w:trPr>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6"/>
              </w:rPr>
              <w:t>10.14*</w:t>
            </w:r>
          </w:p>
        </w:tc>
        <w:tc>
          <w:tcPr>
            <w:tcW w:w="104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Form of Warrants to Purchase Shares between the Registrant and certain investors, and a schedule of all executed warrants adopting the</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same form in respect of each of the investors</w:t>
            </w:r>
          </w:p>
        </w:tc>
        <w:tc>
          <w:tcPr>
            <w:tcW w:w="0" w:type="dxa"/>
            <w:vAlign w:val="bottom"/>
          </w:tcPr>
          <w:p>
            <w:pPr>
              <w:spacing w:after="0"/>
              <w:rPr>
                <w:sz w:val="1"/>
                <w:szCs w:val="1"/>
                <w:color w:val="auto"/>
              </w:rPr>
            </w:pPr>
          </w:p>
        </w:tc>
      </w:tr>
      <w:tr>
        <w:trPr>
          <w:trHeight w:val="324"/>
        </w:trPr>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6"/>
              </w:rPr>
              <w:t>10.15*</w:t>
            </w:r>
          </w:p>
        </w:tc>
        <w:tc>
          <w:tcPr>
            <w:tcW w:w="104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Series D+ Preferred Share and Warrant Purchase Agreement among the Registrant and the other parties thereto, dated October 29, 2022</w:t>
            </w:r>
          </w:p>
        </w:tc>
        <w:tc>
          <w:tcPr>
            <w:tcW w:w="0" w:type="dxa"/>
            <w:vAlign w:val="bottom"/>
          </w:tcPr>
          <w:p>
            <w:pPr>
              <w:spacing w:after="0"/>
              <w:rPr>
                <w:sz w:val="1"/>
                <w:szCs w:val="1"/>
                <w:color w:val="auto"/>
              </w:rPr>
            </w:pPr>
          </w:p>
        </w:tc>
      </w:tr>
      <w:tr>
        <w:trPr>
          <w:trHeight w:val="306"/>
        </w:trPr>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6"/>
              </w:rPr>
              <w:t>10.16*</w:t>
            </w:r>
          </w:p>
        </w:tc>
        <w:tc>
          <w:tcPr>
            <w:tcW w:w="104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English translation of form of Purchase Agreement between Yutong Bus Co., Ltd. or Zhengzhou Yutong Heavy Industries Co., Ltd. and</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WFOE, and a schedule of all executed Purchase Agreements adopting the same form</w:t>
            </w:r>
          </w:p>
        </w:tc>
        <w:tc>
          <w:tcPr>
            <w:tcW w:w="0" w:type="dxa"/>
            <w:vAlign w:val="bottom"/>
          </w:tcPr>
          <w:p>
            <w:pPr>
              <w:spacing w:after="0"/>
              <w:rPr>
                <w:sz w:val="1"/>
                <w:szCs w:val="1"/>
                <w:color w:val="auto"/>
              </w:rPr>
            </w:pPr>
          </w:p>
        </w:tc>
      </w:tr>
      <w:tr>
        <w:trPr>
          <w:trHeight w:val="306"/>
        </w:trPr>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6"/>
              </w:rPr>
              <w:t>10.17*</w:t>
            </w:r>
          </w:p>
        </w:tc>
        <w:tc>
          <w:tcPr>
            <w:tcW w:w="104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English translation of the form of Technology Agreement between Yutong Bus Co., Ltd. or Zhengzhou Yutong Heavy Industries Co.,</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Ltd. and WFOE, and a schedule of all executed Technology Agreements adopting the same form</w:t>
            </w:r>
          </w:p>
        </w:tc>
        <w:tc>
          <w:tcPr>
            <w:tcW w:w="0" w:type="dxa"/>
            <w:vAlign w:val="bottom"/>
          </w:tcPr>
          <w:p>
            <w:pPr>
              <w:spacing w:after="0"/>
              <w:rPr>
                <w:sz w:val="1"/>
                <w:szCs w:val="1"/>
                <w:color w:val="auto"/>
              </w:rPr>
            </w:pPr>
          </w:p>
        </w:tc>
      </w:tr>
      <w:tr>
        <w:trPr>
          <w:trHeight w:val="324"/>
        </w:trPr>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6"/>
              </w:rPr>
              <w:t>10.18*</w:t>
            </w:r>
          </w:p>
        </w:tc>
        <w:tc>
          <w:tcPr>
            <w:tcW w:w="104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English translation of Purchase Agreement between Yutong Bus Co., Ltd. and WFOE, dated April 25, 2021</w:t>
            </w:r>
          </w:p>
        </w:tc>
        <w:tc>
          <w:tcPr>
            <w:tcW w:w="0" w:type="dxa"/>
            <w:vAlign w:val="bottom"/>
          </w:tcPr>
          <w:p>
            <w:pPr>
              <w:spacing w:after="0"/>
              <w:rPr>
                <w:sz w:val="1"/>
                <w:szCs w:val="1"/>
                <w:color w:val="auto"/>
              </w:rPr>
            </w:pPr>
          </w:p>
        </w:tc>
      </w:tr>
      <w:tr>
        <w:trPr>
          <w:trHeight w:val="306"/>
        </w:trPr>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6"/>
              </w:rPr>
              <w:t>10.19*</w:t>
            </w:r>
          </w:p>
        </w:tc>
        <w:tc>
          <w:tcPr>
            <w:tcW w:w="104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English translation of Autonomous Driving Project Cooperation Agreement and supplemental agreements between WFOE and Yutong</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Bus Co., Ltd.</w:t>
            </w:r>
          </w:p>
        </w:tc>
        <w:tc>
          <w:tcPr>
            <w:tcW w:w="0" w:type="dxa"/>
            <w:vAlign w:val="bottom"/>
          </w:tcPr>
          <w:p>
            <w:pPr>
              <w:spacing w:after="0"/>
              <w:rPr>
                <w:sz w:val="1"/>
                <w:szCs w:val="1"/>
                <w:color w:val="auto"/>
              </w:rPr>
            </w:pPr>
          </w:p>
        </w:tc>
      </w:tr>
      <w:tr>
        <w:trPr>
          <w:trHeight w:val="324"/>
        </w:trPr>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6"/>
              </w:rPr>
              <w:t>10.20*</w:t>
            </w:r>
          </w:p>
        </w:tc>
        <w:tc>
          <w:tcPr>
            <w:tcW w:w="104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Services Agreement between Alliance Automotive Research &amp; Development (Shanghai) Co., Ltd. and WFOE, dated May 12, 2020</w:t>
            </w:r>
          </w:p>
        </w:tc>
        <w:tc>
          <w:tcPr>
            <w:tcW w:w="0" w:type="dxa"/>
            <w:vAlign w:val="bottom"/>
          </w:tcPr>
          <w:p>
            <w:pPr>
              <w:spacing w:after="0"/>
              <w:rPr>
                <w:sz w:val="1"/>
                <w:szCs w:val="1"/>
                <w:color w:val="auto"/>
              </w:rPr>
            </w:pPr>
          </w:p>
        </w:tc>
      </w:tr>
      <w:tr>
        <w:trPr>
          <w:trHeight w:val="324"/>
        </w:trPr>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6"/>
              </w:rPr>
              <w:t>10.21*</w:t>
            </w:r>
          </w:p>
        </w:tc>
        <w:tc>
          <w:tcPr>
            <w:tcW w:w="104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w w:val="99"/>
              </w:rPr>
              <w:t>Services Agreement between Alliance Automotive Research &amp; Development (Shanghai) Co., Ltd. and WFOE, dated September 22, 2021</w:t>
            </w:r>
          </w:p>
        </w:tc>
        <w:tc>
          <w:tcPr>
            <w:tcW w:w="0" w:type="dxa"/>
            <w:vAlign w:val="bottom"/>
          </w:tcPr>
          <w:p>
            <w:pPr>
              <w:spacing w:after="0"/>
              <w:rPr>
                <w:sz w:val="1"/>
                <w:szCs w:val="1"/>
                <w:color w:val="auto"/>
              </w:rPr>
            </w:pPr>
          </w:p>
        </w:tc>
      </w:tr>
      <w:tr>
        <w:trPr>
          <w:trHeight w:val="306"/>
        </w:trPr>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6"/>
              </w:rPr>
              <w:t>10.22*</w:t>
            </w:r>
          </w:p>
        </w:tc>
        <w:tc>
          <w:tcPr>
            <w:tcW w:w="104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Goods Purchase Agreement between Alliance Automotive Research &amp; Development (Shanghai) Co., Ltd. and WFOE, dated</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December 11, 2019</w:t>
            </w:r>
          </w:p>
        </w:tc>
        <w:tc>
          <w:tcPr>
            <w:tcW w:w="0" w:type="dxa"/>
            <w:vAlign w:val="bottom"/>
          </w:tcPr>
          <w:p>
            <w:pPr>
              <w:spacing w:after="0"/>
              <w:rPr>
                <w:sz w:val="1"/>
                <w:szCs w:val="1"/>
                <w:color w:val="auto"/>
              </w:rPr>
            </w:pPr>
          </w:p>
        </w:tc>
      </w:tr>
      <w:tr>
        <w:trPr>
          <w:trHeight w:val="306"/>
        </w:trPr>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6"/>
              </w:rPr>
              <w:t>10.23*</w:t>
            </w:r>
          </w:p>
        </w:tc>
        <w:tc>
          <w:tcPr>
            <w:tcW w:w="104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Mobility Service Platform Source Code License Agreement between Alliance Automotive Research &amp; Development (Shanghai) Co.,</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Ltd. and WFOE, dated October 1, 2021</w:t>
            </w:r>
          </w:p>
        </w:tc>
        <w:tc>
          <w:tcPr>
            <w:tcW w:w="0" w:type="dxa"/>
            <w:vAlign w:val="bottom"/>
          </w:tcPr>
          <w:p>
            <w:pPr>
              <w:spacing w:after="0"/>
              <w:rPr>
                <w:sz w:val="1"/>
                <w:szCs w:val="1"/>
                <w:color w:val="auto"/>
              </w:rPr>
            </w:pPr>
          </w:p>
        </w:tc>
      </w:tr>
      <w:tr>
        <w:trPr>
          <w:trHeight w:val="324"/>
        </w:trPr>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21.1*</w:t>
            </w:r>
          </w:p>
        </w:tc>
        <w:tc>
          <w:tcPr>
            <w:tcW w:w="104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Principal Subsidiaries of the Registrant</w:t>
            </w:r>
          </w:p>
        </w:tc>
        <w:tc>
          <w:tcPr>
            <w:tcW w:w="0" w:type="dxa"/>
            <w:vAlign w:val="bottom"/>
          </w:tcPr>
          <w:p>
            <w:pPr>
              <w:spacing w:after="0"/>
              <w:rPr>
                <w:sz w:val="1"/>
                <w:szCs w:val="1"/>
                <w:color w:val="auto"/>
              </w:rPr>
            </w:pPr>
          </w:p>
        </w:tc>
      </w:tr>
      <w:tr>
        <w:trPr>
          <w:trHeight w:val="324"/>
        </w:trPr>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23.1*</w:t>
            </w:r>
          </w:p>
        </w:tc>
        <w:tc>
          <w:tcPr>
            <w:tcW w:w="104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Consent of KPMG Huazhen LLP, Independent Registered Public Accounting Firm</w:t>
            </w:r>
          </w:p>
        </w:tc>
        <w:tc>
          <w:tcPr>
            <w:tcW w:w="0" w:type="dxa"/>
            <w:vAlign w:val="bottom"/>
          </w:tcPr>
          <w:p>
            <w:pPr>
              <w:spacing w:after="0"/>
              <w:rPr>
                <w:sz w:val="1"/>
                <w:szCs w:val="1"/>
                <w:color w:val="auto"/>
              </w:rPr>
            </w:pPr>
          </w:p>
        </w:tc>
      </w:tr>
      <w:tr>
        <w:trPr>
          <w:trHeight w:val="324"/>
        </w:trPr>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23.2*</w:t>
            </w:r>
          </w:p>
        </w:tc>
        <w:tc>
          <w:tcPr>
            <w:tcW w:w="104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Consent of Travers Thorp Alberga (included in Exhibit 5.1)</w:t>
            </w:r>
          </w:p>
        </w:tc>
        <w:tc>
          <w:tcPr>
            <w:tcW w:w="0" w:type="dxa"/>
            <w:vAlign w:val="bottom"/>
          </w:tcPr>
          <w:p>
            <w:pPr>
              <w:spacing w:after="0"/>
              <w:rPr>
                <w:sz w:val="1"/>
                <w:szCs w:val="1"/>
                <w:color w:val="auto"/>
              </w:rPr>
            </w:pPr>
          </w:p>
        </w:tc>
      </w:tr>
      <w:tr>
        <w:trPr>
          <w:trHeight w:val="324"/>
        </w:trPr>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23.3*</w:t>
            </w:r>
          </w:p>
        </w:tc>
        <w:tc>
          <w:tcPr>
            <w:tcW w:w="104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Consent of Commerce &amp; Finance Offices (included in Exhibit 99.2)</w:t>
            </w:r>
          </w:p>
        </w:tc>
        <w:tc>
          <w:tcPr>
            <w:tcW w:w="0" w:type="dxa"/>
            <w:vAlign w:val="bottom"/>
          </w:tcPr>
          <w:p>
            <w:pPr>
              <w:spacing w:after="0"/>
              <w:rPr>
                <w:sz w:val="1"/>
                <w:szCs w:val="1"/>
                <w:color w:val="auto"/>
              </w:rPr>
            </w:pPr>
          </w:p>
        </w:tc>
      </w:tr>
      <w:tr>
        <w:trPr>
          <w:trHeight w:val="324"/>
        </w:trPr>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24.1*</w:t>
            </w:r>
          </w:p>
        </w:tc>
        <w:tc>
          <w:tcPr>
            <w:tcW w:w="104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Powers of Attorney (included on signature page)</w:t>
            </w:r>
          </w:p>
        </w:tc>
        <w:tc>
          <w:tcPr>
            <w:tcW w:w="0" w:type="dxa"/>
            <w:vAlign w:val="bottom"/>
          </w:tcPr>
          <w:p>
            <w:pPr>
              <w:spacing w:after="0"/>
              <w:rPr>
                <w:sz w:val="1"/>
                <w:szCs w:val="1"/>
                <w:color w:val="auto"/>
              </w:rPr>
            </w:pPr>
          </w:p>
        </w:tc>
      </w:tr>
      <w:tr>
        <w:trPr>
          <w:trHeight w:val="324"/>
        </w:trPr>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99.1*</w:t>
            </w:r>
          </w:p>
        </w:tc>
        <w:tc>
          <w:tcPr>
            <w:tcW w:w="104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Code of Business Conduct and Ethics of the Registrant</w:t>
            </w:r>
          </w:p>
        </w:tc>
        <w:tc>
          <w:tcPr>
            <w:tcW w:w="0" w:type="dxa"/>
            <w:vAlign w:val="bottom"/>
          </w:tcPr>
          <w:p>
            <w:pPr>
              <w:spacing w:after="0"/>
              <w:rPr>
                <w:sz w:val="1"/>
                <w:szCs w:val="1"/>
                <w:color w:val="auto"/>
              </w:rPr>
            </w:pPr>
          </w:p>
        </w:tc>
      </w:tr>
      <w:tr>
        <w:trPr>
          <w:trHeight w:val="324"/>
        </w:trPr>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99.2*</w:t>
            </w:r>
          </w:p>
        </w:tc>
        <w:tc>
          <w:tcPr>
            <w:tcW w:w="104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Opinion of Commerce &amp; Finance Offices regarding certain PRC law matters</w:t>
            </w:r>
          </w:p>
        </w:tc>
        <w:tc>
          <w:tcPr>
            <w:tcW w:w="0" w:type="dxa"/>
            <w:vAlign w:val="bottom"/>
          </w:tcPr>
          <w:p>
            <w:pPr>
              <w:spacing w:after="0"/>
              <w:rPr>
                <w:sz w:val="1"/>
                <w:szCs w:val="1"/>
                <w:color w:val="auto"/>
              </w:rPr>
            </w:pPr>
          </w:p>
        </w:tc>
      </w:tr>
      <w:tr>
        <w:trPr>
          <w:trHeight w:val="324"/>
        </w:trPr>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99.3*</w:t>
            </w:r>
          </w:p>
        </w:tc>
        <w:tc>
          <w:tcPr>
            <w:tcW w:w="104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Consent of China Insights Industry Consultancy Limited</w:t>
            </w:r>
          </w:p>
        </w:tc>
        <w:tc>
          <w:tcPr>
            <w:tcW w:w="0" w:type="dxa"/>
            <w:vAlign w:val="bottom"/>
          </w:tcPr>
          <w:p>
            <w:pPr>
              <w:spacing w:after="0"/>
              <w:rPr>
                <w:sz w:val="1"/>
                <w:szCs w:val="1"/>
                <w:color w:val="auto"/>
              </w:rPr>
            </w:pPr>
          </w:p>
        </w:tc>
      </w:tr>
      <w:tr>
        <w:trPr>
          <w:trHeight w:val="324"/>
        </w:trPr>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99.4</w:t>
            </w:r>
          </w:p>
        </w:tc>
        <w:tc>
          <w:tcPr>
            <w:tcW w:w="104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Representations under Item 8.A.4 of Form 20-F</w:t>
            </w:r>
          </w:p>
        </w:tc>
        <w:tc>
          <w:tcPr>
            <w:tcW w:w="0" w:type="dxa"/>
            <w:vAlign w:val="bottom"/>
          </w:tcPr>
          <w:p>
            <w:pPr>
              <w:spacing w:after="0"/>
              <w:rPr>
                <w:sz w:val="1"/>
                <w:szCs w:val="1"/>
                <w:color w:val="auto"/>
              </w:rPr>
            </w:pPr>
          </w:p>
        </w:tc>
      </w:tr>
      <w:tr>
        <w:trPr>
          <w:trHeight w:val="324"/>
        </w:trPr>
        <w:tc>
          <w:tcPr>
            <w:tcW w:w="58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w w:val="94"/>
              </w:rPr>
              <w:t>107*</w:t>
            </w:r>
          </w:p>
        </w:tc>
        <w:tc>
          <w:tcPr>
            <w:tcW w:w="104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Filing Fee Table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To be filed by amendment.</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II-10</w:t>
      </w:r>
    </w:p>
    <w:p>
      <w:pPr>
        <w:sectPr>
          <w:pgSz w:w="11900" w:h="16838" w:orient="portrait"/>
          <w:cols w:equalWidth="0" w:num="1">
            <w:col w:w="11140"/>
          </w:cols>
          <w:pgMar w:left="320" w:top="455" w:right="439" w:bottom="1440" w:gutter="0" w:footer="0" w:header="0"/>
        </w:sectPr>
      </w:pPr>
    </w:p>
    <w:bookmarkStart w:id="358" w:name="page359"/>
    <w:bookmarkEnd w:id="3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420" w:firstLine="440"/>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F-1 and has duly caused this registration statement to be signed on its behalf by the undersigned,</w:t>
      </w:r>
    </w:p>
    <w:tbl>
      <w:tblPr>
        <w:tblLayout w:type="fixed"/>
        <w:tblInd w:w="12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thereunto duly authorized, in Guangzhou, China, on</w:t>
            </w:r>
          </w:p>
        </w:tc>
        <w:tc>
          <w:tcPr>
            <w:tcW w:w="2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 2023.</w:t>
            </w:r>
          </w:p>
        </w:tc>
        <w:tc>
          <w:tcPr>
            <w:tcW w:w="4100" w:type="dxa"/>
            <w:vAlign w:val="bottom"/>
          </w:tcPr>
          <w:p>
            <w:pPr>
              <w:spacing w:after="0"/>
              <w:rPr>
                <w:sz w:val="20"/>
                <w:szCs w:val="20"/>
                <w:color w:val="auto"/>
              </w:rPr>
            </w:pPr>
          </w:p>
        </w:tc>
      </w:tr>
      <w:tr>
        <w:trPr>
          <w:trHeight w:val="441"/>
        </w:trPr>
        <w:tc>
          <w:tcPr>
            <w:tcW w:w="4220" w:type="dxa"/>
            <w:vAlign w:val="bottom"/>
          </w:tcPr>
          <w:p>
            <w:pPr>
              <w:spacing w:after="0"/>
              <w:rPr>
                <w:sz w:val="24"/>
                <w:szCs w:val="24"/>
                <w:color w:val="auto"/>
              </w:rPr>
            </w:pPr>
          </w:p>
        </w:tc>
        <w:tc>
          <w:tcPr>
            <w:tcW w:w="6800" w:type="dxa"/>
            <w:vAlign w:val="bottom"/>
            <w:gridSpan w:val="2"/>
          </w:tcPr>
          <w:p>
            <w:pPr>
              <w:ind w:left="2400"/>
              <w:spacing w:after="0"/>
              <w:rPr>
                <w:sz w:val="20"/>
                <w:szCs w:val="20"/>
                <w:color w:val="auto"/>
              </w:rPr>
            </w:pPr>
            <w:r>
              <w:rPr>
                <w:rFonts w:ascii="Times New Roman" w:cs="Times New Roman" w:eastAsia="Times New Roman" w:hAnsi="Times New Roman"/>
                <w:sz w:val="18"/>
                <w:szCs w:val="18"/>
                <w:b w:val="1"/>
                <w:bCs w:val="1"/>
                <w:color w:val="auto"/>
              </w:rPr>
              <w:t>WeRide Inc.</w:t>
            </w:r>
          </w:p>
        </w:tc>
      </w:tr>
      <w:tr>
        <w:trPr>
          <w:trHeight w:val="432"/>
        </w:trPr>
        <w:tc>
          <w:tcPr>
            <w:tcW w:w="4220" w:type="dxa"/>
            <w:vAlign w:val="bottom"/>
          </w:tcPr>
          <w:p>
            <w:pPr>
              <w:spacing w:after="0"/>
              <w:rPr>
                <w:sz w:val="24"/>
                <w:szCs w:val="24"/>
                <w:color w:val="auto"/>
              </w:rPr>
            </w:pPr>
          </w:p>
        </w:tc>
        <w:tc>
          <w:tcPr>
            <w:tcW w:w="270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By:</w:t>
            </w:r>
          </w:p>
        </w:tc>
        <w:tc>
          <w:tcPr>
            <w:tcW w:w="4100" w:type="dxa"/>
            <w:vAlign w:val="bottom"/>
            <w:tcBorders>
              <w:bottom w:val="single" w:sz="8" w:color="auto"/>
            </w:tcBorders>
          </w:tcPr>
          <w:p>
            <w:pPr>
              <w:spacing w:after="0"/>
              <w:rPr>
                <w:sz w:val="24"/>
                <w:szCs w:val="24"/>
                <w:color w:val="auto"/>
              </w:rPr>
            </w:pPr>
          </w:p>
        </w:tc>
      </w:tr>
      <w:tr>
        <w:trPr>
          <w:trHeight w:val="178"/>
        </w:trPr>
        <w:tc>
          <w:tcPr>
            <w:tcW w:w="4220" w:type="dxa"/>
            <w:vAlign w:val="bottom"/>
          </w:tcPr>
          <w:p>
            <w:pPr>
              <w:spacing w:after="0"/>
              <w:rPr>
                <w:sz w:val="15"/>
                <w:szCs w:val="15"/>
                <w:color w:val="auto"/>
              </w:rPr>
            </w:pPr>
          </w:p>
        </w:tc>
        <w:tc>
          <w:tcPr>
            <w:tcW w:w="6800" w:type="dxa"/>
            <w:vAlign w:val="bottom"/>
            <w:gridSpan w:val="2"/>
          </w:tcPr>
          <w:p>
            <w:pPr>
              <w:ind w:left="2400"/>
              <w:spacing w:after="0" w:line="177" w:lineRule="exact"/>
              <w:rPr>
                <w:sz w:val="20"/>
                <w:szCs w:val="20"/>
                <w:color w:val="auto"/>
              </w:rPr>
            </w:pPr>
            <w:r>
              <w:rPr>
                <w:rFonts w:ascii="Times New Roman" w:cs="Times New Roman" w:eastAsia="Times New Roman" w:hAnsi="Times New Roman"/>
                <w:sz w:val="18"/>
                <w:szCs w:val="18"/>
                <w:color w:val="auto"/>
              </w:rPr>
              <w:t>Name:</w:t>
            </w:r>
          </w:p>
        </w:tc>
      </w:tr>
      <w:tr>
        <w:trPr>
          <w:trHeight w:val="234"/>
        </w:trPr>
        <w:tc>
          <w:tcPr>
            <w:tcW w:w="4220" w:type="dxa"/>
            <w:vAlign w:val="bottom"/>
          </w:tcPr>
          <w:p>
            <w:pPr>
              <w:spacing w:after="0"/>
              <w:rPr>
                <w:sz w:val="20"/>
                <w:szCs w:val="20"/>
                <w:color w:val="auto"/>
              </w:rPr>
            </w:pPr>
          </w:p>
        </w:tc>
        <w:tc>
          <w:tcPr>
            <w:tcW w:w="6800" w:type="dxa"/>
            <w:vAlign w:val="bottom"/>
            <w:gridSpan w:val="2"/>
          </w:tcPr>
          <w:p>
            <w:pPr>
              <w:ind w:left="2400"/>
              <w:spacing w:after="0"/>
              <w:rPr>
                <w:sz w:val="20"/>
                <w:szCs w:val="20"/>
                <w:color w:val="auto"/>
              </w:rPr>
            </w:pPr>
            <w:r>
              <w:rPr>
                <w:rFonts w:ascii="Times New Roman" w:cs="Times New Roman" w:eastAsia="Times New Roman" w:hAnsi="Times New Roman"/>
                <w:sz w:val="18"/>
                <w:szCs w:val="18"/>
                <w:color w:val="auto"/>
              </w:rPr>
              <w:t>Title:</w:t>
            </w:r>
          </w:p>
        </w:tc>
      </w:tr>
      <w:tr>
        <w:trPr>
          <w:trHeight w:val="364"/>
        </w:trPr>
        <w:tc>
          <w:tcPr>
            <w:tcW w:w="4220" w:type="dxa"/>
            <w:vAlign w:val="bottom"/>
          </w:tcPr>
          <w:p>
            <w:pPr>
              <w:spacing w:after="0"/>
              <w:rPr>
                <w:sz w:val="24"/>
                <w:szCs w:val="24"/>
                <w:color w:val="auto"/>
              </w:rPr>
            </w:pPr>
          </w:p>
        </w:tc>
        <w:tc>
          <w:tcPr>
            <w:tcW w:w="680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II-11</w:t>
            </w:r>
          </w:p>
        </w:tc>
      </w:tr>
    </w:tbl>
    <w:p>
      <w:pPr>
        <w:sectPr>
          <w:pgSz w:w="11900" w:h="16838" w:orient="portrait"/>
          <w:cols w:equalWidth="0" w:num="1">
            <w:col w:w="11140"/>
          </w:cols>
          <w:pgMar w:left="320" w:top="455" w:right="439" w:bottom="1440" w:gutter="0" w:footer="0" w:header="0"/>
        </w:sectPr>
      </w:pPr>
    </w:p>
    <w:bookmarkStart w:id="359" w:name="page360"/>
    <w:bookmarkEnd w:id="3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Tony Xu Han and Jennifer Xuan Li as an attorney-in-fact with full power of substitution, for him or her in any and all capacities, to do any and all acts and all things and to execute any and all instruments that said attorney and agent may deem necessary or desirable to enable the registrant to comply with the Securities Act of 1933, as amended (the “Securities Act”), and any rules, regulations and requirements of the Securities and Exchange Commission thereunder, in connection with the registration under the Securities Act of Class A ordinary shares of the registrant (the “Shares”), including, without limitation, the power and authority to sign the name of each of the undersigned in the capacities indicated below to the Registration Statement on Form F-1 (the “Registration Statement”) to be filed with the Securities and Exchange Commission with respect to such Shares, to any and all amendments or supplements to such Registration Statement, whether such amendments or supplements are filed before or after the effective date of such Registration Statement, to any related Registration Statement filed pursuant to Rule 462(b) under the Securities Act, and to any and all instruments or documents filed as part of or in connection with such Registration Statement or any and all amendments thereto, whether such amendments are filed before or after the effective date of such Registration Statement; and each of the undersigned hereby ratifies and confirms all that such attorney and agent shall do or cause to be done by virtue hereof.</w:t>
      </w:r>
    </w:p>
    <w:p>
      <w:pPr>
        <w:spacing w:after="0" w:line="19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dates indicated.</w:t>
      </w:r>
    </w:p>
    <w:p>
      <w:pPr>
        <w:sectPr>
          <w:pgSz w:w="11900" w:h="16838" w:orient="portrait"/>
          <w:cols w:equalWidth="0" w:num="1">
            <w:col w:w="11020"/>
          </w:cols>
          <w:pgMar w:left="320" w:top="455" w:right="559" w:bottom="1440" w:gutter="0" w:footer="0" w:header="0"/>
        </w:sectPr>
      </w:pPr>
    </w:p>
    <w:p>
      <w:pPr>
        <w:spacing w:after="0" w:line="18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4"/>
          <w:szCs w:val="14"/>
          <w:b w:val="1"/>
          <w:bCs w:val="1"/>
          <w:u w:val="single" w:color="auto"/>
          <w:color w:val="auto"/>
        </w:rPr>
        <w:t>Signature</w:t>
      </w:r>
    </w:p>
    <w:p>
      <w:pPr>
        <w:spacing w:after="0" w:line="200" w:lineRule="exact"/>
        <w:rPr>
          <w:sz w:val="20"/>
          <w:szCs w:val="20"/>
          <w:color w:val="auto"/>
        </w:rPr>
      </w:pPr>
    </w:p>
    <w:p>
      <w:pPr>
        <w:spacing w:after="0" w:line="25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Name: Tony Xu 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315468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Name: Yan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315468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Name: Duane Ziping Kuang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315468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315468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Name: Jingzhao 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315468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315468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Name: Takao Asami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315468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Name: Yibing Xu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315468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Name: Jennifer Xuan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315468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1" w:lineRule="exact"/>
        <w:rPr>
          <w:sz w:val="1"/>
          <w:szCs w:val="1"/>
          <w:color w:val="auto"/>
        </w:rPr>
      </w:pPr>
    </w:p>
    <w:tbl>
      <w:tblPr>
        <w:tblLayout w:type="fixed"/>
        <w:tblInd w:w="360" w:type="dxa"/>
        <w:tblCellMar>
          <w:top w:w="0" w:type="dxa"/>
          <w:left w:w="0" w:type="dxa"/>
          <w:bottom w:w="0" w:type="dxa"/>
          <w:right w:w="0" w:type="dxa"/>
        </w:tblCellMar>
      </w:tblPr>
      <w:tr>
        <w:trPr>
          <w:trHeight w:val="173"/>
        </w:trPr>
        <w:tc>
          <w:tcPr>
            <w:tcW w:w="1180" w:type="dxa"/>
            <w:vAlign w:val="bottom"/>
          </w:tcPr>
          <w:p>
            <w:pPr>
              <w:spacing w:after="0"/>
              <w:rPr>
                <w:sz w:val="15"/>
                <w:szCs w:val="15"/>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780" w:type="dxa"/>
            <w:vAlign w:val="bottom"/>
          </w:tcPr>
          <w:p>
            <w:pPr>
              <w:spacing w:after="0"/>
              <w:rPr>
                <w:sz w:val="15"/>
                <w:szCs w:val="15"/>
                <w:color w:val="auto"/>
              </w:rPr>
            </w:pPr>
          </w:p>
        </w:tc>
        <w:tc>
          <w:tcPr>
            <w:tcW w:w="7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w w:val="92"/>
              </w:rPr>
              <w:t>Date</w:t>
            </w:r>
          </w:p>
        </w:tc>
      </w:tr>
      <w:tr>
        <w:trPr>
          <w:trHeight w:val="20"/>
        </w:trPr>
        <w:tc>
          <w:tcPr>
            <w:tcW w:w="1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07"/>
        </w:trPr>
        <w:tc>
          <w:tcPr>
            <w:tcW w:w="4260" w:type="dxa"/>
            <w:vAlign w:val="bottom"/>
            <w:gridSpan w:val="3"/>
          </w:tcPr>
          <w:p>
            <w:pPr>
              <w:jc w:val="center"/>
              <w:ind w:right="1600"/>
              <w:spacing w:after="0"/>
              <w:rPr>
                <w:sz w:val="20"/>
                <w:szCs w:val="20"/>
                <w:color w:val="auto"/>
              </w:rPr>
            </w:pPr>
            <w:r>
              <w:rPr>
                <w:rFonts w:ascii="Times New Roman" w:cs="Times New Roman" w:eastAsia="Times New Roman" w:hAnsi="Times New Roman"/>
                <w:sz w:val="18"/>
                <w:szCs w:val="18"/>
                <w:color w:val="auto"/>
                <w:w w:val="99"/>
              </w:rPr>
              <w:t>Director and Chief Executive Officer</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2023</w:t>
            </w:r>
          </w:p>
        </w:tc>
      </w:tr>
      <w:tr>
        <w:trPr>
          <w:trHeight w:val="234"/>
        </w:trPr>
        <w:tc>
          <w:tcPr>
            <w:tcW w:w="4260" w:type="dxa"/>
            <w:vAlign w:val="bottom"/>
            <w:gridSpan w:val="3"/>
          </w:tcPr>
          <w:p>
            <w:pPr>
              <w:jc w:val="center"/>
              <w:ind w:right="16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459"/>
        </w:trPr>
        <w:tc>
          <w:tcPr>
            <w:tcW w:w="4260" w:type="dxa"/>
            <w:vAlign w:val="bottom"/>
            <w:gridSpan w:val="3"/>
          </w:tcPr>
          <w:p>
            <w:pPr>
              <w:jc w:val="center"/>
              <w:ind w:right="1620"/>
              <w:spacing w:after="0"/>
              <w:rPr>
                <w:sz w:val="20"/>
                <w:szCs w:val="20"/>
                <w:color w:val="auto"/>
              </w:rPr>
            </w:pPr>
            <w:r>
              <w:rPr>
                <w:rFonts w:ascii="Times New Roman" w:cs="Times New Roman" w:eastAsia="Times New Roman" w:hAnsi="Times New Roman"/>
                <w:sz w:val="18"/>
                <w:szCs w:val="18"/>
                <w:color w:val="auto"/>
                <w:w w:val="99"/>
              </w:rPr>
              <w:t>Director</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2023</w:t>
            </w:r>
          </w:p>
        </w:tc>
      </w:tr>
      <w:tr>
        <w:trPr>
          <w:trHeight w:val="675"/>
        </w:trPr>
        <w:tc>
          <w:tcPr>
            <w:tcW w:w="4260" w:type="dxa"/>
            <w:vAlign w:val="bottom"/>
            <w:gridSpan w:val="3"/>
          </w:tcPr>
          <w:p>
            <w:pPr>
              <w:jc w:val="center"/>
              <w:ind w:right="1620"/>
              <w:spacing w:after="0"/>
              <w:rPr>
                <w:sz w:val="20"/>
                <w:szCs w:val="20"/>
                <w:color w:val="auto"/>
              </w:rPr>
            </w:pPr>
            <w:r>
              <w:rPr>
                <w:rFonts w:ascii="Times New Roman" w:cs="Times New Roman" w:eastAsia="Times New Roman" w:hAnsi="Times New Roman"/>
                <w:sz w:val="18"/>
                <w:szCs w:val="18"/>
                <w:color w:val="auto"/>
                <w:w w:val="99"/>
              </w:rPr>
              <w:t>Director</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2023</w:t>
            </w:r>
          </w:p>
        </w:tc>
      </w:tr>
      <w:tr>
        <w:trPr>
          <w:trHeight w:val="675"/>
        </w:trPr>
        <w:tc>
          <w:tcPr>
            <w:tcW w:w="4260" w:type="dxa"/>
            <w:vAlign w:val="bottom"/>
            <w:gridSpan w:val="3"/>
          </w:tcPr>
          <w:p>
            <w:pPr>
              <w:jc w:val="center"/>
              <w:ind w:right="1620"/>
              <w:spacing w:after="0"/>
              <w:rPr>
                <w:sz w:val="20"/>
                <w:szCs w:val="20"/>
                <w:color w:val="auto"/>
              </w:rPr>
            </w:pPr>
            <w:r>
              <w:rPr>
                <w:rFonts w:ascii="Times New Roman" w:cs="Times New Roman" w:eastAsia="Times New Roman" w:hAnsi="Times New Roman"/>
                <w:sz w:val="18"/>
                <w:szCs w:val="18"/>
                <w:color w:val="auto"/>
                <w:w w:val="99"/>
              </w:rPr>
              <w:t>Director</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2023</w:t>
            </w:r>
          </w:p>
        </w:tc>
      </w:tr>
      <w:tr>
        <w:trPr>
          <w:trHeight w:val="675"/>
        </w:trPr>
        <w:tc>
          <w:tcPr>
            <w:tcW w:w="4260" w:type="dxa"/>
            <w:vAlign w:val="bottom"/>
            <w:gridSpan w:val="3"/>
          </w:tcPr>
          <w:p>
            <w:pPr>
              <w:jc w:val="center"/>
              <w:ind w:right="1620"/>
              <w:spacing w:after="0"/>
              <w:rPr>
                <w:sz w:val="20"/>
                <w:szCs w:val="20"/>
                <w:color w:val="auto"/>
              </w:rPr>
            </w:pPr>
            <w:r>
              <w:rPr>
                <w:rFonts w:ascii="Times New Roman" w:cs="Times New Roman" w:eastAsia="Times New Roman" w:hAnsi="Times New Roman"/>
                <w:sz w:val="18"/>
                <w:szCs w:val="18"/>
                <w:color w:val="auto"/>
                <w:w w:val="99"/>
              </w:rPr>
              <w:t>Director</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2023</w:t>
            </w:r>
          </w:p>
        </w:tc>
      </w:tr>
      <w:tr>
        <w:trPr>
          <w:trHeight w:val="675"/>
        </w:trPr>
        <w:tc>
          <w:tcPr>
            <w:tcW w:w="4260" w:type="dxa"/>
            <w:vAlign w:val="bottom"/>
            <w:gridSpan w:val="3"/>
          </w:tcPr>
          <w:p>
            <w:pPr>
              <w:jc w:val="center"/>
              <w:ind w:right="1620"/>
              <w:spacing w:after="0"/>
              <w:rPr>
                <w:sz w:val="20"/>
                <w:szCs w:val="20"/>
                <w:color w:val="auto"/>
              </w:rPr>
            </w:pPr>
            <w:r>
              <w:rPr>
                <w:rFonts w:ascii="Times New Roman" w:cs="Times New Roman" w:eastAsia="Times New Roman" w:hAnsi="Times New Roman"/>
                <w:sz w:val="18"/>
                <w:szCs w:val="18"/>
                <w:color w:val="auto"/>
                <w:w w:val="99"/>
              </w:rPr>
              <w:t>Director</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2023</w:t>
            </w:r>
          </w:p>
        </w:tc>
      </w:tr>
      <w:tr>
        <w:trPr>
          <w:trHeight w:val="675"/>
        </w:trPr>
        <w:tc>
          <w:tcPr>
            <w:tcW w:w="4260" w:type="dxa"/>
            <w:vAlign w:val="bottom"/>
            <w:gridSpan w:val="3"/>
          </w:tcPr>
          <w:p>
            <w:pPr>
              <w:jc w:val="center"/>
              <w:ind w:right="1600"/>
              <w:spacing w:after="0"/>
              <w:rPr>
                <w:sz w:val="20"/>
                <w:szCs w:val="20"/>
                <w:color w:val="auto"/>
              </w:rPr>
            </w:pPr>
            <w:r>
              <w:rPr>
                <w:rFonts w:ascii="Times New Roman" w:cs="Times New Roman" w:eastAsia="Times New Roman" w:hAnsi="Times New Roman"/>
                <w:sz w:val="18"/>
                <w:szCs w:val="18"/>
                <w:color w:val="auto"/>
              </w:rPr>
              <w:t>Vice President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2023</w:t>
            </w:r>
          </w:p>
        </w:tc>
      </w:tr>
    </w:tbl>
    <w:p>
      <w:pPr>
        <w:ind w:left="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II-12</w:t>
      </w:r>
    </w:p>
    <w:p>
      <w:pPr>
        <w:sectPr>
          <w:pgSz w:w="11900" w:h="16838" w:orient="portrait"/>
          <w:cols w:equalWidth="0" w:num="2">
            <w:col w:w="4720" w:space="720"/>
            <w:col w:w="5580"/>
          </w:cols>
          <w:pgMar w:left="320" w:top="455" w:right="559" w:bottom="1440" w:gutter="0" w:footer="0" w:header="0"/>
          <w:type w:val="continuous"/>
        </w:sectPr>
      </w:pPr>
    </w:p>
    <w:bookmarkStart w:id="360" w:name="page361"/>
    <w:bookmarkEnd w:id="3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 OF AUTHORIZED REPRESENTATIVE IN THE UNITED STATES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Pursuant to the Securities Act of 1933, the undersigned, the duly authorized representative in the United States of WeRide Inc., has signed this</w:t>
      </w:r>
    </w:p>
    <w:p>
      <w:pPr>
        <w:spacing w:after="0" w:line="27"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registration statement or amendment thereto in</w:t>
            </w:r>
          </w:p>
        </w:tc>
        <w:tc>
          <w:tcPr>
            <w:tcW w:w="2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United States on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2023.</w:t>
            </w:r>
          </w:p>
        </w:tc>
        <w:tc>
          <w:tcPr>
            <w:tcW w:w="4100" w:type="dxa"/>
            <w:vAlign w:val="bottom"/>
          </w:tcPr>
          <w:p>
            <w:pPr>
              <w:spacing w:after="0"/>
              <w:rPr>
                <w:sz w:val="20"/>
                <w:szCs w:val="20"/>
                <w:color w:val="auto"/>
              </w:rPr>
            </w:pPr>
          </w:p>
        </w:tc>
      </w:tr>
      <w:tr>
        <w:trPr>
          <w:trHeight w:val="441"/>
        </w:trPr>
        <w:tc>
          <w:tcPr>
            <w:tcW w:w="37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0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Authorized U.S. Representative</w:t>
            </w:r>
          </w:p>
        </w:tc>
      </w:tr>
      <w:tr>
        <w:trPr>
          <w:trHeight w:val="432"/>
        </w:trPr>
        <w:tc>
          <w:tcPr>
            <w:tcW w:w="37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0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By:</w:t>
            </w:r>
          </w:p>
        </w:tc>
      </w:tr>
      <w:tr>
        <w:trPr>
          <w:trHeight w:val="191"/>
        </w:trPr>
        <w:tc>
          <w:tcPr>
            <w:tcW w:w="37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100" w:type="dxa"/>
            <w:vAlign w:val="bottom"/>
            <w:tcBorders>
              <w:top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rPr>
              <w:t>Name:</w:t>
            </w:r>
          </w:p>
        </w:tc>
      </w:tr>
      <w:tr>
        <w:trPr>
          <w:trHeight w:val="234"/>
        </w:trPr>
        <w:tc>
          <w:tcPr>
            <w:tcW w:w="37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Title:</w:t>
            </w:r>
          </w:p>
        </w:tc>
      </w:tr>
      <w:tr>
        <w:trPr>
          <w:trHeight w:val="365"/>
        </w:trPr>
        <w:tc>
          <w:tcPr>
            <w:tcW w:w="3740" w:type="dxa"/>
            <w:vAlign w:val="bottom"/>
          </w:tcPr>
          <w:p>
            <w:pPr>
              <w:spacing w:after="0"/>
              <w:rPr>
                <w:sz w:val="24"/>
                <w:szCs w:val="24"/>
                <w:color w:val="auto"/>
              </w:rPr>
            </w:pPr>
          </w:p>
        </w:tc>
        <w:tc>
          <w:tcPr>
            <w:tcW w:w="228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II-13</w:t>
            </w:r>
          </w:p>
        </w:tc>
        <w:tc>
          <w:tcPr>
            <w:tcW w:w="900" w:type="dxa"/>
            <w:vAlign w:val="bottom"/>
          </w:tcPr>
          <w:p>
            <w:pPr>
              <w:spacing w:after="0"/>
              <w:rPr>
                <w:sz w:val="24"/>
                <w:szCs w:val="24"/>
                <w:color w:val="auto"/>
              </w:rPr>
            </w:pPr>
          </w:p>
        </w:tc>
        <w:tc>
          <w:tcPr>
            <w:tcW w:w="410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361" w:name="page362"/>
    <w:bookmarkEnd w:id="361"/>
    <w:p>
      <w:pPr>
        <w:jc w:val="right"/>
        <w:spacing w:after="0"/>
        <w:rPr>
          <w:sz w:val="20"/>
          <w:szCs w:val="20"/>
          <w:color w:val="auto"/>
        </w:rPr>
      </w:pPr>
      <w:r>
        <w:rPr>
          <w:rFonts w:ascii="Times New Roman" w:cs="Times New Roman" w:eastAsia="Times New Roman" w:hAnsi="Times New Roman"/>
          <w:sz w:val="18"/>
          <w:szCs w:val="18"/>
          <w:b w:val="1"/>
          <w:bCs w:val="1"/>
          <w:color w:val="auto"/>
        </w:rPr>
        <w:t>Exhibit 99.4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WeRide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21st Floor, Tower A, Guanzhou Life Science Innovation Center,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 51, Luoxuan Road, Guangzhou International Biotech Island,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Guangzhou 510005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+86 (20) 2909-3388</w:t>
      </w:r>
    </w:p>
    <w:p>
      <w:pPr>
        <w:spacing w:after="0" w:line="20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February 23,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of Chief Accountant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0"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Re:</w:t>
        <w:tab/>
        <w:t>WeRide Inc.</w:t>
      </w:r>
    </w:p>
    <w:p>
      <w:pPr>
        <w:spacing w:after="0" w:line="3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Registration Statement on Form F-1</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(CIK Number: 0001867729)</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Made Pursuant to Instruction 2 to Item 8.A.4 of Form 20-F</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whom it may concern:</w:t>
      </w:r>
    </w:p>
    <w:p>
      <w:pPr>
        <w:spacing w:after="0" w:line="117"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WeRide Inc. is an exempted company incorporated under the laws of the Cayman Islands with limited liability (the “Company”). In connection with the proposed initial public offering of the Company’s Class A ordinary shares to be represented by American depositary shares (the “Offering”), the Company hereby respectfully makes the representations to the Securities and Exchange Commission (the “Commission”) required by Instruction 2 to Item 8.A.4 of Form 20-F, which states that in the case of a company’s initial public offering (“IPO”), a company may comply with only the 15-month requirement in Item 8.A.4 of Form 20-F if the company is able to make the representations specified by Instruction 2 to Item 8.A.4 of Form 20-F.</w:t>
      </w:r>
    </w:p>
    <w:p>
      <w:pPr>
        <w:spacing w:after="0" w:line="183"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The Company’s confidential submission of the draft registration statement on Form F-1 (the “Draft Registration Statement”) on the date hereof contained audited consolidated financial statements as of January 1, 2020, December 31, 2020 and 2021 and for the years ended December 31, 2020 and 2021 prepared in accordance with International Financial Reporting Standards as issued by the International Accounting Standards Board.</w:t>
      </w:r>
    </w:p>
    <w:p>
      <w:pPr>
        <w:sectPr>
          <w:pgSz w:w="11900" w:h="16838" w:orient="portrait"/>
          <w:cols w:equalWidth="0" w:num="1">
            <w:col w:w="11020"/>
          </w:cols>
          <w:pgMar w:left="440" w:top="117" w:right="439" w:bottom="1440" w:gutter="0" w:footer="0" w:header="0"/>
        </w:sectPr>
      </w:pPr>
    </w:p>
    <w:bookmarkStart w:id="362" w:name="page363"/>
    <w:bookmarkEnd w:id="36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Page 2</w:t>
      </w:r>
    </w:p>
    <w:p>
      <w:pPr>
        <w:spacing w:after="0" w:line="158"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In submitting the Draft Registration Statement, the Company is complying with the 15-month requirement, rather than the 12-month requirement, with respect to the last year of audited financial statements. The Company is submitting this representation letter pursuant to Instruction 2 to Item 8.A.4 of Form 20-F, which provides that “[a] company may comply with only the 15-month requirement in this item if the company is able to represent that it is not required to comply with the 12-month requirement in any other jurisdiction outside the United States and that complying with the 12-month requirement is impracticable or involves undue hardship.”</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Company hereby represents to the Commission that:</w:t>
      </w:r>
    </w:p>
    <w:p>
      <w:pPr>
        <w:spacing w:after="0" w:line="131" w:lineRule="exact"/>
        <w:rPr>
          <w:sz w:val="20"/>
          <w:szCs w:val="20"/>
          <w:color w:val="auto"/>
        </w:rPr>
      </w:pPr>
    </w:p>
    <w:p>
      <w:pPr>
        <w:ind w:left="544" w:right="160" w:hanging="544"/>
        <w:spacing w:after="0" w:line="282" w:lineRule="auto"/>
        <w:tabs>
          <w:tab w:leader="none" w:pos="544"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required by any jurisdiction outside of the United States to issue audited financial statements as of a date not older than 12 months at the time this document is submitted;</w:t>
      </w:r>
    </w:p>
    <w:p>
      <w:pPr>
        <w:spacing w:after="0" w:line="67"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12-month requirement in Item 8.A.4 of Form 20-F is impracticable and involves undue hardship for the Company;</w:t>
      </w:r>
    </w:p>
    <w:p>
      <w:pPr>
        <w:spacing w:after="0" w:line="130" w:lineRule="exact"/>
        <w:rPr>
          <w:rFonts w:ascii="Times New Roman" w:cs="Times New Roman" w:eastAsia="Times New Roman" w:hAnsi="Times New Roman"/>
          <w:sz w:val="18"/>
          <w:szCs w:val="18"/>
          <w:color w:val="auto"/>
        </w:rPr>
      </w:pPr>
    </w:p>
    <w:p>
      <w:pPr>
        <w:ind w:left="544" w:right="40" w:hanging="544"/>
        <w:spacing w:after="0" w:line="282" w:lineRule="auto"/>
        <w:tabs>
          <w:tab w:leader="none" w:pos="544"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anticipate that its audited financial statements for the year ended December 31, 2022 will be available until late March or early April 2023; and</w:t>
      </w:r>
    </w:p>
    <w:p>
      <w:pPr>
        <w:spacing w:after="0" w:line="67" w:lineRule="exact"/>
        <w:rPr>
          <w:rFonts w:ascii="Times New Roman" w:cs="Times New Roman" w:eastAsia="Times New Roman" w:hAnsi="Times New Roman"/>
          <w:sz w:val="18"/>
          <w:szCs w:val="18"/>
          <w:color w:val="auto"/>
        </w:rPr>
      </w:pPr>
    </w:p>
    <w:p>
      <w:pPr>
        <w:ind w:left="544" w:right="80" w:hanging="544"/>
        <w:spacing w:after="0" w:line="282" w:lineRule="auto"/>
        <w:tabs>
          <w:tab w:leader="none" w:pos="544"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will the Company seek effectiveness of the Registration Statement if its audited financial statements are older than 15 months at the time of the Offering,</w:t>
      </w:r>
    </w:p>
    <w:p>
      <w:pPr>
        <w:spacing w:after="0" w:line="16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The Company is submitting this letter as an exhibit to the Draft Registration Statement pursuant to Instruction 2 to Item 8.A.4 of Form 20-F.</w:t>
      </w:r>
    </w:p>
    <w:p>
      <w:pPr>
        <w:spacing w:after="0" w:line="223" w:lineRule="exact"/>
        <w:rPr>
          <w:sz w:val="20"/>
          <w:szCs w:val="20"/>
          <w:color w:val="auto"/>
        </w:rPr>
      </w:pPr>
    </w:p>
    <w:p>
      <w:pPr>
        <w:ind w:left="4964"/>
        <w:spacing w:after="0"/>
        <w:tabs>
          <w:tab w:leader="none" w:pos="5444" w:val="left"/>
          <w:tab w:leader="none" w:pos="5944" w:val="left"/>
        </w:tabs>
        <w:rPr>
          <w:sz w:val="20"/>
          <w:szCs w:val="20"/>
          <w:color w:val="auto"/>
        </w:rPr>
      </w:pPr>
      <w:r>
        <w:rPr>
          <w:rFonts w:ascii="Times New Roman" w:cs="Times New Roman" w:eastAsia="Times New Roman" w:hAnsi="Times New Roman"/>
          <w:sz w:val="18"/>
          <w:szCs w:val="18"/>
          <w:i w:val="1"/>
          <w:iCs w:val="1"/>
          <w:color w:val="auto"/>
        </w:rPr>
        <w:t>*</w:t>
      </w:r>
      <w:r>
        <w:rPr>
          <w:sz w:val="20"/>
          <w:szCs w:val="20"/>
          <w:color w:val="auto"/>
        </w:rPr>
        <w:tab/>
      </w:r>
      <w:r>
        <w:rPr>
          <w:rFonts w:ascii="Times New Roman" w:cs="Times New Roman" w:eastAsia="Times New Roman" w:hAnsi="Times New Roman"/>
          <w:sz w:val="18"/>
          <w:szCs w:val="18"/>
          <w:i w:val="1"/>
          <w:iCs w:val="1"/>
          <w:color w:val="auto"/>
        </w:rPr>
        <w:t>*</w:t>
      </w:r>
      <w:r>
        <w:rPr>
          <w:sz w:val="20"/>
          <w:szCs w:val="20"/>
          <w:color w:val="auto"/>
        </w:rPr>
        <w:tab/>
      </w:r>
      <w:r>
        <w:rPr>
          <w:rFonts w:ascii="Times New Roman" w:cs="Times New Roman" w:eastAsia="Times New Roman" w:hAnsi="Times New Roman"/>
          <w:sz w:val="16"/>
          <w:szCs w:val="16"/>
          <w:i w:val="1"/>
          <w:iCs w:val="1"/>
          <w:color w:val="auto"/>
        </w:rPr>
        <w:t>*</w:t>
      </w:r>
    </w:p>
    <w:p>
      <w:pPr>
        <w:sectPr>
          <w:pgSz w:w="11900" w:h="16838" w:orient="portrait"/>
          <w:cols w:equalWidth="0" w:num="1">
            <w:col w:w="10944"/>
          </w:cols>
          <w:pgMar w:left="436" w:top="270" w:right="519" w:bottom="1440" w:gutter="0" w:footer="0" w:header="0"/>
        </w:sectPr>
      </w:pPr>
    </w:p>
    <w:bookmarkStart w:id="363" w:name="page364"/>
    <w:bookmarkEnd w:id="36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Page 3</w:t>
      </w:r>
    </w:p>
    <w:p>
      <w:pPr>
        <w:spacing w:after="0" w:line="158"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 xml:space="preserve">Please do not hesitate to contact the undersigned at </w:t>
      </w:r>
      <w:r>
        <w:rPr>
          <w:rFonts w:ascii="Times New Roman" w:cs="Times New Roman" w:eastAsia="Times New Roman" w:hAnsi="Times New Roman"/>
          <w:sz w:val="18"/>
          <w:szCs w:val="18"/>
          <w:u w:val="single" w:color="auto"/>
          <w:color w:val="auto"/>
        </w:rPr>
        <w:t>jennifer.li@weride.ai</w:t>
      </w:r>
      <w:r>
        <w:rPr>
          <w:rFonts w:ascii="Times New Roman" w:cs="Times New Roman" w:eastAsia="Times New Roman" w:hAnsi="Times New Roman"/>
          <w:sz w:val="18"/>
          <w:szCs w:val="18"/>
          <w:color w:val="auto"/>
        </w:rPr>
        <w:t xml:space="preserve">, or the Company’s counsel Haiping Li of Skadden, Arps, Slate, Meagher &amp; Flom LLP at </w:t>
      </w:r>
      <w:r>
        <w:rPr>
          <w:rFonts w:ascii="Times New Roman" w:cs="Times New Roman" w:eastAsia="Times New Roman" w:hAnsi="Times New Roman"/>
          <w:sz w:val="18"/>
          <w:szCs w:val="18"/>
          <w:u w:val="single" w:color="auto"/>
          <w:color w:val="auto"/>
        </w:rPr>
        <w:t>haiping.li@skadden.com</w:t>
      </w:r>
      <w:r>
        <w:rPr>
          <w:rFonts w:ascii="Times New Roman" w:cs="Times New Roman" w:eastAsia="Times New Roman" w:hAnsi="Times New Roman"/>
          <w:sz w:val="18"/>
          <w:szCs w:val="18"/>
          <w:color w:val="auto"/>
        </w:rPr>
        <w:t xml:space="preserve"> if you have any questions regarding the foregoing.</w:t>
      </w:r>
    </w:p>
    <w:p>
      <w:pPr>
        <w:spacing w:after="0" w:line="18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b w:val="1"/>
          <w:bCs w:val="1"/>
          <w:color w:val="auto"/>
        </w:rPr>
        <w:t>WeRide Inc.</w:t>
      </w:r>
    </w:p>
    <w:p>
      <w:pPr>
        <w:spacing w:after="0" w:line="229" w:lineRule="exact"/>
        <w:rPr>
          <w:sz w:val="20"/>
          <w:szCs w:val="20"/>
          <w:color w:val="auto"/>
        </w:rPr>
      </w:pPr>
    </w:p>
    <w:p>
      <w:pPr>
        <w:ind w:left="6624"/>
        <w:spacing w:after="0"/>
        <w:tabs>
          <w:tab w:leader="none" w:pos="7184"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Jennifer Xuan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17145</wp:posOffset>
            </wp:positionV>
            <wp:extent cx="242570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Name: Jennifer Xuan Li</w:t>
      </w:r>
    </w:p>
    <w:p>
      <w:pPr>
        <w:spacing w:after="0" w:line="27" w:lineRule="exact"/>
        <w:rPr>
          <w:sz w:val="20"/>
          <w:szCs w:val="20"/>
          <w:color w:val="auto"/>
        </w:rPr>
      </w:pPr>
    </w:p>
    <w:p>
      <w:pPr>
        <w:ind w:left="6624"/>
        <w:spacing w:after="0"/>
        <w:tabs>
          <w:tab w:leader="none" w:pos="7184" w:val="left"/>
        </w:tabs>
        <w:rPr>
          <w:sz w:val="20"/>
          <w:szCs w:val="20"/>
          <w:color w:val="auto"/>
        </w:rPr>
      </w:pPr>
      <w:r>
        <w:rPr>
          <w:rFonts w:ascii="Times New Roman" w:cs="Times New Roman" w:eastAsia="Times New Roman" w:hAnsi="Times New Roman"/>
          <w:sz w:val="18"/>
          <w:szCs w:val="18"/>
          <w:color w:val="auto"/>
        </w:rPr>
        <w:t>Title:</w:t>
        <w:tab/>
        <w:t>Vice President of Finance</w:t>
      </w:r>
    </w:p>
    <w:p>
      <w:pPr>
        <w:spacing w:after="0" w:line="234" w:lineRule="exact"/>
        <w:rPr>
          <w:sz w:val="20"/>
          <w:szCs w:val="20"/>
          <w:color w:val="auto"/>
        </w:rPr>
      </w:pPr>
    </w:p>
    <w:p>
      <w:pPr>
        <w:ind w:left="444" w:right="4280" w:hanging="444"/>
        <w:spacing w:after="0" w:line="266" w:lineRule="auto"/>
        <w:tabs>
          <w:tab w:leader="none" w:pos="436"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Haiping Li, Esq., Partner, Skadden, Arps, Slate, Meagher &amp; Flom LLP Brian V. Breheny, Esq., Partner, Skadden, Arps, Slate, Meagher &amp; Flom LLP Allen Lu, Partner, KPMG Huazhen LLP</w:t>
      </w:r>
    </w:p>
    <w:sectPr>
      <w:pgSz w:w="11900" w:h="16838" w:orient="portrait"/>
      <w:cols w:equalWidth="0" w:num="1">
        <w:col w:w="10264"/>
      </w:cols>
      <w:pgMar w:left="436" w:top="270"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D2F10E"/>
    <w:multiLevelType w:val="hybridMultilevel"/>
    <w:lvl w:ilvl="0">
      <w:lvlJc w:val="left"/>
      <w:lvlText w:val="†"/>
      <w:numFmt w:val="bullet"/>
      <w:start w:val="1"/>
    </w:lvl>
  </w:abstractNum>
  <w:abstractNum w:abstractNumId="1">
    <w:nsid w:val="BFFAE18"/>
    <w:multiLevelType w:val="hybridMultilevel"/>
    <w:lvl w:ilvl="0">
      <w:lvlJc w:val="left"/>
      <w:lvlText w:val="(%1)"/>
      <w:numFmt w:val="decimal"/>
      <w:start w:val="1"/>
    </w:lvl>
  </w:abstractNum>
  <w:abstractNum w:abstractNumId="2">
    <w:nsid w:val="E3E47A8"/>
    <w:multiLevelType w:val="hybridMultilevel"/>
    <w:lvl w:ilvl="0">
      <w:lvlJc w:val="left"/>
      <w:lvlText w:val="•"/>
      <w:numFmt w:val="bullet"/>
      <w:start w:val="1"/>
    </w:lvl>
  </w:abstractNum>
  <w:abstractNum w:abstractNumId="3">
    <w:nsid w:val="2E48F044"/>
    <w:multiLevelType w:val="hybridMultilevel"/>
    <w:lvl w:ilvl="0">
      <w:lvlJc w:val="left"/>
      <w:lvlText w:val="(%1)"/>
      <w:numFmt w:val="decimal"/>
      <w:start w:val="1"/>
    </w:lvl>
  </w:abstractNum>
  <w:abstractNum w:abstractNumId="4">
    <w:nsid w:val="49D0FEAC"/>
    <w:multiLevelType w:val="hybridMultilevel"/>
    <w:lvl w:ilvl="0">
      <w:lvlJc w:val="left"/>
      <w:lvlText w:val="(%1)"/>
      <w:numFmt w:val="decimal"/>
      <w:start w:val="1"/>
    </w:lvl>
  </w:abstractNum>
  <w:abstractNum w:abstractNumId="5">
    <w:nsid w:val="4BEE5A5B"/>
    <w:multiLevelType w:val="hybridMultilevel"/>
    <w:lvl w:ilvl="0">
      <w:lvlJc w:val="left"/>
      <w:lvlText w:val="•"/>
      <w:numFmt w:val="bullet"/>
      <w:start w:val="1"/>
    </w:lvl>
  </w:abstractNum>
  <w:abstractNum w:abstractNumId="6">
    <w:nsid w:val="5551B9F3"/>
    <w:multiLevelType w:val="hybridMultilevel"/>
    <w:lvl w:ilvl="0">
      <w:lvlJc w:val="left"/>
      <w:lvlText w:val="•"/>
      <w:numFmt w:val="bullet"/>
      <w:start w:val="1"/>
    </w:lvl>
  </w:abstractNum>
  <w:abstractNum w:abstractNumId="7">
    <w:nsid w:val="24F6AB8E"/>
    <w:multiLevelType w:val="hybridMultilevel"/>
    <w:lvl w:ilvl="0">
      <w:lvlJc w:val="left"/>
      <w:lvlText w:val="•"/>
      <w:numFmt w:val="bullet"/>
      <w:start w:val="1"/>
    </w:lvl>
  </w:abstractNum>
  <w:abstractNum w:abstractNumId="8">
    <w:nsid w:val="634C574C"/>
    <w:multiLevelType w:val="hybridMultilevel"/>
    <w:lvl w:ilvl="0">
      <w:lvlJc w:val="left"/>
      <w:lvlText w:val="•"/>
      <w:numFmt w:val="bullet"/>
      <w:start w:val="1"/>
    </w:lvl>
  </w:abstractNum>
  <w:abstractNum w:abstractNumId="9">
    <w:nsid w:val="24E99DD7"/>
    <w:multiLevelType w:val="hybridMultilevel"/>
    <w:lvl w:ilvl="0">
      <w:lvlJc w:val="left"/>
      <w:lvlText w:val="•"/>
      <w:numFmt w:val="bullet"/>
      <w:start w:val="1"/>
    </w:lvl>
  </w:abstractNum>
  <w:abstractNum w:abstractNumId="10">
    <w:nsid w:val="2A31B62D"/>
    <w:multiLevelType w:val="hybridMultilevel"/>
    <w:lvl w:ilvl="0">
      <w:lvlJc w:val="left"/>
      <w:lvlText w:val="•"/>
      <w:numFmt w:val="bullet"/>
      <w:start w:val="1"/>
    </w:lvl>
  </w:abstractNum>
  <w:abstractNum w:abstractNumId="11">
    <w:nsid w:val="1849C29B"/>
    <w:multiLevelType w:val="hybridMultilevel"/>
    <w:lvl w:ilvl="0">
      <w:lvlJc w:val="left"/>
      <w:lvlText w:val="•"/>
      <w:numFmt w:val="bullet"/>
      <w:start w:val="1"/>
    </w:lvl>
  </w:abstractNum>
  <w:abstractNum w:abstractNumId="12">
    <w:nsid w:val="7DFF9D09"/>
    <w:multiLevelType w:val="hybridMultilevel"/>
    <w:lvl w:ilvl="0">
      <w:lvlJc w:val="left"/>
      <w:lvlText w:val="•"/>
      <w:numFmt w:val="bullet"/>
      <w:start w:val="1"/>
    </w:lvl>
  </w:abstractNum>
  <w:abstractNum w:abstractNumId="13">
    <w:nsid w:val="754342"/>
    <w:multiLevelType w:val="hybridMultilevel"/>
    <w:lvl w:ilvl="0">
      <w:lvlJc w:val="left"/>
      <w:lvlText w:val="•"/>
      <w:numFmt w:val="bullet"/>
      <w:start w:val="1"/>
    </w:lvl>
  </w:abstractNum>
  <w:abstractNum w:abstractNumId="14">
    <w:nsid w:val="69E7F3E5"/>
    <w:multiLevelType w:val="hybridMultilevel"/>
    <w:lvl w:ilvl="0">
      <w:lvlJc w:val="left"/>
      <w:lvlText w:val="•"/>
      <w:numFmt w:val="bullet"/>
      <w:start w:val="1"/>
    </w:lvl>
  </w:abstractNum>
  <w:abstractNum w:abstractNumId="15">
    <w:nsid w:val="2A6DE806"/>
    <w:multiLevelType w:val="hybridMultilevel"/>
    <w:lvl w:ilvl="0">
      <w:lvlJc w:val="left"/>
      <w:lvlText w:val="•"/>
      <w:numFmt w:val="bullet"/>
      <w:start w:val="1"/>
    </w:lvl>
  </w:abstractNum>
  <w:abstractNum w:abstractNumId="16">
    <w:nsid w:val="1816F8C4"/>
    <w:multiLevelType w:val="hybridMultilevel"/>
    <w:lvl w:ilvl="0">
      <w:lvlJc w:val="left"/>
      <w:lvlText w:val="•"/>
      <w:numFmt w:val="bullet"/>
      <w:start w:val="1"/>
    </w:lvl>
  </w:abstractNum>
  <w:abstractNum w:abstractNumId="17">
    <w:nsid w:val="37DF2233"/>
    <w:multiLevelType w:val="hybridMultilevel"/>
    <w:lvl w:ilvl="0">
      <w:lvlJc w:val="left"/>
      <w:lvlText w:val="•"/>
      <w:numFmt w:val="bullet"/>
      <w:start w:val="1"/>
    </w:lvl>
  </w:abstractNum>
  <w:abstractNum w:abstractNumId="18">
    <w:nsid w:val="7AB49DAF"/>
    <w:multiLevelType w:val="hybridMultilevel"/>
    <w:lvl w:ilvl="0">
      <w:lvlJc w:val="left"/>
      <w:lvlText w:val="(%1)"/>
      <w:numFmt w:val="decimal"/>
      <w:start w:val="1"/>
    </w:lvl>
  </w:abstractNum>
  <w:abstractNum w:abstractNumId="19">
    <w:nsid w:val="759F82CD"/>
    <w:multiLevelType w:val="hybridMultilevel"/>
    <w:lvl w:ilvl="0">
      <w:lvlJc w:val="left"/>
      <w:lvlText w:val="•"/>
      <w:numFmt w:val="bullet"/>
      <w:start w:val="1"/>
    </w:lvl>
  </w:abstractNum>
  <w:abstractNum w:abstractNumId="20">
    <w:nsid w:val="61E74EA3"/>
    <w:multiLevelType w:val="hybridMultilevel"/>
    <w:lvl w:ilvl="0">
      <w:lvlJc w:val="left"/>
      <w:lvlText w:val="•"/>
      <w:numFmt w:val="bullet"/>
      <w:start w:val="1"/>
    </w:lvl>
  </w:abstractNum>
  <w:abstractNum w:abstractNumId="21">
    <w:nsid w:val="597B4D84"/>
    <w:multiLevelType w:val="hybridMultilevel"/>
    <w:lvl w:ilvl="0">
      <w:lvlJc w:val="left"/>
      <w:lvlText w:val="•"/>
      <w:numFmt w:val="bullet"/>
      <w:start w:val="1"/>
    </w:lvl>
  </w:abstractNum>
  <w:abstractNum w:abstractNumId="22">
    <w:nsid w:val="F819E7F"/>
    <w:multiLevelType w:val="hybridMultilevel"/>
    <w:lvl w:ilvl="0">
      <w:lvlJc w:val="left"/>
      <w:lvlText w:val="•"/>
      <w:numFmt w:val="bullet"/>
      <w:start w:val="1"/>
    </w:lvl>
  </w:abstractNum>
  <w:abstractNum w:abstractNumId="23">
    <w:nsid w:val="57C7D42D"/>
    <w:multiLevelType w:val="hybridMultilevel"/>
    <w:lvl w:ilvl="0">
      <w:lvlJc w:val="left"/>
      <w:lvlText w:val="•"/>
      <w:numFmt w:val="bullet"/>
      <w:start w:val="1"/>
    </w:lvl>
  </w:abstractNum>
  <w:abstractNum w:abstractNumId="24">
    <w:nsid w:val="312167AD"/>
    <w:multiLevelType w:val="hybridMultilevel"/>
    <w:lvl w:ilvl="0">
      <w:lvlJc w:val="left"/>
      <w:lvlText w:val="•"/>
      <w:numFmt w:val="bullet"/>
      <w:start w:val="1"/>
    </w:lvl>
  </w:abstractNum>
  <w:abstractNum w:abstractNumId="25">
    <w:nsid w:val="631B64D4"/>
    <w:multiLevelType w:val="hybridMultilevel"/>
    <w:lvl w:ilvl="0">
      <w:lvlJc w:val="left"/>
      <w:lvlText w:val="(%1)"/>
      <w:numFmt w:val="decimal"/>
      <w:start w:val="1"/>
    </w:lvl>
  </w:abstractNum>
  <w:abstractNum w:abstractNumId="26">
    <w:nsid w:val="78B5E776"/>
    <w:multiLevelType w:val="hybridMultilevel"/>
    <w:lvl w:ilvl="0">
      <w:lvlJc w:val="left"/>
      <w:lvlText w:val="•"/>
      <w:numFmt w:val="bullet"/>
      <w:start w:val="1"/>
    </w:lvl>
  </w:abstractNum>
  <w:abstractNum w:abstractNumId="27">
    <w:nsid w:val="75486E47"/>
    <w:multiLevelType w:val="hybridMultilevel"/>
    <w:lvl w:ilvl="0">
      <w:lvlJc w:val="left"/>
      <w:lvlText w:val="•"/>
      <w:numFmt w:val="bullet"/>
      <w:start w:val="1"/>
    </w:lvl>
  </w:abstractNum>
  <w:abstractNum w:abstractNumId="28">
    <w:nsid w:val="6E534CDE"/>
    <w:multiLevelType w:val="hybridMultilevel"/>
    <w:lvl w:ilvl="0">
      <w:lvlJc w:val="left"/>
      <w:lvlText w:val="•"/>
      <w:numFmt w:val="bullet"/>
      <w:start w:val="1"/>
    </w:lvl>
  </w:abstractNum>
  <w:abstractNum w:abstractNumId="29">
    <w:nsid w:val="1A0DDE32"/>
    <w:multiLevelType w:val="hybridMultilevel"/>
    <w:lvl w:ilvl="0">
      <w:lvlJc w:val="left"/>
      <w:lvlText w:val="•"/>
      <w:numFmt w:val="bullet"/>
      <w:start w:val="1"/>
    </w:lvl>
  </w:abstractNum>
  <w:abstractNum w:abstractNumId="30">
    <w:nsid w:val="65968C1C"/>
    <w:multiLevelType w:val="hybridMultilevel"/>
    <w:lvl w:ilvl="0">
      <w:lvlJc w:val="left"/>
      <w:lvlText w:val="(%1)"/>
      <w:numFmt w:val="lowerRoman"/>
      <w:start w:val="2"/>
    </w:lvl>
  </w:abstractNum>
  <w:abstractNum w:abstractNumId="31">
    <w:nsid w:val="46263DEC"/>
    <w:multiLevelType w:val="hybridMultilevel"/>
    <w:lvl w:ilvl="0">
      <w:lvlJc w:val="left"/>
      <w:lvlText w:val="•"/>
      <w:numFmt w:val="bullet"/>
      <w:start w:val="1"/>
    </w:lvl>
  </w:abstractNum>
  <w:abstractNum w:abstractNumId="32">
    <w:nsid w:val="260D8C4A"/>
    <w:multiLevelType w:val="hybridMultilevel"/>
    <w:lvl w:ilvl="0">
      <w:lvlJc w:val="left"/>
      <w:lvlText w:val="(%1)"/>
      <w:numFmt w:val="lowerRoman"/>
      <w:start w:val="2"/>
    </w:lvl>
  </w:abstractNum>
  <w:abstractNum w:abstractNumId="33">
    <w:nsid w:val="73D4D3C4"/>
    <w:multiLevelType w:val="hybridMultilevel"/>
    <w:lvl w:ilvl="0">
      <w:lvlJc w:val="left"/>
      <w:lvlText w:val="•"/>
      <w:numFmt w:val="bullet"/>
      <w:start w:val="1"/>
    </w:lvl>
  </w:abstractNum>
  <w:abstractNum w:abstractNumId="34">
    <w:nsid w:val="746F2E30"/>
    <w:multiLevelType w:val="hybridMultilevel"/>
    <w:lvl w:ilvl="0">
      <w:lvlJc w:val="left"/>
      <w:lvlText w:val="•"/>
      <w:numFmt w:val="bullet"/>
      <w:start w:val="1"/>
    </w:lvl>
  </w:abstractNum>
  <w:abstractNum w:abstractNumId="35">
    <w:nsid w:val="6FDE8AF6"/>
    <w:multiLevelType w:val="hybridMultilevel"/>
    <w:lvl w:ilvl="0">
      <w:lvlJc w:val="left"/>
      <w:lvlText w:val="•"/>
      <w:numFmt w:val="bullet"/>
      <w:start w:val="1"/>
    </w:lvl>
  </w:abstractNum>
  <w:abstractNum w:abstractNumId="36">
    <w:nsid w:val="3FC32E20"/>
    <w:multiLevelType w:val="hybridMultilevel"/>
    <w:lvl w:ilvl="0">
      <w:lvlJc w:val="left"/>
      <w:lvlText w:val="•"/>
      <w:numFmt w:val="bullet"/>
      <w:start w:val="1"/>
    </w:lvl>
  </w:abstractNum>
  <w:abstractNum w:abstractNumId="37">
    <w:nsid w:val="49C0E823"/>
    <w:multiLevelType w:val="hybridMultilevel"/>
    <w:lvl w:ilvl="0">
      <w:lvlJc w:val="left"/>
      <w:lvlText w:val="•"/>
      <w:numFmt w:val="bullet"/>
      <w:start w:val="1"/>
    </w:lvl>
  </w:abstractNum>
  <w:abstractNum w:abstractNumId="38">
    <w:nsid w:val="14D53685"/>
    <w:multiLevelType w:val="hybridMultilevel"/>
    <w:lvl w:ilvl="0">
      <w:lvlJc w:val="left"/>
      <w:lvlText w:val="•"/>
      <w:numFmt w:val="bullet"/>
      <w:start w:val="1"/>
    </w:lvl>
  </w:abstractNum>
  <w:abstractNum w:abstractNumId="39">
    <w:nsid w:val="230F856C"/>
    <w:multiLevelType w:val="hybridMultilevel"/>
    <w:lvl w:ilvl="0">
      <w:lvlJc w:val="left"/>
      <w:lvlText w:val="•"/>
      <w:numFmt w:val="bullet"/>
      <w:start w:val="1"/>
    </w:lvl>
  </w:abstractNum>
  <w:abstractNum w:abstractNumId="40">
    <w:nsid w:val="6EAA85FB"/>
    <w:multiLevelType w:val="hybridMultilevel"/>
    <w:lvl w:ilvl="0">
      <w:lvlJc w:val="left"/>
      <w:lvlText w:val="•"/>
      <w:numFmt w:val="bullet"/>
      <w:start w:val="1"/>
    </w:lvl>
  </w:abstractNum>
  <w:abstractNum w:abstractNumId="41">
    <w:nsid w:val="3F06ECB2"/>
    <w:multiLevelType w:val="hybridMultilevel"/>
    <w:lvl w:ilvl="0">
      <w:lvlJc w:val="left"/>
      <w:lvlText w:val="(%1)"/>
      <w:numFmt w:val="decimal"/>
      <w:start w:val="1"/>
    </w:lvl>
  </w:abstractNum>
  <w:abstractNum w:abstractNumId="42">
    <w:nsid w:val="3B594807"/>
    <w:multiLevelType w:val="hybridMultilevel"/>
    <w:lvl w:ilvl="0">
      <w:lvlJc w:val="left"/>
      <w:lvlText w:val="•"/>
      <w:numFmt w:val="bullet"/>
      <w:start w:val="1"/>
    </w:lvl>
  </w:abstractNum>
  <w:abstractNum w:abstractNumId="43">
    <w:nsid w:val="6CAA2304"/>
    <w:multiLevelType w:val="hybridMultilevel"/>
    <w:lvl w:ilvl="0">
      <w:lvlJc w:val="left"/>
      <w:lvlText w:val="•"/>
      <w:numFmt w:val="bullet"/>
      <w:start w:val="1"/>
    </w:lvl>
  </w:abstractNum>
  <w:abstractNum w:abstractNumId="44">
    <w:nsid w:val="3F7C2FF4"/>
    <w:multiLevelType w:val="hybridMultilevel"/>
    <w:lvl w:ilvl="0">
      <w:lvlJc w:val="left"/>
      <w:lvlText w:val="•"/>
      <w:numFmt w:val="bullet"/>
      <w:start w:val="1"/>
    </w:lvl>
  </w:abstractNum>
  <w:abstractNum w:abstractNumId="45">
    <w:nsid w:val="25413BEC"/>
    <w:multiLevelType w:val="hybridMultilevel"/>
    <w:lvl w:ilvl="0">
      <w:lvlJc w:val="left"/>
      <w:lvlText w:val="(%1)"/>
      <w:numFmt w:val="decimal"/>
      <w:start w:val="1"/>
    </w:lvl>
  </w:abstractNum>
  <w:abstractNum w:abstractNumId="46">
    <w:nsid w:val="17180B0B"/>
    <w:multiLevelType w:val="hybridMultilevel"/>
    <w:lvl w:ilvl="0">
      <w:lvlJc w:val="left"/>
      <w:lvlText w:val="•"/>
      <w:numFmt w:val="bullet"/>
      <w:start w:val="1"/>
    </w:lvl>
  </w:abstractNum>
  <w:abstractNum w:abstractNumId="47">
    <w:nsid w:val="579328B9"/>
    <w:multiLevelType w:val="hybridMultilevel"/>
    <w:lvl w:ilvl="0">
      <w:lvlJc w:val="left"/>
      <w:lvlText w:val="(%1)"/>
      <w:numFmt w:val="decimal"/>
      <w:start w:val="1"/>
    </w:lvl>
  </w:abstractNum>
  <w:abstractNum w:abstractNumId="48">
    <w:nsid w:val="5D205E20"/>
    <w:multiLevelType w:val="hybridMultilevel"/>
    <w:lvl w:ilvl="0">
      <w:lvlJc w:val="left"/>
      <w:lvlText w:val="(%1)"/>
      <w:numFmt w:val="lowerRoman"/>
      <w:start w:val="1"/>
    </w:lvl>
  </w:abstractNum>
  <w:abstractNum w:abstractNumId="49">
    <w:nsid w:val="11CCA8BA"/>
    <w:multiLevelType w:val="hybridMultilevel"/>
    <w:lvl w:ilvl="0">
      <w:lvlJc w:val="left"/>
      <w:lvlText w:val="•"/>
      <w:numFmt w:val="bullet"/>
      <w:start w:val="1"/>
    </w:lvl>
  </w:abstractNum>
  <w:abstractNum w:abstractNumId="50">
    <w:nsid w:val="4D32AB86"/>
    <w:multiLevelType w:val="hybridMultilevel"/>
    <w:lvl w:ilvl="0">
      <w:lvlJc w:val="left"/>
      <w:lvlText w:val="•"/>
      <w:numFmt w:val="bullet"/>
      <w:start w:val="1"/>
    </w:lvl>
  </w:abstractNum>
  <w:abstractNum w:abstractNumId="51">
    <w:nsid w:val="3F07ACC3"/>
    <w:multiLevelType w:val="hybridMultilevel"/>
    <w:lvl w:ilvl="0">
      <w:lvlJc w:val="left"/>
      <w:lvlText w:val="•"/>
      <w:numFmt w:val="bullet"/>
      <w:start w:val="1"/>
    </w:lvl>
  </w:abstractNum>
  <w:abstractNum w:abstractNumId="52">
    <w:nsid w:val="6B47F63E"/>
    <w:multiLevelType w:val="hybridMultilevel"/>
    <w:lvl w:ilvl="0">
      <w:lvlJc w:val="left"/>
      <w:lvlText w:val="(%1)"/>
      <w:numFmt w:val="decimal"/>
      <w:start w:val="1"/>
    </w:lvl>
  </w:abstractNum>
  <w:abstractNum w:abstractNumId="53">
    <w:nsid w:val="5CB44A05"/>
    <w:multiLevelType w:val="hybridMultilevel"/>
    <w:lvl w:ilvl="0">
      <w:lvlJc w:val="left"/>
      <w:lvlText w:val="(%1)"/>
      <w:numFmt w:val="decimal"/>
      <w:start w:val="1"/>
    </w:lvl>
  </w:abstractNum>
  <w:abstractNum w:abstractNumId="54">
    <w:nsid w:val="16CF80F1"/>
    <w:multiLevelType w:val="hybridMultilevel"/>
    <w:lvl w:ilvl="0">
      <w:lvlJc w:val="left"/>
      <w:lvlText w:val="•"/>
      <w:numFmt w:val="bullet"/>
      <w:start w:val="1"/>
    </w:lvl>
  </w:abstractNum>
  <w:abstractNum w:abstractNumId="55">
    <w:nsid w:val="1C695DEC"/>
    <w:multiLevelType w:val="hybridMultilevel"/>
    <w:lvl w:ilvl="0">
      <w:lvlJc w:val="left"/>
      <w:lvlText w:val="•"/>
      <w:numFmt w:val="bullet"/>
      <w:start w:val="1"/>
    </w:lvl>
  </w:abstractNum>
  <w:abstractNum w:abstractNumId="56">
    <w:nsid w:val="3FCFAED9"/>
    <w:multiLevelType w:val="hybridMultilevel"/>
    <w:lvl w:ilvl="0">
      <w:lvlJc w:val="left"/>
      <w:lvlText w:val="•"/>
      <w:numFmt w:val="bullet"/>
      <w:start w:val="1"/>
    </w:lvl>
  </w:abstractNum>
  <w:abstractNum w:abstractNumId="57">
    <w:nsid w:val="F856867"/>
    <w:multiLevelType w:val="hybridMultilevel"/>
    <w:lvl w:ilvl="0">
      <w:lvlJc w:val="left"/>
      <w:lvlText w:val="•"/>
      <w:numFmt w:val="bullet"/>
      <w:start w:val="1"/>
    </w:lvl>
  </w:abstractNum>
  <w:abstractNum w:abstractNumId="58">
    <w:nsid w:val="11B1CC33"/>
    <w:multiLevelType w:val="hybridMultilevel"/>
    <w:lvl w:ilvl="0">
      <w:lvlJc w:val="left"/>
      <w:lvlText w:val="•"/>
      <w:numFmt w:val="bullet"/>
      <w:start w:val="1"/>
    </w:lvl>
  </w:abstractNum>
  <w:abstractNum w:abstractNumId="59">
    <w:nsid w:val="2E22FBB7"/>
    <w:multiLevelType w:val="hybridMultilevel"/>
    <w:lvl w:ilvl="0">
      <w:lvlJc w:val="left"/>
      <w:lvlText w:val="•"/>
      <w:numFmt w:val="bullet"/>
      <w:start w:val="1"/>
    </w:lvl>
  </w:abstractNum>
  <w:abstractNum w:abstractNumId="60">
    <w:nsid w:val="29934699"/>
    <w:multiLevelType w:val="hybridMultilevel"/>
    <w:lvl w:ilvl="0">
      <w:lvlJc w:val="left"/>
      <w:lvlText w:val="•"/>
      <w:numFmt w:val="bullet"/>
      <w:start w:val="1"/>
    </w:lvl>
  </w:abstractNum>
  <w:abstractNum w:abstractNumId="61">
    <w:nsid w:val="77485850"/>
    <w:multiLevelType w:val="hybridMultilevel"/>
    <w:lvl w:ilvl="0">
      <w:lvlJc w:val="left"/>
      <w:lvlText w:val="•"/>
      <w:numFmt w:val="bullet"/>
      <w:start w:val="1"/>
    </w:lvl>
  </w:abstractNum>
  <w:abstractNum w:abstractNumId="62">
    <w:nsid w:val="744939A3"/>
    <w:multiLevelType w:val="hybridMultilevel"/>
    <w:lvl w:ilvl="0">
      <w:lvlJc w:val="left"/>
      <w:lvlText w:val="•"/>
      <w:numFmt w:val="bullet"/>
      <w:start w:val="1"/>
    </w:lvl>
  </w:abstractNum>
  <w:abstractNum w:abstractNumId="63">
    <w:nsid w:val="4FA0D2E3"/>
    <w:multiLevelType w:val="hybridMultilevel"/>
    <w:lvl w:ilvl="0">
      <w:lvlJc w:val="left"/>
      <w:lvlText w:val="•"/>
      <w:numFmt w:val="bullet"/>
      <w:start w:val="1"/>
    </w:lvl>
  </w:abstractNum>
  <w:abstractNum w:abstractNumId="64">
    <w:nsid w:val="6B1D2C14"/>
    <w:multiLevelType w:val="hybridMultilevel"/>
    <w:lvl w:ilvl="0">
      <w:lvlJc w:val="left"/>
      <w:lvlText w:val="•"/>
      <w:numFmt w:val="bullet"/>
      <w:start w:val="1"/>
    </w:lvl>
  </w:abstractNum>
  <w:abstractNum w:abstractNumId="65">
    <w:nsid w:val="68B867D3"/>
    <w:multiLevelType w:val="hybridMultilevel"/>
    <w:lvl w:ilvl="0">
      <w:lvlJc w:val="left"/>
      <w:lvlText w:val="•"/>
      <w:numFmt w:val="bullet"/>
      <w:start w:val="1"/>
    </w:lvl>
  </w:abstractNum>
  <w:abstractNum w:abstractNumId="66">
    <w:nsid w:val="3F7F5DD9"/>
    <w:multiLevelType w:val="hybridMultilevel"/>
    <w:lvl w:ilvl="0">
      <w:lvlJc w:val="left"/>
      <w:lvlText w:val="•"/>
      <w:numFmt w:val="bullet"/>
      <w:start w:val="1"/>
    </w:lvl>
  </w:abstractNum>
  <w:abstractNum w:abstractNumId="67">
    <w:nsid w:val="2AE05A34"/>
    <w:multiLevelType w:val="hybridMultilevel"/>
    <w:lvl w:ilvl="0">
      <w:lvlJc w:val="left"/>
      <w:lvlText w:val="(%1)"/>
      <w:numFmt w:val="lowerRoman"/>
      <w:start w:val="7"/>
    </w:lvl>
  </w:abstractNum>
  <w:abstractNum w:abstractNumId="68">
    <w:nsid w:val="32794FF7"/>
    <w:multiLevelType w:val="hybridMultilevel"/>
    <w:lvl w:ilvl="0">
      <w:lvlJc w:val="left"/>
      <w:lvlText w:val="(%1)"/>
      <w:numFmt w:val="lowerRoman"/>
      <w:start w:val="5"/>
    </w:lvl>
  </w:abstractNum>
  <w:abstractNum w:abstractNumId="69">
    <w:nsid w:val="5454945E"/>
    <w:multiLevelType w:val="hybridMultilevel"/>
    <w:lvl w:ilvl="0">
      <w:lvlJc w:val="left"/>
      <w:lvlText w:val="(%1)"/>
      <w:numFmt w:val="lowerRoman"/>
      <w:start w:val="2"/>
    </w:lvl>
  </w:abstractNum>
  <w:abstractNum w:abstractNumId="70">
    <w:nsid w:val="4DEFDFA0"/>
    <w:multiLevelType w:val="hybridMultilevel"/>
    <w:lvl w:ilvl="0">
      <w:lvlJc w:val="left"/>
      <w:lvlText w:val="•"/>
      <w:numFmt w:val="bullet"/>
      <w:start w:val="1"/>
    </w:lvl>
  </w:abstractNum>
  <w:abstractNum w:abstractNumId="71">
    <w:nsid w:val="2123D5F2"/>
    <w:multiLevelType w:val="hybridMultilevel"/>
    <w:lvl w:ilvl="0">
      <w:lvlJc w:val="left"/>
      <w:lvlText w:val="•"/>
      <w:numFmt w:val="bullet"/>
      <w:start w:val="1"/>
    </w:lvl>
  </w:abstractNum>
  <w:abstractNum w:abstractNumId="72">
    <w:nsid w:val="135B8110"/>
    <w:multiLevelType w:val="hybridMultilevel"/>
    <w:lvl w:ilvl="0">
      <w:lvlJc w:val="left"/>
      <w:lvlText w:val="•"/>
      <w:numFmt w:val="bullet"/>
      <w:start w:val="1"/>
    </w:lvl>
  </w:abstractNum>
  <w:abstractNum w:abstractNumId="73">
    <w:nsid w:val="94927A8"/>
    <w:multiLevelType w:val="hybridMultilevel"/>
    <w:lvl w:ilvl="0">
      <w:lvlJc w:val="left"/>
      <w:lvlText w:val="•"/>
      <w:numFmt w:val="bullet"/>
      <w:start w:val="1"/>
    </w:lvl>
  </w:abstractNum>
  <w:abstractNum w:abstractNumId="74">
    <w:nsid w:val="DCDF8F6"/>
    <w:multiLevelType w:val="hybridMultilevel"/>
    <w:lvl w:ilvl="0">
      <w:lvlJc w:val="left"/>
      <w:lvlText w:val="•"/>
      <w:numFmt w:val="bullet"/>
      <w:start w:val="1"/>
    </w:lvl>
  </w:abstractNum>
  <w:abstractNum w:abstractNumId="75">
    <w:nsid w:val="52D7B105"/>
    <w:multiLevelType w:val="hybridMultilevel"/>
    <w:lvl w:ilvl="0">
      <w:lvlJc w:val="left"/>
      <w:lvlText w:val="•"/>
      <w:numFmt w:val="bullet"/>
      <w:start w:val="1"/>
    </w:lvl>
  </w:abstractNum>
  <w:abstractNum w:abstractNumId="76">
    <w:nsid w:val="2E8A6394"/>
    <w:multiLevelType w:val="hybridMultilevel"/>
    <w:lvl w:ilvl="0">
      <w:lvlJc w:val="left"/>
      <w:lvlText w:val="*"/>
      <w:numFmt w:val="bullet"/>
      <w:start w:val="1"/>
    </w:lvl>
  </w:abstractNum>
  <w:abstractNum w:abstractNumId="77">
    <w:nsid w:val="24E60401"/>
    <w:multiLevelType w:val="hybridMultilevel"/>
    <w:lvl w:ilvl="0">
      <w:lvlJc w:val="left"/>
      <w:lvlText w:val="**"/>
      <w:numFmt w:val="bullet"/>
      <w:start w:val="1"/>
    </w:lvl>
  </w:abstractNum>
  <w:abstractNum w:abstractNumId="78">
    <w:nsid w:val="2A6AD9BE"/>
    <w:multiLevelType w:val="hybridMultilevel"/>
    <w:lvl w:ilvl="0">
      <w:lvlJc w:val="left"/>
      <w:lvlText w:val="***"/>
      <w:numFmt w:val="bullet"/>
      <w:start w:val="1"/>
    </w:lvl>
  </w:abstractNum>
  <w:abstractNum w:abstractNumId="79">
    <w:nsid w:val="BAAC1B4"/>
    <w:multiLevelType w:val="hybridMultilevel"/>
    <w:lvl w:ilvl="0">
      <w:lvlJc w:val="left"/>
      <w:lvlText w:val="****"/>
      <w:numFmt w:val="bullet"/>
      <w:start w:val="1"/>
    </w:lvl>
  </w:abstractNum>
  <w:abstractNum w:abstractNumId="80">
    <w:nsid w:val="36B2ACBC"/>
    <w:multiLevelType w:val="hybridMultilevel"/>
    <w:lvl w:ilvl="0">
      <w:lvlJc w:val="left"/>
      <w:lvlText w:val="(%1)"/>
      <w:numFmt w:val="decimal"/>
      <w:start w:val="1"/>
    </w:lvl>
  </w:abstractNum>
  <w:abstractNum w:abstractNumId="81">
    <w:nsid w:val="779D8544"/>
    <w:multiLevelType w:val="hybridMultilevel"/>
    <w:lvl w:ilvl="0">
      <w:lvlJc w:val="left"/>
      <w:lvlText w:val="(%1)"/>
      <w:numFmt w:val="decimal"/>
      <w:start w:val="3"/>
    </w:lvl>
  </w:abstractNum>
  <w:abstractNum w:abstractNumId="82">
    <w:nsid w:val="4AB26E78"/>
    <w:multiLevelType w:val="hybridMultilevel"/>
    <w:lvl w:ilvl="0">
      <w:lvlJc w:val="left"/>
      <w:lvlText w:val="(%1)"/>
      <w:numFmt w:val="lowerRoman"/>
      <w:start w:val="2"/>
    </w:lvl>
  </w:abstractNum>
  <w:abstractNum w:abstractNumId="83">
    <w:nsid w:val="21FAA2FA"/>
    <w:multiLevelType w:val="hybridMultilevel"/>
    <w:lvl w:ilvl="0">
      <w:lvlJc w:val="left"/>
      <w:lvlText w:val="(%1)"/>
      <w:numFmt w:val="decimal"/>
      <w:start w:val="11"/>
    </w:lvl>
  </w:abstractNum>
  <w:abstractNum w:abstractNumId="84">
    <w:nsid w:val="5451CF49"/>
    <w:multiLevelType w:val="hybridMultilevel"/>
    <w:lvl w:ilvl="0">
      <w:lvlJc w:val="left"/>
      <w:lvlText w:val="(%1)"/>
      <w:numFmt w:val="lowerRoman"/>
      <w:start w:val="4"/>
    </w:lvl>
  </w:abstractNum>
  <w:abstractNum w:abstractNumId="85">
    <w:nsid w:val="6181EF69"/>
    <w:multiLevelType w:val="hybridMultilevel"/>
    <w:lvl w:ilvl="0">
      <w:lvlJc w:val="left"/>
      <w:lvlText w:val="(%1)"/>
      <w:numFmt w:val="lowerRoman"/>
      <w:start w:val="6"/>
    </w:lvl>
  </w:abstractNum>
  <w:abstractNum w:abstractNumId="86">
    <w:nsid w:val="3E6400E6"/>
    <w:multiLevelType w:val="hybridMultilevel"/>
    <w:lvl w:ilvl="0">
      <w:lvlJc w:val="left"/>
      <w:lvlText w:val="(%1)"/>
      <w:numFmt w:val="lowerRoman"/>
      <w:start w:val="8"/>
    </w:lvl>
  </w:abstractNum>
  <w:abstractNum w:abstractNumId="87">
    <w:nsid w:val="14217E23"/>
    <w:multiLevelType w:val="hybridMultilevel"/>
    <w:lvl w:ilvl="0">
      <w:lvlJc w:val="left"/>
      <w:lvlText w:val="•"/>
      <w:numFmt w:val="bullet"/>
      <w:start w:val="1"/>
    </w:lvl>
  </w:abstractNum>
  <w:abstractNum w:abstractNumId="88">
    <w:nsid w:val="710757D0"/>
    <w:multiLevelType w:val="hybridMultilevel"/>
    <w:lvl w:ilvl="0">
      <w:lvlJc w:val="left"/>
      <w:lvlText w:val="•"/>
      <w:numFmt w:val="bullet"/>
      <w:start w:val="1"/>
    </w:lvl>
  </w:abstractNum>
  <w:abstractNum w:abstractNumId="89">
    <w:nsid w:val="5015CD1A"/>
    <w:multiLevelType w:val="hybridMultilevel"/>
    <w:lvl w:ilvl="0">
      <w:lvlJc w:val="left"/>
      <w:lvlText w:val="•"/>
      <w:numFmt w:val="bullet"/>
      <w:start w:val="1"/>
    </w:lvl>
  </w:abstractNum>
  <w:abstractNum w:abstractNumId="90">
    <w:nsid w:val="424479DA"/>
    <w:multiLevelType w:val="hybridMultilevel"/>
    <w:lvl w:ilvl="0">
      <w:lvlJc w:val="left"/>
      <w:lvlText w:val="•"/>
      <w:numFmt w:val="bullet"/>
      <w:start w:val="1"/>
    </w:lvl>
  </w:abstractNum>
  <w:abstractNum w:abstractNumId="91">
    <w:nsid w:val="1A9A9E69"/>
    <w:multiLevelType w:val="hybridMultilevel"/>
    <w:lvl w:ilvl="0">
      <w:lvlJc w:val="left"/>
      <w:lvlText w:val="•"/>
      <w:numFmt w:val="bullet"/>
      <w:start w:val="1"/>
    </w:lvl>
  </w:abstractNum>
  <w:abstractNum w:abstractNumId="92">
    <w:nsid w:val="475E256A"/>
    <w:multiLevelType w:val="hybridMultilevel"/>
    <w:lvl w:ilvl="0">
      <w:lvlJc w:val="left"/>
      <w:lvlText w:val="•"/>
      <w:numFmt w:val="bullet"/>
      <w:start w:val="1"/>
    </w:lvl>
  </w:abstractNum>
  <w:abstractNum w:abstractNumId="93">
    <w:nsid w:val="368DB37E"/>
    <w:multiLevelType w:val="hybridMultilevel"/>
    <w:lvl w:ilvl="0">
      <w:lvlJc w:val="left"/>
      <w:lvlText w:val="(%1)"/>
      <w:numFmt w:val="lowerLetter"/>
      <w:start w:val="1"/>
    </w:lvl>
  </w:abstractNum>
  <w:abstractNum w:abstractNumId="94">
    <w:nsid w:val="6A3B714C"/>
    <w:multiLevelType w:val="hybridMultilevel"/>
    <w:lvl w:ilvl="0">
      <w:lvlJc w:val="left"/>
      <w:lvlText w:val="%1"/>
      <w:numFmt w:val="upperLetter"/>
      <w:start w:val="61"/>
    </w:lvl>
  </w:abstractNum>
  <w:abstractNum w:abstractNumId="95">
    <w:nsid w:val="327B517E"/>
    <w:multiLevelType w:val="hybridMultilevel"/>
    <w:lvl w:ilvl="0">
      <w:lvlJc w:val="left"/>
      <w:lvlText w:val="(%1)"/>
      <w:numFmt w:val="lowerRoman"/>
      <w:start w:val="1"/>
    </w:lvl>
  </w:abstractNum>
  <w:abstractNum w:abstractNumId="96">
    <w:nsid w:val="1F461B51"/>
    <w:multiLevelType w:val="hybridMultilevel"/>
    <w:lvl w:ilvl="0">
      <w:lvlJc w:val="left"/>
      <w:lvlText w:val="•"/>
      <w:numFmt w:val="bullet"/>
      <w:start w:val="1"/>
    </w:lvl>
  </w:abstractNum>
  <w:abstractNum w:abstractNumId="97">
    <w:nsid w:val="29BACF25"/>
    <w:multiLevelType w:val="hybridMultilevel"/>
    <w:lvl w:ilvl="0">
      <w:lvlJc w:val="left"/>
      <w:lvlText w:val="•"/>
      <w:numFmt w:val="bullet"/>
      <w:start w:val="1"/>
    </w:lvl>
    <w:lvl w:ilvl="1">
      <w:lvlJc w:val="left"/>
      <w:lvlText w:val="(%2)"/>
      <w:numFmt w:val="decimal"/>
      <w:start w:val="1"/>
    </w:lvl>
  </w:abstractNum>
  <w:abstractNum w:abstractNumId="98">
    <w:nsid w:val="5D5BABB3"/>
    <w:multiLevelType w:val="hybridMultilevel"/>
    <w:lvl w:ilvl="0">
      <w:lvlJc w:val="left"/>
      <w:lvlText w:val="•"/>
      <w:numFmt w:val="bullet"/>
      <w:start w:val="1"/>
    </w:lvl>
    <w:lvl w:ilvl="1">
      <w:lvlJc w:val="left"/>
      <w:lvlText w:val="(%2)"/>
      <w:numFmt w:val="lowerRoman"/>
      <w:start w:val="1"/>
    </w:lvl>
    <w:lvl w:ilvl="2">
      <w:lvlJc w:val="left"/>
      <w:lvlText w:val="•"/>
      <w:numFmt w:val="bullet"/>
      <w:start w:val="1"/>
    </w:lvl>
  </w:abstractNum>
  <w:abstractNum w:abstractNumId="99">
    <w:nsid w:val="51BF6B48"/>
    <w:multiLevelType w:val="hybridMultilevel"/>
    <w:lvl w:ilvl="0">
      <w:lvlJc w:val="left"/>
      <w:lvlText w:val="•"/>
      <w:numFmt w:val="bullet"/>
      <w:start w:val="1"/>
    </w:lvl>
  </w:abstractNum>
  <w:abstractNum w:abstractNumId="100">
    <w:nsid w:val="7E0F6384"/>
    <w:multiLevelType w:val="hybridMultilevel"/>
    <w:lvl w:ilvl="0">
      <w:lvlJc w:val="left"/>
      <w:lvlText w:val="•"/>
      <w:numFmt w:val="bullet"/>
      <w:start w:val="1"/>
    </w:lvl>
  </w:abstractNum>
  <w:abstractNum w:abstractNumId="101">
    <w:nsid w:val="2B4B8B53"/>
    <w:multiLevelType w:val="hybridMultilevel"/>
    <w:lvl w:ilvl="0">
      <w:lvlJc w:val="left"/>
      <w:lvlText w:val="•"/>
      <w:numFmt w:val="bullet"/>
      <w:start w:val="1"/>
    </w:lvl>
  </w:abstractNum>
  <w:abstractNum w:abstractNumId="102">
    <w:nsid w:val="72E3413A"/>
    <w:multiLevelType w:val="hybridMultilevel"/>
    <w:lvl w:ilvl="0">
      <w:lvlJc w:val="left"/>
      <w:lvlText w:val="•"/>
      <w:numFmt w:val="bullet"/>
      <w:start w:val="1"/>
    </w:lvl>
  </w:abstractNum>
  <w:abstractNum w:abstractNumId="103">
    <w:nsid w:val="116AE494"/>
    <w:multiLevelType w:val="hybridMultilevel"/>
    <w:lvl w:ilvl="0">
      <w:lvlJc w:val="left"/>
      <w:lvlText w:val="•"/>
      <w:numFmt w:val="bullet"/>
      <w:start w:val="1"/>
    </w:lvl>
  </w:abstractNum>
  <w:abstractNum w:abstractNumId="104">
    <w:nsid w:val="3494B2FB"/>
    <w:multiLevelType w:val="hybridMultilevel"/>
    <w:lvl w:ilvl="0">
      <w:lvlJc w:val="left"/>
      <w:lvlText w:val="(%1)"/>
      <w:numFmt w:val="lowerRoman"/>
      <w:start w:val="3"/>
    </w:lvl>
  </w:abstractNum>
  <w:abstractNum w:abstractNumId="105">
    <w:nsid w:val="B13A31"/>
    <w:multiLevelType w:val="hybridMultilevel"/>
    <w:lvl w:ilvl="0">
      <w:lvlJc w:val="left"/>
      <w:lvlText w:val="•"/>
      <w:numFmt w:val="bullet"/>
      <w:start w:val="1"/>
    </w:lvl>
  </w:abstractNum>
  <w:abstractNum w:abstractNumId="106">
    <w:nsid w:val="64429599"/>
    <w:multiLevelType w:val="hybridMultilevel"/>
    <w:lvl w:ilvl="0">
      <w:lvlJc w:val="left"/>
      <w:lvlText w:val="•"/>
      <w:numFmt w:val="bullet"/>
      <w:start w:val="1"/>
    </w:lvl>
  </w:abstractNum>
  <w:abstractNum w:abstractNumId="107">
    <w:nsid w:val="631F1690"/>
    <w:multiLevelType w:val="hybridMultilevel"/>
    <w:lvl w:ilvl="0">
      <w:lvlJc w:val="left"/>
      <w:lvlText w:val="•"/>
      <w:numFmt w:val="bullet"/>
      <w:start w:val="1"/>
    </w:lvl>
  </w:abstractNum>
  <w:abstractNum w:abstractNumId="108">
    <w:nsid w:val="25973E32"/>
    <w:multiLevelType w:val="hybridMultilevel"/>
    <w:lvl w:ilvl="0">
      <w:lvlJc w:val="left"/>
      <w:lvlText w:val="•"/>
      <w:numFmt w:val="bullet"/>
      <w:start w:val="1"/>
    </w:lvl>
  </w:abstractNum>
  <w:abstractNum w:abstractNumId="109">
    <w:nsid w:val="EAD6F57"/>
    <w:multiLevelType w:val="hybridMultilevel"/>
    <w:lvl w:ilvl="0">
      <w:lvlJc w:val="left"/>
      <w:lvlText w:val="•"/>
      <w:numFmt w:val="bullet"/>
      <w:start w:val="1"/>
    </w:lvl>
  </w:abstractNum>
  <w:abstractNum w:abstractNumId="110">
    <w:nsid w:val="6EC9D844"/>
    <w:multiLevelType w:val="hybridMultilevel"/>
    <w:lvl w:ilvl="0">
      <w:lvlJc w:val="left"/>
      <w:lvlText w:val="•"/>
      <w:numFmt w:val="bullet"/>
      <w:start w:val="1"/>
    </w:lvl>
  </w:abstractNum>
  <w:abstractNum w:abstractNumId="111">
    <w:nsid w:val="5C49EAEE"/>
    <w:multiLevelType w:val="hybridMultilevel"/>
    <w:lvl w:ilvl="0">
      <w:lvlJc w:val="left"/>
      <w:lvlText w:val="•"/>
      <w:numFmt w:val="bullet"/>
      <w:start w:val="1"/>
    </w:lvl>
  </w:abstractNum>
  <w:abstractNum w:abstractNumId="112">
    <w:nsid w:val="64AF49B"/>
    <w:multiLevelType w:val="hybridMultilevel"/>
    <w:lvl w:ilvl="0">
      <w:lvlJc w:val="left"/>
      <w:lvlText w:val="•"/>
      <w:numFmt w:val="bullet"/>
      <w:start w:val="1"/>
    </w:lvl>
  </w:abstractNum>
  <w:abstractNum w:abstractNumId="113">
    <w:nsid w:val="397C46BC"/>
    <w:multiLevelType w:val="hybridMultilevel"/>
    <w:lvl w:ilvl="0">
      <w:lvlJc w:val="left"/>
      <w:lvlText w:val="•"/>
      <w:numFmt w:val="bullet"/>
      <w:start w:val="1"/>
    </w:lvl>
  </w:abstractNum>
  <w:abstractNum w:abstractNumId="114">
    <w:nsid w:val="7E448DE9"/>
    <w:multiLevelType w:val="hybridMultilevel"/>
    <w:lvl w:ilvl="0">
      <w:lvlJc w:val="left"/>
      <w:lvlText w:val="•"/>
      <w:numFmt w:val="bullet"/>
      <w:start w:val="1"/>
    </w:lvl>
  </w:abstractNum>
  <w:abstractNum w:abstractNumId="115">
    <w:nsid w:val="5A9CC3E5"/>
    <w:multiLevelType w:val="hybridMultilevel"/>
    <w:lvl w:ilvl="0">
      <w:lvlJc w:val="left"/>
      <w:lvlText w:val="•"/>
      <w:numFmt w:val="bullet"/>
      <w:start w:val="1"/>
    </w:lvl>
  </w:abstractNum>
  <w:abstractNum w:abstractNumId="116">
    <w:nsid w:val="1AFE3625"/>
    <w:multiLevelType w:val="hybridMultilevel"/>
    <w:lvl w:ilvl="0">
      <w:lvlJc w:val="left"/>
      <w:lvlText w:val="•"/>
      <w:numFmt w:val="bullet"/>
      <w:start w:val="1"/>
    </w:lvl>
  </w:abstractNum>
  <w:abstractNum w:abstractNumId="117">
    <w:nsid w:val="3CA88ECF"/>
    <w:multiLevelType w:val="hybridMultilevel"/>
    <w:lvl w:ilvl="0">
      <w:lvlJc w:val="left"/>
      <w:lvlText w:val="•"/>
      <w:numFmt w:val="bullet"/>
      <w:start w:val="1"/>
    </w:lvl>
  </w:abstractNum>
  <w:abstractNum w:abstractNumId="118">
    <w:nsid w:val="6EBE4208"/>
    <w:multiLevelType w:val="hybridMultilevel"/>
    <w:lvl w:ilvl="0">
      <w:lvlJc w:val="left"/>
      <w:lvlText w:val="•"/>
      <w:numFmt w:val="bullet"/>
      <w:start w:val="1"/>
    </w:lvl>
  </w:abstractNum>
  <w:abstractNum w:abstractNumId="119">
    <w:nsid w:val="C058DF5"/>
    <w:multiLevelType w:val="hybridMultilevel"/>
    <w:lvl w:ilvl="0">
      <w:lvlJc w:val="left"/>
      <w:lvlText w:val="•"/>
      <w:numFmt w:val="bullet"/>
      <w:start w:val="1"/>
    </w:lvl>
  </w:abstractNum>
  <w:abstractNum w:abstractNumId="120">
    <w:nsid w:val="CBE5BE9"/>
    <w:multiLevelType w:val="hybridMultilevel"/>
    <w:lvl w:ilvl="0">
      <w:lvlJc w:val="left"/>
      <w:lvlText w:val="(%1)"/>
      <w:numFmt w:val="lowerLetter"/>
      <w:start w:val="1"/>
    </w:lvl>
  </w:abstractNum>
  <w:abstractNum w:abstractNumId="121">
    <w:nsid w:val="3102BBE2"/>
    <w:multiLevelType w:val="hybridMultilevel"/>
    <w:lvl w:ilvl="0">
      <w:lvlJc w:val="left"/>
      <w:lvlText w:val="(%1)"/>
      <w:numFmt w:val="lowerLetter"/>
      <w:start w:val="1"/>
    </w:lvl>
  </w:abstractNum>
  <w:abstractNum w:abstractNumId="122">
    <w:nsid w:val="26A02C5E"/>
    <w:multiLevelType w:val="hybridMultilevel"/>
    <w:lvl w:ilvl="0">
      <w:lvlJc w:val="left"/>
      <w:lvlText w:val="(%1)"/>
      <w:numFmt w:val="lowerLetter"/>
      <w:start w:val="4"/>
    </w:lvl>
  </w:abstractNum>
  <w:abstractNum w:abstractNumId="123">
    <w:nsid w:val="541C8153"/>
    <w:multiLevelType w:val="hybridMultilevel"/>
    <w:lvl w:ilvl="0">
      <w:lvlJc w:val="left"/>
      <w:lvlText w:val="(%1)"/>
      <w:numFmt w:val="lowerRoman"/>
      <w:start w:val="2"/>
    </w:lvl>
  </w:abstractNum>
  <w:abstractNum w:abstractNumId="124">
    <w:nsid w:val="67906F60"/>
    <w:multiLevelType w:val="hybridMultilevel"/>
    <w:lvl w:ilvl="0">
      <w:lvlJc w:val="left"/>
      <w:lvlText w:val="•"/>
      <w:numFmt w:val="bullet"/>
      <w:start w:val="1"/>
    </w:lvl>
  </w:abstractNum>
  <w:abstractNum w:abstractNumId="125">
    <w:nsid w:val="10DB9DAA"/>
    <w:multiLevelType w:val="hybridMultilevel"/>
    <w:lvl w:ilvl="0">
      <w:lvlJc w:val="left"/>
      <w:lvlText w:val="•"/>
      <w:numFmt w:val="bullet"/>
      <w:start w:val="1"/>
    </w:lvl>
  </w:abstractNum>
  <w:abstractNum w:abstractNumId="126">
    <w:nsid w:val="697D2D2"/>
    <w:multiLevelType w:val="hybridMultilevel"/>
    <w:lvl w:ilvl="0">
      <w:lvlJc w:val="left"/>
      <w:lvlText w:val="(%1)"/>
      <w:numFmt w:val="lowerLetter"/>
      <w:start w:val="2"/>
    </w:lvl>
  </w:abstractNum>
  <w:abstractNum w:abstractNumId="127">
    <w:nsid w:val="6D68AB2"/>
    <w:multiLevelType w:val="hybridMultilevel"/>
    <w:lvl w:ilvl="0">
      <w:lvlJc w:val="left"/>
      <w:lvlText w:val="(%1)"/>
      <w:numFmt w:val="lowerLetter"/>
      <w:start w:val="5"/>
    </w:lvl>
  </w:abstractNum>
  <w:abstractNum w:abstractNumId="128">
    <w:nsid w:val="3A966CD0"/>
    <w:multiLevelType w:val="hybridMultilevel"/>
    <w:lvl w:ilvl="0">
      <w:lvlJc w:val="left"/>
      <w:lvlText w:val="(%1)"/>
      <w:numFmt w:val="lowerRoman"/>
      <w:start w:val="1"/>
    </w:lvl>
  </w:abstractNum>
  <w:abstractNum w:abstractNumId="129">
    <w:nsid w:val="63F37E85"/>
    <w:multiLevelType w:val="hybridMultilevel"/>
    <w:lvl w:ilvl="0">
      <w:lvlJc w:val="left"/>
      <w:lvlText w:val="%1."/>
      <w:numFmt w:val="decimal"/>
      <w:start w:val="1"/>
    </w:lvl>
    <w:lvl w:ilvl="1">
      <w:lvlJc w:val="left"/>
      <w:lvlText w:val="(%2)"/>
      <w:numFmt w:val="lowerLetter"/>
      <w:start w:val="1"/>
    </w:lvl>
  </w:abstractNum>
  <w:abstractNum w:abstractNumId="130">
    <w:nsid w:val="5895F5FA"/>
    <w:multiLevelType w:val="hybridMultilevel"/>
    <w:lvl w:ilvl="0">
      <w:lvlJc w:val="left"/>
      <w:lvlText w:val="(%1)"/>
      <w:numFmt w:val="lowerRoman"/>
      <w:start w:val="2"/>
    </w:lvl>
  </w:abstractNum>
  <w:abstractNum w:abstractNumId="131">
    <w:nsid w:val="38A5D054"/>
    <w:multiLevelType w:val="hybridMultilevel"/>
    <w:lvl w:ilvl="0">
      <w:lvlJc w:val="left"/>
      <w:lvlText w:val="*"/>
      <w:numFmt w:val="bullet"/>
      <w:start w:val="1"/>
    </w:lvl>
  </w:abstractNum>
  <w:abstractNum w:abstractNumId="132">
    <w:nsid w:val="F3F09D8"/>
    <w:multiLevelType w:val="hybridMultilevel"/>
    <w:lvl w:ilvl="0">
      <w:lvlJc w:val="left"/>
      <w:lvlText w:val="-"/>
      <w:numFmt w:val="bullet"/>
      <w:start w:val="1"/>
    </w:lvl>
  </w:abstractNum>
  <w:abstractNum w:abstractNumId="133">
    <w:nsid w:val="4B793735"/>
    <w:multiLevelType w:val="hybridMultilevel"/>
    <w:lvl w:ilvl="0">
      <w:lvlJc w:val="left"/>
      <w:lvlText w:val="(%1)"/>
      <w:numFmt w:val="lowerLetter"/>
      <w:start w:val="3"/>
    </w:lvl>
  </w:abstractNum>
  <w:abstractNum w:abstractNumId="134">
    <w:nsid w:val="4A10B4E8"/>
    <w:multiLevelType w:val="hybridMultilevel"/>
    <w:lvl w:ilvl="0">
      <w:lvlJc w:val="left"/>
      <w:lvlText w:val="(%1)"/>
      <w:numFmt w:val="lowerRoman"/>
      <w:start w:val="1"/>
    </w:lvl>
  </w:abstractNum>
  <w:abstractNum w:abstractNumId="135">
    <w:nsid w:val="43D3BCD4"/>
    <w:multiLevelType w:val="hybridMultilevel"/>
    <w:lvl w:ilvl="0">
      <w:lvlJc w:val="left"/>
      <w:lvlText w:val="(%1)"/>
      <w:numFmt w:val="lowerLetter"/>
      <w:start w:val="4"/>
    </w:lvl>
  </w:abstractNum>
  <w:abstractNum w:abstractNumId="136">
    <w:nsid w:val="4C2A7166"/>
    <w:multiLevelType w:val="hybridMultilevel"/>
    <w:lvl w:ilvl="0">
      <w:lvlJc w:val="left"/>
      <w:lvlText w:val="(%1)"/>
      <w:numFmt w:val="lowerLetter"/>
      <w:start w:val="5"/>
    </w:lvl>
  </w:abstractNum>
  <w:abstractNum w:abstractNumId="137">
    <w:nsid w:val="2E534A82"/>
    <w:multiLevelType w:val="hybridMultilevel"/>
    <w:lvl w:ilvl="0">
      <w:lvlJc w:val="left"/>
      <w:lvlText w:val="(%1)"/>
      <w:numFmt w:val="lowerLetter"/>
      <w:start w:val="6"/>
    </w:lvl>
  </w:abstractNum>
  <w:abstractNum w:abstractNumId="138">
    <w:nsid w:val="26F2D364"/>
    <w:multiLevelType w:val="hybridMultilevel"/>
    <w:lvl w:ilvl="0">
      <w:lvlJc w:val="left"/>
      <w:lvlText w:val="(%1)"/>
      <w:numFmt w:val="lowerLetter"/>
      <w:start w:val="7"/>
    </w:lvl>
  </w:abstractNum>
  <w:abstractNum w:abstractNumId="139">
    <w:nsid w:val="71C1AF98"/>
    <w:multiLevelType w:val="hybridMultilevel"/>
    <w:lvl w:ilvl="0">
      <w:lvlJc w:val="left"/>
      <w:lvlText w:val="(%1)"/>
      <w:numFmt w:val="lowerRoman"/>
      <w:start w:val="1"/>
    </w:lvl>
  </w:abstractNum>
  <w:abstractNum w:abstractNumId="140">
    <w:nsid w:val="3D00B9D9"/>
    <w:multiLevelType w:val="hybridMultilevel"/>
    <w:lvl w:ilvl="0">
      <w:lvlJc w:val="left"/>
      <w:lvlText w:val="(%1)"/>
      <w:numFmt w:val="lowerRoman"/>
      <w:start w:val="2"/>
    </w:lvl>
  </w:abstractNum>
  <w:abstractNum w:abstractNumId="141">
    <w:nsid w:val="15BCABA8"/>
    <w:multiLevelType w:val="hybridMultilevel"/>
    <w:lvl w:ilvl="0">
      <w:lvlJc w:val="left"/>
      <w:lvlText w:val="(%1)"/>
      <w:numFmt w:val="lowerLetter"/>
      <w:start w:val="8"/>
    </w:lvl>
  </w:abstractNum>
  <w:abstractNum w:abstractNumId="142">
    <w:nsid w:val="4E0B9A87"/>
    <w:multiLevelType w:val="hybridMultilevel"/>
    <w:lvl w:ilvl="0">
      <w:lvlJc w:val="left"/>
      <w:lvlText w:val="-"/>
      <w:numFmt w:val="bullet"/>
      <w:start w:val="1"/>
    </w:lvl>
  </w:abstractNum>
  <w:abstractNum w:abstractNumId="143">
    <w:nsid w:val="434BAE75"/>
    <w:multiLevelType w:val="hybridMultilevel"/>
    <w:lvl w:ilvl="0">
      <w:lvlJc w:val="left"/>
      <w:lvlText w:val="-"/>
      <w:numFmt w:val="bullet"/>
      <w:start w:val="1"/>
    </w:lvl>
  </w:abstractNum>
  <w:abstractNum w:abstractNumId="144">
    <w:nsid w:val="4F38F265"/>
    <w:multiLevelType w:val="hybridMultilevel"/>
    <w:lvl w:ilvl="0">
      <w:lvlJc w:val="left"/>
      <w:lvlText w:val="(%1)"/>
      <w:numFmt w:val="lowerRoman"/>
      <w:start w:val="2"/>
    </w:lvl>
  </w:abstractNum>
  <w:abstractNum w:abstractNumId="145">
    <w:nsid w:val="4C502870"/>
    <w:multiLevelType w:val="hybridMultilevel"/>
    <w:lvl w:ilvl="0">
      <w:lvlJc w:val="left"/>
      <w:lvlText w:val="-"/>
      <w:numFmt w:val="bullet"/>
      <w:start w:val="1"/>
    </w:lvl>
  </w:abstractNum>
  <w:abstractNum w:abstractNumId="146">
    <w:nsid w:val="1DE8725A"/>
    <w:multiLevelType w:val="hybridMultilevel"/>
    <w:lvl w:ilvl="0">
      <w:lvlJc w:val="left"/>
      <w:lvlText w:val="-"/>
      <w:numFmt w:val="bullet"/>
      <w:start w:val="1"/>
    </w:lvl>
  </w:abstractNum>
  <w:abstractNum w:abstractNumId="147">
    <w:nsid w:val="6A37288A"/>
    <w:multiLevelType w:val="hybridMultilevel"/>
    <w:lvl w:ilvl="0">
      <w:lvlJc w:val="left"/>
      <w:lvlText w:val="(%1)"/>
      <w:numFmt w:val="lowerRoman"/>
      <w:start w:val="1"/>
    </w:lvl>
  </w:abstractNum>
  <w:abstractNum w:abstractNumId="148">
    <w:nsid w:val="8F8B73F"/>
    <w:multiLevelType w:val="hybridMultilevel"/>
    <w:lvl w:ilvl="0">
      <w:lvlJc w:val="left"/>
      <w:lvlText w:val="(%1)"/>
      <w:numFmt w:val="lowerLetter"/>
      <w:start w:val="10"/>
    </w:lvl>
  </w:abstractNum>
  <w:abstractNum w:abstractNumId="149">
    <w:nsid w:val="CA6B462"/>
    <w:multiLevelType w:val="hybridMultilevel"/>
    <w:lvl w:ilvl="0">
      <w:lvlJc w:val="left"/>
      <w:lvlText w:val="(%1)"/>
      <w:numFmt w:val="lowerLetter"/>
      <w:start w:val="11"/>
    </w:lvl>
  </w:abstractNum>
  <w:abstractNum w:abstractNumId="150">
    <w:nsid w:val="763CB680"/>
    <w:multiLevelType w:val="hybridMultilevel"/>
    <w:lvl w:ilvl="0">
      <w:lvlJc w:val="left"/>
      <w:lvlText w:val="(%1)"/>
      <w:numFmt w:val="lowerLetter"/>
      <w:start w:val="12"/>
    </w:lvl>
  </w:abstractNum>
  <w:abstractNum w:abstractNumId="151">
    <w:nsid w:val="15B71329"/>
    <w:multiLevelType w:val="hybridMultilevel"/>
    <w:lvl w:ilvl="0">
      <w:lvlJc w:val="left"/>
      <w:lvlText w:val="(%1)"/>
      <w:numFmt w:val="lowerLetter"/>
      <w:start w:val="14"/>
    </w:lvl>
  </w:abstractNum>
  <w:abstractNum w:abstractNumId="152">
    <w:nsid w:val="3DA97044"/>
    <w:multiLevelType w:val="hybridMultilevel"/>
    <w:lvl w:ilvl="0">
      <w:lvlJc w:val="left"/>
      <w:lvlText w:val="(%1)"/>
      <w:numFmt w:val="lowerLetter"/>
      <w:start w:val="15"/>
    </w:lvl>
  </w:abstractNum>
  <w:abstractNum w:abstractNumId="153">
    <w:nsid w:val="1CDCE2DE"/>
    <w:multiLevelType w:val="hybridMultilevel"/>
    <w:lvl w:ilvl="0">
      <w:lvlJc w:val="left"/>
      <w:lvlText w:val="(%1)"/>
      <w:numFmt w:val="lowerLetter"/>
      <w:start w:val="16"/>
    </w:lvl>
  </w:abstractNum>
  <w:abstractNum w:abstractNumId="154">
    <w:nsid w:val="69D3947C"/>
    <w:multiLevelType w:val="hybridMultilevel"/>
    <w:lvl w:ilvl="0">
      <w:lvlJc w:val="left"/>
      <w:lvlText w:val="(%1)"/>
      <w:numFmt w:val="lowerLetter"/>
      <w:start w:val="17"/>
    </w:lvl>
  </w:abstractNum>
  <w:abstractNum w:abstractNumId="155">
    <w:nsid w:val="2539DFA5"/>
    <w:multiLevelType w:val="hybridMultilevel"/>
    <w:lvl w:ilvl="0">
      <w:lvlJc w:val="left"/>
      <w:lvlText w:val="(%1)"/>
      <w:numFmt w:val="lowerRoman"/>
      <w:start w:val="1"/>
    </w:lvl>
  </w:abstractNum>
  <w:abstractNum w:abstractNumId="156">
    <w:nsid w:val="2DB88089"/>
    <w:multiLevelType w:val="hybridMultilevel"/>
    <w:lvl w:ilvl="0">
      <w:lvlJc w:val="left"/>
      <w:lvlText w:val="(%1)"/>
      <w:numFmt w:val="lowerRoman"/>
      <w:start w:val="2"/>
    </w:lvl>
  </w:abstractNum>
  <w:abstractNum w:abstractNumId="157">
    <w:nsid w:val="706B674E"/>
    <w:multiLevelType w:val="hybridMultilevel"/>
    <w:lvl w:ilvl="0">
      <w:lvlJc w:val="left"/>
      <w:lvlText w:val="(%1)"/>
      <w:numFmt w:val="lowerLetter"/>
      <w:start w:val="18"/>
    </w:lvl>
  </w:abstractNum>
  <w:abstractNum w:abstractNumId="158">
    <w:nsid w:val="2C106A57"/>
    <w:multiLevelType w:val="hybridMultilevel"/>
    <w:lvl w:ilvl="0">
      <w:lvlJc w:val="left"/>
      <w:lvlText w:val="(%1)"/>
      <w:numFmt w:val="lowerLetter"/>
      <w:start w:val="19"/>
    </w:lvl>
  </w:abstractNum>
  <w:abstractNum w:abstractNumId="159">
    <w:nsid w:val="684EED59"/>
    <w:multiLevelType w:val="hybridMultilevel"/>
    <w:lvl w:ilvl="0">
      <w:lvlJc w:val="left"/>
      <w:lvlText w:val="(%1)"/>
      <w:numFmt w:val="lowerRoman"/>
      <w:start w:val="1"/>
    </w:lvl>
  </w:abstractNum>
  <w:abstractNum w:abstractNumId="160">
    <w:nsid w:val="545EE5D3"/>
    <w:multiLevelType w:val="hybridMultilevel"/>
    <w:lvl w:ilvl="0">
      <w:lvlJc w:val="left"/>
      <w:lvlText w:val="(%1)"/>
      <w:numFmt w:val="lowerRoman"/>
      <w:start w:val="2"/>
    </w:lvl>
  </w:abstractNum>
  <w:abstractNum w:abstractNumId="161">
    <w:nsid w:val="4A66051"/>
    <w:multiLevelType w:val="hybridMultilevel"/>
    <w:lvl w:ilvl="0">
      <w:lvlJc w:val="left"/>
      <w:lvlText w:val="(%1)"/>
      <w:numFmt w:val="lowerLetter"/>
      <w:start w:val="20"/>
    </w:lvl>
  </w:abstractNum>
  <w:abstractNum w:abstractNumId="162">
    <w:nsid w:val="20F4BDAD"/>
    <w:multiLevelType w:val="hybridMultilevel"/>
    <w:lvl w:ilvl="0">
      <w:lvlJc w:val="left"/>
      <w:lvlText w:val="(%1)"/>
      <w:numFmt w:val="lowerLetter"/>
      <w:start w:val="21"/>
    </w:lvl>
  </w:abstractNum>
  <w:abstractNum w:abstractNumId="163">
    <w:nsid w:val="639DEFAC"/>
    <w:multiLevelType w:val="hybridMultilevel"/>
    <w:lvl w:ilvl="0">
      <w:lvlJc w:val="left"/>
      <w:lvlText w:val="(%1)"/>
      <w:numFmt w:val="lowerRoman"/>
      <w:start w:val="1"/>
    </w:lvl>
  </w:abstractNum>
  <w:abstractNum w:abstractNumId="164">
    <w:nsid w:val="501F9786"/>
    <w:multiLevelType w:val="hybridMultilevel"/>
    <w:lvl w:ilvl="0">
      <w:lvlJc w:val="left"/>
      <w:lvlText w:val="(%1)"/>
      <w:numFmt w:val="lowerRoman"/>
      <w:start w:val="2"/>
    </w:lvl>
  </w:abstractNum>
  <w:abstractNum w:abstractNumId="165">
    <w:nsid w:val="6B057295"/>
    <w:multiLevelType w:val="hybridMultilevel"/>
    <w:lvl w:ilvl="0">
      <w:lvlJc w:val="left"/>
      <w:lvlText w:val="(%1)"/>
      <w:numFmt w:val="lowerRoman"/>
      <w:start w:val="5"/>
    </w:lvl>
  </w:abstractNum>
  <w:abstractNum w:abstractNumId="166">
    <w:nsid w:val="2771AC80"/>
    <w:multiLevelType w:val="hybridMultilevel"/>
    <w:lvl w:ilvl="0">
      <w:lvlJc w:val="left"/>
      <w:lvlText w:val="-"/>
      <w:numFmt w:val="bullet"/>
      <w:start w:val="1"/>
    </w:lvl>
  </w:abstractNum>
  <w:abstractNum w:abstractNumId="167">
    <w:nsid w:val="1C4A08EC"/>
    <w:multiLevelType w:val="hybridMultilevel"/>
    <w:lvl w:ilvl="0">
      <w:lvlJc w:val="left"/>
      <w:lvlText w:val="(%1)"/>
      <w:numFmt w:val="lowerLetter"/>
      <w:start w:val="23"/>
    </w:lvl>
  </w:abstractNum>
  <w:abstractNum w:abstractNumId="168">
    <w:nsid w:val="1958BD17"/>
    <w:multiLevelType w:val="hybridMultilevel"/>
    <w:lvl w:ilvl="0">
      <w:lvlJc w:val="left"/>
      <w:lvlText w:val="(%1)"/>
      <w:numFmt w:val="lowerRoman"/>
      <w:start w:val="10"/>
    </w:lvl>
  </w:abstractNum>
  <w:abstractNum w:abstractNumId="169">
    <w:nsid w:val="4E647FE4"/>
    <w:multiLevelType w:val="hybridMultilevel"/>
    <w:lvl w:ilvl="0">
      <w:lvlJc w:val="left"/>
      <w:lvlText w:val="•"/>
      <w:numFmt w:val="bullet"/>
      <w:start w:val="1"/>
    </w:lvl>
  </w:abstractNum>
  <w:abstractNum w:abstractNumId="170">
    <w:nsid w:val="E0BB885"/>
    <w:multiLevelType w:val="hybridMultilevel"/>
    <w:lvl w:ilvl="0">
      <w:lvlJc w:val="left"/>
      <w:lvlText w:val="(%1)"/>
      <w:numFmt w:val="lowerRoman"/>
      <w:start w:val="1"/>
    </w:lvl>
  </w:abstractNum>
  <w:abstractNum w:abstractNumId="171">
    <w:nsid w:val="565976F1"/>
    <w:multiLevelType w:val="hybridMultilevel"/>
    <w:lvl w:ilvl="0">
      <w:lvlJc w:val="left"/>
      <w:lvlText w:val="(%1)"/>
      <w:numFmt w:val="lowerRoman"/>
      <w:start w:val="2"/>
    </w:lvl>
  </w:abstractNum>
  <w:abstractNum w:abstractNumId="172">
    <w:nsid w:val="64212B8C"/>
    <w:multiLevelType w:val="hybridMultilevel"/>
    <w:lvl w:ilvl="0">
      <w:lvlJc w:val="left"/>
      <w:lvlText w:val="(%1)"/>
      <w:numFmt w:val="lowerLetter"/>
      <w:start w:val="25"/>
    </w:lvl>
  </w:abstractNum>
  <w:abstractNum w:abstractNumId="173">
    <w:nsid w:val="5C17530C"/>
    <w:multiLevelType w:val="hybridMultilevel"/>
    <w:lvl w:ilvl="0">
      <w:lvlJc w:val="left"/>
      <w:lvlText w:val="(%1)"/>
      <w:numFmt w:val="lowerLetter"/>
      <w:start w:val="26"/>
    </w:lvl>
  </w:abstractNum>
  <w:abstractNum w:abstractNumId="174">
    <w:nsid w:val="19A52566"/>
    <w:multiLevelType w:val="hybridMultilevel"/>
    <w:lvl w:ilvl="0">
      <w:lvlJc w:val="left"/>
      <w:lvlText w:val="(%1)"/>
      <w:numFmt w:val="lowerLetter"/>
      <w:start w:val="1"/>
    </w:lvl>
    <w:lvl w:ilvl="1">
      <w:lvlJc w:val="left"/>
      <w:lvlText w:val="(%2)"/>
      <w:numFmt w:val="lowerRoman"/>
      <w:start w:val="1"/>
    </w:lvl>
  </w:abstractNum>
  <w:abstractNum w:abstractNumId="175">
    <w:nsid w:val="335A1DF1"/>
    <w:multiLevelType w:val="hybridMultilevel"/>
    <w:lvl w:ilvl="0">
      <w:lvlJc w:val="left"/>
      <w:lvlText w:val="3"/>
      <w:numFmt w:val="bullet"/>
      <w:start w:val="1"/>
    </w:lvl>
  </w:abstractNum>
  <w:abstractNum w:abstractNumId="176">
    <w:nsid w:val="28677B7C"/>
    <w:multiLevelType w:val="hybridMultilevel"/>
    <w:lvl w:ilvl="0">
      <w:lvlJc w:val="left"/>
      <w:lvlText w:val="(%1)"/>
      <w:numFmt w:val="lowerLetter"/>
      <w:start w:val="1"/>
    </w:lvl>
  </w:abstractNum>
  <w:abstractNum w:abstractNumId="177">
    <w:nsid w:val="378D97C0"/>
    <w:multiLevelType w:val="hybridMultilevel"/>
    <w:lvl w:ilvl="0">
      <w:lvlJc w:val="left"/>
      <w:lvlText w:val="(%1)"/>
      <w:numFmt w:val="lowerLetter"/>
      <w:start w:val="2"/>
    </w:lvl>
  </w:abstractNum>
  <w:abstractNum w:abstractNumId="178">
    <w:nsid w:val="1D91467C"/>
    <w:multiLevelType w:val="hybridMultilevel"/>
    <w:lvl w:ilvl="0">
      <w:lvlJc w:val="left"/>
      <w:lvlText w:val="(%1)"/>
      <w:numFmt w:val="lowerLetter"/>
      <w:start w:val="3"/>
    </w:lvl>
  </w:abstractNum>
  <w:abstractNum w:abstractNumId="179">
    <w:nsid w:val="316032BB"/>
    <w:multiLevelType w:val="hybridMultilevel"/>
    <w:lvl w:ilvl="0">
      <w:lvlJc w:val="left"/>
      <w:lvlText w:val="(%1)"/>
      <w:numFmt w:val="lowerLetter"/>
      <w:start w:val="4"/>
    </w:lvl>
  </w:abstractNum>
  <w:abstractNum w:abstractNumId="180">
    <w:nsid w:val="44344C22"/>
    <w:multiLevelType w:val="hybridMultilevel"/>
    <w:lvl w:ilvl="0">
      <w:lvlJc w:val="left"/>
      <w:lvlText w:val="4"/>
      <w:numFmt w:val="bullet"/>
      <w:start w:val="1"/>
    </w:lvl>
  </w:abstractNum>
  <w:abstractNum w:abstractNumId="181">
    <w:nsid w:val="13CDFCFC"/>
    <w:multiLevelType w:val="hybridMultilevel"/>
    <w:lvl w:ilvl="0">
      <w:lvlJc w:val="left"/>
      <w:lvlText w:val="5"/>
      <w:numFmt w:val="bullet"/>
      <w:start w:val="1"/>
    </w:lvl>
  </w:abstractNum>
  <w:abstractNum w:abstractNumId="182">
    <w:nsid w:val="471745E4"/>
    <w:multiLevelType w:val="hybridMultilevel"/>
    <w:lvl w:ilvl="0">
      <w:lvlJc w:val="left"/>
      <w:lvlText w:val="*"/>
      <w:numFmt w:val="bullet"/>
      <w:start w:val="1"/>
    </w:lvl>
  </w:abstractNum>
  <w:abstractNum w:abstractNumId="183">
    <w:nsid w:val="1DDBC66"/>
    <w:multiLevelType w:val="hybridMultilevel"/>
    <w:lvl w:ilvl="0">
      <w:lvlJc w:val="left"/>
      <w:lvlText w:val="9"/>
      <w:numFmt w:val="bullet"/>
      <w:start w:val="1"/>
    </w:lvl>
  </w:abstractNum>
  <w:abstractNum w:abstractNumId="184">
    <w:nsid w:val="30AADFDA"/>
    <w:multiLevelType w:val="hybridMultilevel"/>
    <w:lvl w:ilvl="0">
      <w:lvlJc w:val="left"/>
      <w:lvlText w:val="(%1)"/>
      <w:numFmt w:val="lowerLetter"/>
      <w:start w:val="1"/>
    </w:lvl>
  </w:abstractNum>
  <w:abstractNum w:abstractNumId="185">
    <w:nsid w:val="30EADA61"/>
    <w:multiLevelType w:val="hybridMultilevel"/>
    <w:lvl w:ilvl="0">
      <w:lvlJc w:val="left"/>
      <w:lvlText w:val="(%1)"/>
      <w:numFmt w:val="lowerRoman"/>
      <w:start w:val="1"/>
    </w:lvl>
  </w:abstractNum>
  <w:abstractNum w:abstractNumId="186">
    <w:nsid w:val="27179C0B"/>
    <w:multiLevelType w:val="hybridMultilevel"/>
    <w:lvl w:ilvl="0">
      <w:lvlJc w:val="left"/>
      <w:lvlText w:val="(%1)"/>
      <w:numFmt w:val="lowerRoman"/>
      <w:start w:val="2"/>
    </w:lvl>
  </w:abstractNum>
  <w:abstractNum w:abstractNumId="187">
    <w:nsid w:val="5E636063"/>
    <w:multiLevelType w:val="hybridMultilevel"/>
    <w:lvl w:ilvl="0">
      <w:lvlJc w:val="left"/>
      <w:lvlText w:val="(%1)"/>
      <w:numFmt w:val="lowerLetter"/>
      <w:start w:val="2"/>
    </w:lvl>
  </w:abstractNum>
  <w:abstractNum w:abstractNumId="188">
    <w:nsid w:val="215641AF"/>
    <w:multiLevelType w:val="hybridMultilevel"/>
    <w:lvl w:ilvl="0">
      <w:lvlJc w:val="left"/>
      <w:lvlText w:val="(%1)"/>
      <w:numFmt w:val="lowerLetter"/>
      <w:start w:val="3"/>
    </w:lvl>
  </w:abstractNum>
  <w:abstractNum w:abstractNumId="189">
    <w:nsid w:val="53280662"/>
    <w:multiLevelType w:val="hybridMultilevel"/>
    <w:lvl w:ilvl="0">
      <w:lvlJc w:val="left"/>
      <w:lvlText w:val="(%1)"/>
      <w:numFmt w:val="lowerLetter"/>
      <w:start w:val="4"/>
    </w:lvl>
  </w:abstractNum>
  <w:abstractNum w:abstractNumId="190">
    <w:nsid w:val="46B24DBC"/>
    <w:multiLevelType w:val="hybridMultilevel"/>
    <w:lvl w:ilvl="0">
      <w:lvlJc w:val="left"/>
      <w:lvlText w:val="(%1)"/>
      <w:numFmt w:val="lowerLetter"/>
      <w:start w:val="1"/>
    </w:lvl>
  </w:abstractNum>
  <w:abstractNum w:abstractNumId="191">
    <w:nsid w:val="75B52783"/>
    <w:multiLevelType w:val="hybridMultilevel"/>
    <w:lvl w:ilvl="0">
      <w:lvlJc w:val="left"/>
      <w:lvlText w:val="(%1)"/>
      <w:numFmt w:val="lowerRoman"/>
      <w:start w:val="1"/>
    </w:lvl>
  </w:abstractNum>
  <w:abstractNum w:abstractNumId="192">
    <w:nsid w:val="57CE66B4"/>
    <w:multiLevelType w:val="hybridMultilevel"/>
    <w:lvl w:ilvl="0">
      <w:lvlJc w:val="left"/>
      <w:lvlText w:val="(%1)"/>
      <w:numFmt w:val="lowerLetter"/>
      <w:start w:val="2"/>
    </w:lvl>
  </w:abstractNum>
  <w:abstractNum w:abstractNumId="193">
    <w:nsid w:val="67A70B69"/>
    <w:multiLevelType w:val="hybridMultilevel"/>
    <w:lvl w:ilvl="0">
      <w:lvlJc w:val="left"/>
      <w:lvlText w:val="(%1)"/>
      <w:numFmt w:val="lowerRoman"/>
      <w:start w:val="1"/>
    </w:lvl>
  </w:abstractNum>
  <w:abstractNum w:abstractNumId="194">
    <w:nsid w:val="5953172F"/>
    <w:multiLevelType w:val="hybridMultilevel"/>
    <w:lvl w:ilvl="0">
      <w:lvlJc w:val="left"/>
      <w:lvlText w:val="*"/>
      <w:numFmt w:val="bullet"/>
      <w:start w:val="1"/>
    </w:lvl>
  </w:abstractNum>
  <w:abstractNum w:abstractNumId="195">
    <w:nsid w:val="27EDFE3A"/>
    <w:multiLevelType w:val="hybridMultilevel"/>
    <w:lvl w:ilvl="0">
      <w:lvlJc w:val="left"/>
      <w:lvlText w:val="(%1)"/>
      <w:numFmt w:val="lowerLetter"/>
      <w:start w:val="2"/>
    </w:lvl>
  </w:abstractNum>
  <w:abstractNum w:abstractNumId="196">
    <w:nsid w:val="52AC7DFF"/>
    <w:multiLevelType w:val="hybridMultilevel"/>
    <w:lvl w:ilvl="0">
      <w:lvlJc w:val="left"/>
      <w:lvlText w:val="(%1)"/>
      <w:numFmt w:val="lowerLetter"/>
      <w:start w:val="1"/>
    </w:lvl>
  </w:abstractNum>
  <w:abstractNum w:abstractNumId="197">
    <w:nsid w:val="C4C3AF"/>
    <w:multiLevelType w:val="hybridMultilevel"/>
    <w:lvl w:ilvl="0">
      <w:lvlJc w:val="left"/>
      <w:lvlText w:val="(%1)"/>
      <w:numFmt w:val="lowerLetter"/>
      <w:start w:val="3"/>
    </w:lvl>
  </w:abstractNum>
  <w:abstractNum w:abstractNumId="198">
    <w:nsid w:val="44380727"/>
    <w:multiLevelType w:val="hybridMultilevel"/>
    <w:lvl w:ilvl="0">
      <w:lvlJc w:val="left"/>
      <w:lvlText w:val="(%1)"/>
      <w:numFmt w:val="lowerLetter"/>
      <w:start w:val="4"/>
    </w:lvl>
  </w:abstractNum>
  <w:abstractNum w:abstractNumId="199">
    <w:nsid w:val="6C053B16"/>
    <w:multiLevelType w:val="hybridMultilevel"/>
    <w:lvl w:ilvl="0">
      <w:lvlJc w:val="left"/>
      <w:lvlText w:val="(%1)"/>
      <w:numFmt w:val="lowerLetter"/>
      <w:start w:val="5"/>
    </w:lvl>
  </w:abstractNum>
  <w:abstractNum w:abstractNumId="200">
    <w:nsid w:val="4F294393"/>
    <w:multiLevelType w:val="hybridMultilevel"/>
    <w:lvl w:ilvl="0">
      <w:lvlJc w:val="left"/>
      <w:lvlText w:val="(%1)"/>
      <w:numFmt w:val="lowerRoman"/>
      <w:start w:val="1"/>
    </w:lvl>
  </w:abstractNum>
  <w:abstractNum w:abstractNumId="201">
    <w:nsid w:val="5243BFAC"/>
    <w:multiLevelType w:val="hybridMultilevel"/>
    <w:lvl w:ilvl="0">
      <w:lvlJc w:val="left"/>
      <w:lvlText w:val="(%1)"/>
      <w:numFmt w:val="lowerLetter"/>
      <w:start w:val="1"/>
    </w:lvl>
  </w:abstractNum>
  <w:abstractNum w:abstractNumId="202">
    <w:nsid w:val="425EB207"/>
    <w:multiLevelType w:val="hybridMultilevel"/>
    <w:lvl w:ilvl="0">
      <w:lvlJc w:val="left"/>
      <w:lvlText w:val="(%1)"/>
      <w:numFmt w:val="lowerLetter"/>
      <w:start w:val="2"/>
    </w:lvl>
  </w:abstractNum>
  <w:abstractNum w:abstractNumId="203">
    <w:nsid w:val="334A6F1F"/>
    <w:multiLevelType w:val="hybridMultilevel"/>
    <w:lvl w:ilvl="0">
      <w:lvlJc w:val="left"/>
      <w:lvlText w:val="%1)"/>
      <w:numFmt w:val="decimal"/>
      <w:start w:val="1"/>
    </w:lvl>
  </w:abstractNum>
  <w:abstractNum w:abstractNumId="204">
    <w:nsid w:val="2E5B12B8"/>
    <w:multiLevelType w:val="hybridMultilevel"/>
    <w:lvl w:ilvl="0">
      <w:lvlJc w:val="left"/>
      <w:lvlText w:val="*"/>
      <w:numFmt w:val="bullet"/>
      <w:start w:val="1"/>
    </w:lvl>
  </w:abstractNum>
  <w:abstractNum w:abstractNumId="205">
    <w:nsid w:val="5C03D76D"/>
    <w:multiLevelType w:val="hybridMultilevel"/>
    <w:lvl w:ilvl="0">
      <w:lvlJc w:val="left"/>
      <w:lvlText w:val="(%1)"/>
      <w:numFmt w:val="lowerRoman"/>
      <w:start w:val="1"/>
    </w:lvl>
  </w:abstractNum>
  <w:abstractNum w:abstractNumId="206">
    <w:nsid w:val="66A48D11"/>
    <w:multiLevelType w:val="hybridMultilevel"/>
    <w:lvl w:ilvl="0">
      <w:lvlJc w:val="left"/>
      <w:lvlText w:val="(%1)"/>
      <w:numFmt w:val="lowerLetter"/>
      <w:start w:val="1"/>
    </w:lvl>
  </w:abstractNum>
  <w:abstractNum w:abstractNumId="207">
    <w:nsid w:val="56C28E34"/>
    <w:multiLevelType w:val="hybridMultilevel"/>
    <w:lvl w:ilvl="0">
      <w:lvlJc w:val="left"/>
      <w:lvlText w:val="(%1)"/>
      <w:numFmt w:val="lowerLetter"/>
      <w:start w:val="2"/>
    </w:lvl>
  </w:abstractNum>
  <w:abstractNum w:abstractNumId="208">
    <w:nsid w:val="13916F2D"/>
    <w:multiLevelType w:val="hybridMultilevel"/>
    <w:lvl w:ilvl="0">
      <w:lvlJc w:val="left"/>
      <w:lvlText w:val="(%1)"/>
      <w:numFmt w:val="lowerRoman"/>
      <w:start w:val="1"/>
    </w:lvl>
  </w:abstractNum>
  <w:abstractNum w:abstractNumId="209">
    <w:nsid w:val="435D38D"/>
    <w:multiLevelType w:val="hybridMultilevel"/>
    <w:lvl w:ilvl="0">
      <w:lvlJc w:val="left"/>
      <w:lvlText w:val="(%1)"/>
      <w:numFmt w:val="lowerRoman"/>
      <w:start w:val="1"/>
    </w:lvl>
  </w:abstractNum>
  <w:abstractNum w:abstractNumId="210">
    <w:nsid w:val="822C0EF"/>
    <w:multiLevelType w:val="hybridMultilevel"/>
    <w:lvl w:ilvl="0">
      <w:lvlJc w:val="left"/>
      <w:lvlText w:val="(%1)"/>
      <w:numFmt w:val="lowerRoman"/>
      <w:start w:val="2"/>
    </w:lvl>
  </w:abstractNum>
  <w:abstractNum w:abstractNumId="211">
    <w:nsid w:val="57C5BB4F"/>
    <w:multiLevelType w:val="hybridMultilevel"/>
    <w:lvl w:ilvl="0">
      <w:lvlJc w:val="left"/>
      <w:lvlText w:val="(%1)"/>
      <w:numFmt w:val="lowerRoman"/>
      <w:start w:val="4"/>
    </w:lvl>
  </w:abstractNum>
  <w:abstractNum w:abstractNumId="212">
    <w:nsid w:val="1803D089"/>
    <w:multiLevelType w:val="hybridMultilevel"/>
    <w:lvl w:ilvl="0">
      <w:lvlJc w:val="left"/>
      <w:lvlText w:val="(%1)"/>
      <w:numFmt w:val="lowerRoman"/>
      <w:start w:val="6"/>
    </w:lvl>
  </w:abstractNum>
  <w:abstractNum w:abstractNumId="213">
    <w:nsid w:val="4F3A06D4"/>
    <w:multiLevelType w:val="hybridMultilevel"/>
    <w:lvl w:ilvl="0">
      <w:lvlJc w:val="left"/>
      <w:lvlText w:val="(%1)"/>
      <w:numFmt w:val="lowerLetter"/>
      <w:start w:val="2"/>
    </w:lvl>
  </w:abstractNum>
  <w:abstractNum w:abstractNumId="214">
    <w:nsid w:val="59A377B6"/>
    <w:multiLevelType w:val="hybridMultilevel"/>
    <w:lvl w:ilvl="0">
      <w:lvlJc w:val="left"/>
      <w:lvlText w:val="(%1)"/>
      <w:numFmt w:val="lowerRoman"/>
      <w:start w:val="1"/>
    </w:lvl>
  </w:abstractNum>
  <w:abstractNum w:abstractNumId="215">
    <w:nsid w:val="48AEB063"/>
    <w:multiLevelType w:val="hybridMultilevel"/>
    <w:lvl w:ilvl="0">
      <w:lvlJc w:val="left"/>
      <w:lvlText w:val="(%1)"/>
      <w:numFmt w:val="lowerRoman"/>
      <w:start w:val="2"/>
    </w:lvl>
  </w:abstractNum>
  <w:abstractNum w:abstractNumId="216">
    <w:nsid w:val="24E135"/>
    <w:multiLevelType w:val="hybridMultilevel"/>
    <w:lvl w:ilvl="0">
      <w:lvlJc w:val="left"/>
      <w:lvlText w:val="(%1)"/>
      <w:numFmt w:val="lowerLetter"/>
      <w:start w:val="3"/>
    </w:lvl>
  </w:abstractNum>
  <w:abstractNum w:abstractNumId="217">
    <w:nsid w:val="BB13C1"/>
    <w:multiLevelType w:val="hybridMultilevel"/>
    <w:lvl w:ilvl="0">
      <w:lvlJc w:val="left"/>
      <w:lvlText w:val="(%1)"/>
      <w:numFmt w:val="lowerLetter"/>
      <w:start w:val="4"/>
    </w:lvl>
  </w:abstractNum>
  <w:abstractNum w:abstractNumId="218">
    <w:nsid w:val="271210C7"/>
    <w:multiLevelType w:val="hybridMultilevel"/>
    <w:lvl w:ilvl="0">
      <w:lvlJc w:val="left"/>
      <w:lvlText w:val="(%1)"/>
      <w:numFmt w:val="lowerLetter"/>
      <w:start w:val="1"/>
    </w:lvl>
  </w:abstractNum>
  <w:abstractNum w:abstractNumId="219">
    <w:nsid w:val="217B22E4"/>
    <w:multiLevelType w:val="hybridMultilevel"/>
    <w:lvl w:ilvl="0">
      <w:lvlJc w:val="left"/>
      <w:lvlText w:val="(%1)"/>
      <w:numFmt w:val="lowerLetter"/>
      <w:start w:val="2"/>
    </w:lvl>
  </w:abstractNum>
  <w:abstractNum w:abstractNumId="220">
    <w:nsid w:val="53E31A24"/>
    <w:multiLevelType w:val="hybridMultilevel"/>
    <w:lvl w:ilvl="0">
      <w:lvlJc w:val="left"/>
      <w:lvlText w:val="*"/>
      <w:numFmt w:val="bullet"/>
      <w:start w:val="1"/>
    </w:lvl>
  </w:abstractNum>
  <w:abstractNum w:abstractNumId="221">
    <w:nsid w:val="6DC45E83"/>
    <w:multiLevelType w:val="hybridMultilevel"/>
    <w:lvl w:ilvl="0">
      <w:lvlJc w:val="left"/>
      <w:lvlText w:val="(%1)"/>
      <w:numFmt w:val="lowerLetter"/>
      <w:start w:val="1"/>
    </w:lvl>
  </w:abstractNum>
  <w:abstractNum w:abstractNumId="222">
    <w:nsid w:val="17304A67"/>
    <w:multiLevelType w:val="hybridMultilevel"/>
    <w:lvl w:ilvl="0">
      <w:lvlJc w:val="left"/>
      <w:lvlText w:val="(%1)"/>
      <w:numFmt w:val="lowerLetter"/>
      <w:start w:val="2"/>
    </w:lvl>
  </w:abstractNum>
  <w:abstractNum w:abstractNumId="223">
    <w:nsid w:val="2BB180D8"/>
    <w:multiLevelType w:val="hybridMultilevel"/>
    <w:lvl w:ilvl="0">
      <w:lvlJc w:val="left"/>
      <w:lvlText w:val="(%1)"/>
      <w:numFmt w:val="lowerLetter"/>
      <w:start w:val="3"/>
    </w:lvl>
  </w:abstractNum>
  <w:abstractNum w:abstractNumId="224">
    <w:nsid w:val="556B69ED"/>
    <w:multiLevelType w:val="hybridMultilevel"/>
    <w:lvl w:ilvl="0">
      <w:lvlJc w:val="left"/>
      <w:lvlText w:val="(%1)"/>
      <w:numFmt w:val="lowerRoman"/>
      <w:start w:val="2"/>
    </w:lvl>
  </w:abstractNum>
  <w:abstractNum w:abstractNumId="225">
    <w:nsid w:val="70836196"/>
    <w:multiLevelType w:val="hybridMultilevel"/>
    <w:lvl w:ilvl="0">
      <w:lvlJc w:val="left"/>
      <w:lvlText w:val="(%1)"/>
      <w:numFmt w:val="lowerLetter"/>
      <w:start w:val="4"/>
    </w:lvl>
  </w:abstractNum>
  <w:abstractNum w:abstractNumId="226">
    <w:nsid w:val="539F7F12"/>
    <w:multiLevelType w:val="hybridMultilevel"/>
    <w:lvl w:ilvl="0">
      <w:lvlJc w:val="left"/>
      <w:lvlText w:val="(%1)"/>
      <w:numFmt w:val="lowerRoman"/>
      <w:start w:val="1"/>
    </w:lvl>
  </w:abstractNum>
  <w:abstractNum w:abstractNumId="227">
    <w:nsid w:val="2817E7EC"/>
    <w:multiLevelType w:val="hybridMultilevel"/>
    <w:lvl w:ilvl="0">
      <w:lvlJc w:val="left"/>
      <w:lvlText w:val="(%1)"/>
      <w:numFmt w:val="lowerRoman"/>
      <w:start w:val="2"/>
    </w:lvl>
  </w:abstractNum>
  <w:abstractNum w:abstractNumId="228">
    <w:nsid w:val="71482545"/>
    <w:multiLevelType w:val="hybridMultilevel"/>
    <w:lvl w:ilvl="0">
      <w:lvlJc w:val="left"/>
      <w:lvlText w:val="(%1)"/>
      <w:numFmt w:val="lowerLetter"/>
      <w:start w:val="5"/>
    </w:lvl>
  </w:abstractNum>
  <w:abstractNum w:abstractNumId="229">
    <w:nsid w:val="17D78639"/>
    <w:multiLevelType w:val="hybridMultilevel"/>
    <w:lvl w:ilvl="0">
      <w:lvlJc w:val="left"/>
      <w:lvlText w:val="(%1)"/>
      <w:numFmt w:val="lowerRoman"/>
      <w:start w:val="1"/>
    </w:lvl>
  </w:abstractNum>
  <w:abstractNum w:abstractNumId="230">
    <w:nsid w:val="141D2302"/>
    <w:multiLevelType w:val="hybridMultilevel"/>
    <w:lvl w:ilvl="0">
      <w:lvlJc w:val="left"/>
      <w:lvlText w:val="(%1)"/>
      <w:numFmt w:val="lowerRoman"/>
      <w:start w:val="2"/>
    </w:lvl>
  </w:abstractNum>
  <w:abstractNum w:abstractNumId="231">
    <w:nsid w:val="407168D8"/>
    <w:multiLevelType w:val="hybridMultilevel"/>
    <w:lvl w:ilvl="0">
      <w:lvlJc w:val="left"/>
      <w:lvlText w:val="(%1)"/>
      <w:numFmt w:val="lowerLetter"/>
      <w:start w:val="3"/>
    </w:lvl>
  </w:abstractNum>
  <w:abstractNum w:abstractNumId="232">
    <w:nsid w:val="6A1B45E5"/>
    <w:multiLevelType w:val="hybridMultilevel"/>
    <w:lvl w:ilvl="0">
      <w:lvlJc w:val="left"/>
      <w:lvlText w:val="*"/>
      <w:numFmt w:val="bullet"/>
      <w:start w:val="1"/>
    </w:lvl>
  </w:abstractNum>
  <w:abstractNum w:abstractNumId="233">
    <w:nsid w:val="567BD50A"/>
    <w:multiLevelType w:val="hybridMultilevel"/>
    <w:lvl w:ilvl="0">
      <w:lvlJc w:val="left"/>
      <w:lvlText w:val="1"/>
      <w:numFmt w:val="bullet"/>
      <w:start w:val="1"/>
    </w:lvl>
  </w:abstractNum>
  <w:abstractNum w:abstractNumId="234">
    <w:nsid w:val="73BBD7F8"/>
    <w:multiLevelType w:val="hybridMultilevel"/>
    <w:lvl w:ilvl="0">
      <w:lvlJc w:val="left"/>
      <w:lvlText w:val="(%1)"/>
      <w:numFmt w:val="lowerLetter"/>
      <w:start w:val="1"/>
    </w:lvl>
  </w:abstractNum>
  <w:abstractNum w:abstractNumId="235">
    <w:nsid w:val="1876589D"/>
    <w:multiLevelType w:val="hybridMultilevel"/>
    <w:lvl w:ilvl="0">
      <w:lvlJc w:val="left"/>
      <w:lvlText w:val="(%1)"/>
      <w:numFmt w:val="lowerLetter"/>
      <w:start w:val="2"/>
    </w:lvl>
  </w:abstractNum>
  <w:abstractNum w:abstractNumId="236">
    <w:nsid w:val="327FAC77"/>
    <w:multiLevelType w:val="hybridMultilevel"/>
    <w:lvl w:ilvl="0">
      <w:lvlJc w:val="left"/>
      <w:lvlText w:val="(%1)"/>
      <w:numFmt w:val="lowerLetter"/>
      <w:start w:val="3"/>
    </w:lvl>
  </w:abstractNum>
  <w:abstractNum w:abstractNumId="237">
    <w:nsid w:val="5A606509"/>
    <w:multiLevelType w:val="hybridMultilevel"/>
    <w:lvl w:ilvl="0">
      <w:lvlJc w:val="left"/>
      <w:lvlText w:val="*"/>
      <w:numFmt w:val="bullet"/>
      <w:start w:val="1"/>
    </w:lvl>
  </w:abstractNum>
  <w:abstractNum w:abstractNumId="238">
    <w:nsid w:val="6F38E6D1"/>
    <w:multiLevelType w:val="hybridMultilevel"/>
    <w:lvl w:ilvl="0">
      <w:lvlJc w:val="left"/>
      <w:lvlText w:val="2"/>
      <w:numFmt w:val="bullet"/>
      <w:start w:val="1"/>
    </w:lvl>
  </w:abstractNum>
  <w:abstractNum w:abstractNumId="239">
    <w:nsid w:val="46111BA5"/>
    <w:multiLevelType w:val="hybridMultilevel"/>
    <w:lvl w:ilvl="0">
      <w:lvlJc w:val="left"/>
      <w:lvlText w:val="•"/>
      <w:numFmt w:val="bullet"/>
      <w:start w:val="1"/>
    </w:lvl>
  </w:abstractNum>
  <w:abstractNum w:abstractNumId="240">
    <w:nsid w:val="5E963896"/>
    <w:multiLevelType w:val="hybridMultilevel"/>
    <w:lvl w:ilvl="0">
      <w:lvlJc w:val="left"/>
      <w:lvlText w:val="3"/>
      <w:numFmt w:val="bullet"/>
      <w:start w:val="1"/>
    </w:lvl>
  </w:abstractNum>
  <w:abstractNum w:abstractNumId="241">
    <w:nsid w:val="775BA7C1"/>
    <w:multiLevelType w:val="hybridMultilevel"/>
    <w:lvl w:ilvl="0">
      <w:lvlJc w:val="left"/>
      <w:lvlText w:val="7"/>
      <w:numFmt w:val="bullet"/>
      <w:start w:val="1"/>
    </w:lvl>
  </w:abstractNum>
  <w:abstractNum w:abstractNumId="242">
    <w:nsid w:val="1DD6D6F4"/>
    <w:multiLevelType w:val="hybridMultilevel"/>
    <w:lvl w:ilvl="0">
      <w:lvlJc w:val="left"/>
      <w:lvlText w:val="8"/>
      <w:numFmt w:val="bullet"/>
      <w:start w:val="1"/>
    </w:lvl>
  </w:abstractNum>
  <w:abstractNum w:abstractNumId="243">
    <w:nsid w:val="769A091F"/>
    <w:multiLevelType w:val="hybridMultilevel"/>
    <w:lvl w:ilvl="0">
      <w:lvlJc w:val="left"/>
      <w:lvlText w:val="(%1)"/>
      <w:numFmt w:val="lowerLetter"/>
      <w:start w:val="1"/>
    </w:lvl>
  </w:abstractNum>
  <w:abstractNum w:abstractNumId="244">
    <w:nsid w:val="4695AE95"/>
    <w:multiLevelType w:val="hybridMultilevel"/>
    <w:lvl w:ilvl="0">
      <w:lvlJc w:val="left"/>
      <w:lvlText w:val="*"/>
      <w:numFmt w:val="bullet"/>
      <w:start w:val="1"/>
    </w:lvl>
  </w:abstractNum>
  <w:abstractNum w:abstractNumId="245">
    <w:nsid w:val="777A4EAA"/>
    <w:multiLevelType w:val="hybridMultilevel"/>
    <w:lvl w:ilvl="0">
      <w:lvlJc w:val="left"/>
      <w:lvlText w:val="(%1)"/>
      <w:numFmt w:val="lowerLetter"/>
      <w:start w:val="2"/>
    </w:lvl>
  </w:abstractNum>
  <w:abstractNum w:abstractNumId="246">
    <w:nsid w:val="3F48B982"/>
    <w:multiLevelType w:val="hybridMultilevel"/>
    <w:lvl w:ilvl="0">
      <w:lvlJc w:val="left"/>
      <w:lvlText w:val="9"/>
      <w:numFmt w:val="bullet"/>
      <w:start w:val="1"/>
    </w:lvl>
  </w:abstractNum>
  <w:abstractNum w:abstractNumId="247">
    <w:nsid w:val="46BA8FCA"/>
    <w:multiLevelType w:val="hybridMultilevel"/>
    <w:lvl w:ilvl="0">
      <w:lvlJc w:val="left"/>
      <w:lvlText w:val="(%1)"/>
      <w:numFmt w:val="lowerRoman"/>
      <w:start w:val="1"/>
    </w:lvl>
  </w:abstractNum>
  <w:abstractNum w:abstractNumId="248">
    <w:nsid w:val="7835626C"/>
    <w:multiLevelType w:val="hybridMultilevel"/>
    <w:lvl w:ilvl="0">
      <w:lvlJc w:val="left"/>
      <w:lvlText w:val="*"/>
      <w:numFmt w:val="bullet"/>
      <w:start w:val="1"/>
    </w:lvl>
  </w:abstractNum>
  <w:abstractNum w:abstractNumId="249">
    <w:nsid w:val="665ACA49"/>
    <w:multiLevelType w:val="hybridMultilevel"/>
    <w:lvl w:ilvl="0">
      <w:lvlJc w:val="left"/>
      <w:lvlText w:val="(%1)"/>
      <w:numFmt w:val="lowerLetter"/>
      <w:start w:val="2"/>
    </w:lvl>
  </w:abstractNum>
  <w:abstractNum w:abstractNumId="250">
    <w:nsid w:val="6835B2AE"/>
    <w:multiLevelType w:val="hybridMultilevel"/>
    <w:lvl w:ilvl="0">
      <w:lvlJc w:val="left"/>
      <w:lvlText w:val="(%1)"/>
      <w:numFmt w:val="lowerLetter"/>
      <w:start w:val="2"/>
    </w:lvl>
  </w:abstractNum>
  <w:abstractNum w:abstractNumId="251">
    <w:nsid w:val="4C187C90"/>
    <w:multiLevelType w:val="hybridMultilevel"/>
    <w:lvl w:ilvl="0">
      <w:lvlJc w:val="left"/>
      <w:lvlText w:val="(%1)"/>
      <w:numFmt w:val="lowerRoman"/>
      <w:start w:val="1"/>
    </w:lvl>
  </w:abstractNum>
  <w:abstractNum w:abstractNumId="252">
    <w:nsid w:val="541F28CD"/>
    <w:multiLevelType w:val="hybridMultilevel"/>
    <w:lvl w:ilvl="0">
      <w:lvlJc w:val="left"/>
      <w:lvlText w:val="(%1)"/>
      <w:numFmt w:val="lowerLetter"/>
      <w:start w:val="1"/>
    </w:lvl>
  </w:abstractNum>
  <w:abstractNum w:abstractNumId="253">
    <w:nsid w:val="7F65FD16"/>
    <w:multiLevelType w:val="hybridMultilevel"/>
    <w:lvl w:ilvl="0">
      <w:lvlJc w:val="left"/>
      <w:lvlText w:val="(%1)"/>
      <w:numFmt w:val="lowerRoman"/>
      <w:start w:val="1"/>
    </w:lvl>
  </w:abstractNum>
  <w:abstractNum w:abstractNumId="254">
    <w:nsid w:val="77C9FD68"/>
    <w:multiLevelType w:val="hybridMultilevel"/>
    <w:lvl w:ilvl="0">
      <w:lvlJc w:val="left"/>
      <w:lvlText w:val="(%1)"/>
      <w:numFmt w:val="lowerLetter"/>
      <w:start w:val="1"/>
    </w:lvl>
  </w:abstractNum>
  <w:abstractNum w:abstractNumId="255">
    <w:nsid w:val="298A92BA"/>
    <w:multiLevelType w:val="hybridMultilevel"/>
    <w:lvl w:ilvl="0">
      <w:lvlJc w:val="left"/>
      <w:lvlText w:val="(%1)"/>
      <w:numFmt w:val="lowerLetter"/>
      <w:start w:val="2"/>
    </w:lvl>
  </w:abstractNum>
  <w:abstractNum w:abstractNumId="256">
    <w:nsid w:val="6FE95EAC"/>
    <w:multiLevelType w:val="hybridMultilevel"/>
    <w:lvl w:ilvl="0">
      <w:lvlJc w:val="left"/>
      <w:lvlText w:val="(%1)"/>
      <w:numFmt w:val="lowerLetter"/>
      <w:start w:val="1"/>
    </w:lvl>
  </w:abstractNum>
  <w:abstractNum w:abstractNumId="257">
    <w:nsid w:val="4B697C7A"/>
    <w:multiLevelType w:val="hybridMultilevel"/>
    <w:lvl w:ilvl="0">
      <w:lvlJc w:val="left"/>
      <w:lvlText w:val="(%1)"/>
      <w:numFmt w:val="lowerRoman"/>
      <w:start w:val="1"/>
    </w:lvl>
  </w:abstractNum>
  <w:abstractNum w:abstractNumId="258">
    <w:nsid w:val="51A27AA6"/>
    <w:multiLevelType w:val="hybridMultilevel"/>
    <w:lvl w:ilvl="0">
      <w:lvlJc w:val="left"/>
      <w:lvlText w:val="(%1)"/>
      <w:numFmt w:val="lowerRoman"/>
      <w:start w:val="2"/>
    </w:lvl>
  </w:abstractNum>
  <w:abstractNum w:abstractNumId="259">
    <w:nsid w:val="613183F2"/>
    <w:multiLevelType w:val="hybridMultilevel"/>
    <w:lvl w:ilvl="0">
      <w:lvlJc w:val="left"/>
      <w:lvlText w:val="(%1)"/>
      <w:numFmt w:val="lowerLetter"/>
      <w:start w:val="2"/>
    </w:lvl>
  </w:abstractNum>
  <w:abstractNum w:abstractNumId="260">
    <w:nsid w:val="634102B4"/>
    <w:multiLevelType w:val="hybridMultilevel"/>
    <w:lvl w:ilvl="0">
      <w:lvlJc w:val="left"/>
      <w:lvlText w:val="(%1)"/>
      <w:numFmt w:val="lowerLetter"/>
      <w:start w:val="1"/>
    </w:lvl>
  </w:abstractNum>
  <w:abstractNum w:abstractNumId="261">
    <w:nsid w:val="65BF9DA8"/>
    <w:multiLevelType w:val="hybridMultilevel"/>
    <w:lvl w:ilvl="0">
      <w:lvlJc w:val="left"/>
      <w:lvlText w:val="(%1)"/>
      <w:numFmt w:val="lowerRoman"/>
      <w:start w:val="4"/>
    </w:lvl>
  </w:abstractNum>
  <w:abstractNum w:abstractNumId="262">
    <w:nsid w:val="21A2ECCA"/>
    <w:multiLevelType w:val="hybridMultilevel"/>
    <w:lvl w:ilvl="0">
      <w:lvlJc w:val="left"/>
      <w:lvlText w:val="(%1)"/>
      <w:numFmt w:val="lowerLetter"/>
      <w:start w:val="2"/>
    </w:lvl>
  </w:abstractNum>
  <w:abstractNum w:abstractNumId="263">
    <w:nsid w:val="4D5C4899"/>
    <w:multiLevelType w:val="hybridMultilevel"/>
    <w:lvl w:ilvl="0">
      <w:lvlJc w:val="left"/>
      <w:lvlText w:val="%1"/>
      <w:numFmt w:val="decimal"/>
      <w:start w:val="1"/>
    </w:lvl>
    <w:lvl w:ilvl="1">
      <w:lvlJc w:val="left"/>
      <w:lvlText w:val="(%2)"/>
      <w:numFmt w:val="decimal"/>
      <w:start w:val="1"/>
    </w:lvl>
  </w:abstractNum>
  <w:abstractNum w:abstractNumId="264">
    <w:nsid w:val="3C3B72B2"/>
    <w:multiLevelType w:val="hybridMultilevel"/>
    <w:lvl w:ilvl="0">
      <w:lvlJc w:val="left"/>
      <w:lvlText w:val="(%1)"/>
      <w:numFmt w:val="decimal"/>
      <w:start w:val="4"/>
    </w:lvl>
    <w:lvl w:ilvl="1">
      <w:lvlJc w:val="left"/>
      <w:lvlText w:val="(%2)"/>
      <w:numFmt w:val="decimal"/>
      <w:start w:val="2"/>
    </w:lvl>
  </w:abstractNum>
  <w:abstractNum w:abstractNumId="265">
    <w:nsid w:val="155EC4C2"/>
    <w:multiLevelType w:val="hybridMultilevel"/>
    <w:lvl w:ilvl="0">
      <w:lvlJc w:val="left"/>
      <w:lvlText w:val="(%1)"/>
      <w:numFmt w:val="decimal"/>
      <w:start w:val="1"/>
    </w:lvl>
  </w:abstractNum>
  <w:abstractNum w:abstractNumId="266">
    <w:nsid w:val="65D2A137"/>
    <w:multiLevelType w:val="hybridMultilevel"/>
    <w:lvl w:ilvl="0">
      <w:lvlJc w:val="left"/>
      <w:lvlText w:val="%1."/>
      <w:numFmt w:val="decimal"/>
      <w:start w:val="1"/>
    </w:lvl>
  </w:abstractNum>
  <w:abstractNum w:abstractNumId="267">
    <w:nsid w:val="6EBB1F2A"/>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2024-07-29T08:54:40Z</dcterms:created>
  <dcterms:modified xsi:type="dcterms:W3CDTF">2024-07-29T08:54:40Z</dcterms:modified>
</cp:coreProperties>
</file>