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2167d1_6k.htm"/>
      <w:bookmarkStart w:id="1" w:name="kstm2622167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EXPLANATORY NOTE</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 submitted a monthly return form dated August 6, 2026 in relation to the movements in our authorized share capital and issued shares in July 2026 to The Stock Exchange of Hong Kong Limited. For details, please refer to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28" w:type="dxa"/>
          <w:right w:w="0" w:type="dxa"/>
        </w:tblCellMar>
      </w:tblPr>
      <w:tblGrid>
        <w:gridCol w:w="665"/>
        <w:gridCol w:w="60"/>
        <w:gridCol w:w="587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87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16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870" w:type="dxa"/>
            <w:tcBorders/>
            <w:tcMar>
              <w:bottom w:w="0" w:type="dxa"/>
            </w:tcMar>
            <w:vAlign w:val="center"/>
          </w:tcPr>
          <w:p>
            <w:pPr>
              <w:pStyle w:val="TableContents"/>
              <w:bidi w:val="0"/>
              <w:spacing w:before="0" w:after="283"/>
              <w:jc w:val="both"/>
              <w:rPr/>
            </w:pPr>
            <w:hyperlink w:anchor="tm2622167d1_ex99-1.htm">
              <w:r>
                <w:rPr>
                  <w:rStyle w:val="InternetLink"/>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167d1_ex99-1.htm"/>
      <w:bookmarkStart w:id="3" w:name="kstm2622167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174"/>
        <w:gridCol w:w="9744"/>
        <w:gridCol w:w="287"/>
      </w:tblGrid>
      <w:tr>
        <w:trPr/>
        <w:tc>
          <w:tcPr>
            <w:tcW w:w="174" w:type="dxa"/>
            <w:tcBorders/>
            <w:vAlign w:val="center"/>
          </w:tcPr>
          <w:p>
            <w:pPr>
              <w:pStyle w:val="TableContents"/>
              <w:bidi w:val="0"/>
              <w:spacing w:before="0" w:after="283"/>
              <w:jc w:val="left"/>
              <w:rPr>
                <w:sz w:val="4"/>
                <w:szCs w:val="4"/>
              </w:rPr>
            </w:pPr>
            <w:r>
              <w:rPr>
                <w:sz w:val="4"/>
                <w:szCs w:val="4"/>
              </w:rPr>
            </w:r>
          </w:p>
        </w:tc>
        <w:tc>
          <w:tcPr>
            <w:tcW w:w="9744" w:type="dxa"/>
            <w:tcBorders/>
          </w:tcPr>
          <w:p>
            <w:pPr>
              <w:pStyle w:val="TableContents"/>
              <w:bidi w:val="0"/>
              <w:spacing w:before="0" w:after="0"/>
              <w:ind w:left="0" w:right="0" w:hanging="0"/>
              <w:jc w:val="center"/>
              <w:rPr/>
            </w:pPr>
            <w:r>
              <w:rPr/>
              <w:drawing>
                <wp:inline distT="0" distB="0" distL="0" distR="0">
                  <wp:extent cx="5340350" cy="3771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40350" cy="3771900"/>
                          </a:xfrm>
                          <a:prstGeom prst="rect">
                            <a:avLst/>
                          </a:prstGeom>
                        </pic:spPr>
                      </pic:pic>
                    </a:graphicData>
                  </a:graphic>
                </wp:inline>
              </w:drawing>
            </w:r>
          </w:p>
        </w:tc>
        <w:tc>
          <w:tcPr>
            <w:tcW w:w="28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31 July 2026 Status: New Submission To : Hong Kong Exchanges and Clearing Limited Name of Issuer: WeRide Inc. Date Submitted: 06 August 2026 I. Movements in Authorised / Registered Share Capital 1. Class of shares WVR ordinary shares Type of shares A Listed on the Exchange (Note 1) Yes Stock code (if listed) 00800 Description Ordinary Shares Number of authorised/registered shares Par value Authorised/registered share capital Balance at close of preceding month 4,500,000,000 USD 0.00001 USD 45,000 Increase / decrease (-) 0 USD 0 Balance at close of the month 4,500,000,000 USD 0.00001 USD 45,000 2. Class of shares WVR ordinary shares Type of shares B Listed on the Exchange (Note 1) No Stock code (if listed) N/A Description Ordinary Shares Number of authorised/registered shares Par value Authorised/registered share capital Balance at close of preceding month 500,000,000 USD 0.00001 USD 5,000 Increase / decrease (-) 0 USD 0 Balance at close of the month 500,000,000 USD 0.00001 USD 5,000 Total authorised/registered share capital at the end of the month: USD 50,000</w:t>
            </w:r>
          </w:p>
        </w:tc>
      </w:tr>
    </w:tbl>
    <w:tbl>
      <w:tblPr>
        <w:tblW w:w="10205" w:type="dxa"/>
        <w:jc w:val="center"/>
        <w:tblInd w:w="0" w:type="dxa"/>
        <w:tblLayout w:type="fixed"/>
        <w:tblCellMar>
          <w:top w:w="0" w:type="dxa"/>
          <w:left w:w="0" w:type="dxa"/>
          <w:bottom w:w="0" w:type="dxa"/>
          <w:right w:w="0" w:type="dxa"/>
        </w:tblCellMar>
      </w:tblPr>
      <w:tblGrid>
        <w:gridCol w:w="173"/>
        <w:gridCol w:w="9760"/>
        <w:gridCol w:w="272"/>
      </w:tblGrid>
      <w:tr>
        <w:trPr/>
        <w:tc>
          <w:tcPr>
            <w:tcW w:w="173" w:type="dxa"/>
            <w:tcBorders/>
            <w:vAlign w:val="center"/>
          </w:tcPr>
          <w:p>
            <w:pPr>
              <w:pStyle w:val="TableContents"/>
              <w:bidi w:val="0"/>
              <w:spacing w:before="0" w:after="283"/>
              <w:jc w:val="left"/>
              <w:rPr>
                <w:sz w:val="4"/>
                <w:szCs w:val="4"/>
              </w:rPr>
            </w:pPr>
            <w:r>
              <w:rPr>
                <w:sz w:val="4"/>
                <w:szCs w:val="4"/>
              </w:rPr>
            </w:r>
          </w:p>
        </w:tc>
        <w:tc>
          <w:tcPr>
            <w:tcW w:w="9760" w:type="dxa"/>
            <w:tcBorders/>
          </w:tcPr>
          <w:p>
            <w:pPr>
              <w:pStyle w:val="TableContents"/>
              <w:bidi w:val="0"/>
              <w:spacing w:before="0" w:after="0"/>
              <w:ind w:left="0" w:right="0" w:hanging="0"/>
              <w:jc w:val="center"/>
              <w:rPr/>
            </w:pPr>
            <w:r>
              <w:rPr/>
              <w:drawing>
                <wp:inline distT="0" distB="0" distL="0" distR="0">
                  <wp:extent cx="5340350" cy="377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40350" cy="3771900"/>
                          </a:xfrm>
                          <a:prstGeom prst="rect">
                            <a:avLst/>
                          </a:prstGeom>
                        </pic:spPr>
                      </pic:pic>
                    </a:graphicData>
                  </a:graphic>
                </wp:inline>
              </w:drawing>
            </w:r>
          </w:p>
        </w:tc>
        <w:tc>
          <w:tcPr>
            <w:tcW w:w="27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00800 Description Ordinary Shares Number of issued shares (excluding treasury shares) Number of treasury shares Total number of issued shares Balance at close of preceding month 932,053,942 40,454,099 972,508,041 Increase / decrease (-) 0 0 Balance at close of the month 932,053,942 40,454,099 972,508,041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15% of the total number of issued shares in the class to which the listed shares belong (excluding treasury shares) Additional information N/A 2. Class of shares WVR ordinary shares Type of shares B Listed on the Exchange (Note 1) No Stock code (if listed) N/A Description Ordinary Shares Number of issued shares (excluding treasury shares) Number of treasury shares Total number of issued shares Balance at close of preceding month 54,814,423 0 54,814,423 Increase / decrease (-) 0 0 Balance at close of the month 54,814,423 0 54,814,423</w:t>
            </w:r>
          </w:p>
        </w:tc>
      </w:tr>
    </w:tbl>
    <w:tbl>
      <w:tblPr>
        <w:tblW w:w="10205" w:type="dxa"/>
        <w:jc w:val="center"/>
        <w:tblInd w:w="0" w:type="dxa"/>
        <w:tblLayout w:type="fixed"/>
        <w:tblCellMar>
          <w:top w:w="0" w:type="dxa"/>
          <w:left w:w="0" w:type="dxa"/>
          <w:bottom w:w="0" w:type="dxa"/>
          <w:right w:w="0" w:type="dxa"/>
        </w:tblCellMar>
      </w:tblPr>
      <w:tblGrid>
        <w:gridCol w:w="174"/>
        <w:gridCol w:w="9773"/>
        <w:gridCol w:w="258"/>
      </w:tblGrid>
      <w:tr>
        <w:trPr/>
        <w:tc>
          <w:tcPr>
            <w:tcW w:w="174" w:type="dxa"/>
            <w:tcBorders/>
            <w:vAlign w:val="center"/>
          </w:tcPr>
          <w:p>
            <w:pPr>
              <w:pStyle w:val="TableContents"/>
              <w:bidi w:val="0"/>
              <w:spacing w:before="0" w:after="283"/>
              <w:jc w:val="left"/>
              <w:rPr>
                <w:sz w:val="4"/>
                <w:szCs w:val="4"/>
              </w:rPr>
            </w:pPr>
            <w:r>
              <w:rPr>
                <w:sz w:val="4"/>
                <w:szCs w:val="4"/>
              </w:rPr>
            </w:r>
          </w:p>
        </w:tc>
        <w:tc>
          <w:tcPr>
            <w:tcW w:w="9773" w:type="dxa"/>
            <w:tcBorders/>
          </w:tcPr>
          <w:p>
            <w:pPr>
              <w:pStyle w:val="TableContents"/>
              <w:bidi w:val="0"/>
              <w:spacing w:before="0" w:after="0"/>
              <w:ind w:left="0" w:right="0" w:hanging="0"/>
              <w:jc w:val="center"/>
              <w:rPr/>
            </w:pPr>
            <w:r>
              <w:rPr/>
              <w:drawing>
                <wp:inline distT="0" distB="0" distL="0" distR="0">
                  <wp:extent cx="5340350" cy="3771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40350" cy="3771900"/>
                          </a:xfrm>
                          <a:prstGeom prst="rect">
                            <a:avLst/>
                          </a:prstGeom>
                        </pic:spPr>
                      </pic:pic>
                    </a:graphicData>
                  </a:graphic>
                </wp:inline>
              </w:drawing>
            </w:r>
          </w:p>
        </w:tc>
        <w:tc>
          <w:tcPr>
            <w:tcW w:w="25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11 v 1.2.1 III. Details of Movements in Issued Shares and/or Treasury Shares (A). Share Options (under Share Option Schemes of the Issuer) 1. Class of shares WVR ordinary shares Type of shares A Listed on the Exchange (Note 1) Yes Stock code (if listed) 00800 Description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Plan (adopted in June 2018 and amended and restated in July 2024) - share options 90,900,591 Others -402,486 Lapsed -62,202 90,435,903 86,563,401 0 General Meeting approval date (if applicable) 2). 2026 Share Plan - Share options 0 0 0 0 95,064,817 General Meeting approval date (if applicable) 13 March 2026 Increase in issued shares (excluding treasury shares): WVR ordinary shares A (AA1) Decrease in treasury shares: WVR ordinary shares A (AA2) Total funds raised during the month from exercise of options: USD 314,592.69 Remarks: The Company will not grant further share options and share awards under the 2018 Share Plan after the listing of class A ordinary shares on the Main Board of the The Stock Exchange of Hong Kong Limited on 6 November 2025. For details, please refer to the Company's prospectus dated 28 October 2025. Others: - -402,486 refers to 402,486 options being exercised. The exercise of 402,486 options was settled by using the Class A Ordinary Shares issued to the Depositary for bulk issuance of ADSs reserved for settlement of the exercise or vesting of awards granted under 2018 Share Plan. </w:t>
            </w:r>
          </w:p>
        </w:tc>
      </w:tr>
    </w:tbl>
    <w:tbl>
      <w:tblPr>
        <w:tblW w:w="10124" w:type="dxa"/>
        <w:jc w:val="center"/>
        <w:tblInd w:w="0" w:type="dxa"/>
        <w:tblLayout w:type="fixed"/>
        <w:tblCellMar>
          <w:top w:w="0" w:type="dxa"/>
          <w:left w:w="0" w:type="dxa"/>
          <w:bottom w:w="0" w:type="dxa"/>
          <w:right w:w="0" w:type="dxa"/>
        </w:tblCellMar>
      </w:tblPr>
      <w:tblGrid>
        <w:gridCol w:w="911"/>
        <w:gridCol w:w="8505"/>
        <w:gridCol w:w="708"/>
      </w:tblGrid>
      <w:tr>
        <w:trPr/>
        <w:tc>
          <w:tcPr>
            <w:tcW w:w="911" w:type="dxa"/>
            <w:tcBorders/>
            <w:vAlign w:val="center"/>
          </w:tcPr>
          <w:p>
            <w:pPr>
              <w:pStyle w:val="TableContents"/>
              <w:bidi w:val="0"/>
              <w:spacing w:before="0" w:after="283"/>
              <w:jc w:val="left"/>
              <w:rPr>
                <w:sz w:val="4"/>
                <w:szCs w:val="4"/>
              </w:rPr>
            </w:pPr>
            <w:r>
              <w:rPr>
                <w:sz w:val="4"/>
                <w:szCs w:val="4"/>
              </w:rPr>
            </w:r>
          </w:p>
        </w:tc>
        <w:tc>
          <w:tcPr>
            <w:tcW w:w="8505" w:type="dxa"/>
            <w:tcBorders/>
          </w:tcPr>
          <w:p>
            <w:pPr>
              <w:pStyle w:val="TableContents"/>
              <w:bidi w:val="0"/>
              <w:spacing w:before="0" w:after="0"/>
              <w:ind w:left="0" w:right="0" w:hanging="0"/>
              <w:jc w:val="center"/>
              <w:rPr/>
            </w:pPr>
            <w:r>
              <w:rPr/>
              <w:drawing>
                <wp:inline distT="0" distB="0" distL="0" distR="0">
                  <wp:extent cx="5340350" cy="3771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40350" cy="3771900"/>
                          </a:xfrm>
                          <a:prstGeom prst="rect">
                            <a:avLst/>
                          </a:prstGeom>
                        </pic:spPr>
                      </pic:pic>
                    </a:graphicData>
                  </a:graphic>
                </wp:inline>
              </w:drawing>
            </w:r>
          </w:p>
        </w:tc>
        <w:tc>
          <w:tcPr>
            <w:tcW w:w="70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w:t>
            </w:r>
          </w:p>
        </w:tc>
      </w:tr>
    </w:tbl>
    <w:tbl>
      <w:tblPr>
        <w:tblW w:w="10205" w:type="dxa"/>
        <w:jc w:val="center"/>
        <w:tblInd w:w="0" w:type="dxa"/>
        <w:tblLayout w:type="fixed"/>
        <w:tblCellMar>
          <w:top w:w="0" w:type="dxa"/>
          <w:left w:w="0" w:type="dxa"/>
          <w:bottom w:w="0" w:type="dxa"/>
          <w:right w:w="0" w:type="dxa"/>
        </w:tblCellMar>
      </w:tblPr>
      <w:tblGrid>
        <w:gridCol w:w="717"/>
        <w:gridCol w:w="8899"/>
        <w:gridCol w:w="589"/>
      </w:tblGrid>
      <w:tr>
        <w:trPr/>
        <w:tc>
          <w:tcPr>
            <w:tcW w:w="717" w:type="dxa"/>
            <w:tcBorders/>
            <w:vAlign w:val="center"/>
          </w:tcPr>
          <w:p>
            <w:pPr>
              <w:pStyle w:val="TableContents"/>
              <w:bidi w:val="0"/>
              <w:spacing w:before="0" w:after="283"/>
              <w:jc w:val="left"/>
              <w:rPr>
                <w:sz w:val="4"/>
                <w:szCs w:val="4"/>
              </w:rPr>
            </w:pPr>
            <w:r>
              <w:rPr>
                <w:sz w:val="4"/>
                <w:szCs w:val="4"/>
              </w:rPr>
            </w:r>
          </w:p>
        </w:tc>
        <w:tc>
          <w:tcPr>
            <w:tcW w:w="8899" w:type="dxa"/>
            <w:tcBorders/>
          </w:tcPr>
          <w:p>
            <w:pPr>
              <w:pStyle w:val="TableContents"/>
              <w:bidi w:val="0"/>
              <w:spacing w:before="0" w:after="0"/>
              <w:ind w:left="0" w:right="0" w:hanging="0"/>
              <w:jc w:val="center"/>
              <w:rPr/>
            </w:pPr>
            <w:r>
              <w:rPr/>
              <w:drawing>
                <wp:inline distT="0" distB="0" distL="0" distR="0">
                  <wp:extent cx="5340350" cy="3771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40350" cy="3771900"/>
                          </a:xfrm>
                          <a:prstGeom prst="rect">
                            <a:avLst/>
                          </a:prstGeom>
                        </pic:spPr>
                      </pic:pic>
                    </a:graphicData>
                  </a:graphic>
                </wp:inline>
              </w:drawing>
            </w:r>
          </w:p>
        </w:tc>
        <w:tc>
          <w:tcPr>
            <w:tcW w:w="58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(B). Warrants to Issue Shares of the Issuer Not applicable</w:t>
            </w:r>
          </w:p>
        </w:tc>
      </w:tr>
    </w:tbl>
    <w:tbl>
      <w:tblPr>
        <w:tblW w:w="10205" w:type="dxa"/>
        <w:jc w:val="center"/>
        <w:tblInd w:w="0" w:type="dxa"/>
        <w:tblLayout w:type="fixed"/>
        <w:tblCellMar>
          <w:top w:w="0" w:type="dxa"/>
          <w:left w:w="0" w:type="dxa"/>
          <w:bottom w:w="0" w:type="dxa"/>
          <w:right w:w="0" w:type="dxa"/>
        </w:tblCellMar>
      </w:tblPr>
      <w:tblGrid>
        <w:gridCol w:w="475"/>
        <w:gridCol w:w="9288"/>
        <w:gridCol w:w="442"/>
      </w:tblGrid>
      <w:tr>
        <w:trPr/>
        <w:tc>
          <w:tcPr>
            <w:tcW w:w="475" w:type="dxa"/>
            <w:tcBorders/>
            <w:vAlign w:val="center"/>
          </w:tcPr>
          <w:p>
            <w:pPr>
              <w:pStyle w:val="TableContents"/>
              <w:bidi w:val="0"/>
              <w:spacing w:before="0" w:after="283"/>
              <w:jc w:val="left"/>
              <w:rPr>
                <w:sz w:val="4"/>
                <w:szCs w:val="4"/>
              </w:rPr>
            </w:pPr>
            <w:r>
              <w:rPr>
                <w:sz w:val="4"/>
                <w:szCs w:val="4"/>
              </w:rPr>
            </w:r>
          </w:p>
        </w:tc>
        <w:tc>
          <w:tcPr>
            <w:tcW w:w="9288" w:type="dxa"/>
            <w:tcBorders/>
          </w:tcPr>
          <w:p>
            <w:pPr>
              <w:pStyle w:val="TableContents"/>
              <w:bidi w:val="0"/>
              <w:spacing w:before="0" w:after="0"/>
              <w:ind w:left="0" w:right="0" w:hanging="0"/>
              <w:jc w:val="center"/>
              <w:rPr/>
            </w:pPr>
            <w:r>
              <w:rPr/>
              <w:drawing>
                <wp:inline distT="0" distB="0" distL="0" distR="0">
                  <wp:extent cx="5340350" cy="3771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340350" cy="3771900"/>
                          </a:xfrm>
                          <a:prstGeom prst="rect">
                            <a:avLst/>
                          </a:prstGeom>
                        </pic:spPr>
                      </pic:pic>
                    </a:graphicData>
                  </a:graphic>
                </wp:inline>
              </w:drawing>
            </w:r>
          </w:p>
        </w:tc>
        <w:tc>
          <w:tcPr>
            <w:tcW w:w="44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(C). Convertibles (i.e. Convertible into Shares of the Issuer) Not applicable</w:t>
            </w:r>
          </w:p>
        </w:tc>
      </w:tr>
    </w:tbl>
    <w:tbl>
      <w:tblPr>
        <w:tblW w:w="10205" w:type="dxa"/>
        <w:jc w:val="center"/>
        <w:tblInd w:w="0" w:type="dxa"/>
        <w:tblLayout w:type="fixed"/>
        <w:tblCellMar>
          <w:top w:w="0" w:type="dxa"/>
          <w:left w:w="0" w:type="dxa"/>
          <w:bottom w:w="0" w:type="dxa"/>
          <w:right w:w="0" w:type="dxa"/>
        </w:tblCellMar>
      </w:tblPr>
      <w:tblGrid>
        <w:gridCol w:w="178"/>
        <w:gridCol w:w="9752"/>
        <w:gridCol w:w="275"/>
      </w:tblGrid>
      <w:tr>
        <w:trPr/>
        <w:tc>
          <w:tcPr>
            <w:tcW w:w="178" w:type="dxa"/>
            <w:tcBorders/>
            <w:vAlign w:val="center"/>
          </w:tcPr>
          <w:p>
            <w:pPr>
              <w:pStyle w:val="TableContents"/>
              <w:bidi w:val="0"/>
              <w:spacing w:before="0" w:after="283"/>
              <w:jc w:val="left"/>
              <w:rPr>
                <w:sz w:val="4"/>
                <w:szCs w:val="4"/>
              </w:rPr>
            </w:pPr>
            <w:r>
              <w:rPr>
                <w:sz w:val="4"/>
                <w:szCs w:val="4"/>
              </w:rPr>
            </w:r>
          </w:p>
        </w:tc>
        <w:tc>
          <w:tcPr>
            <w:tcW w:w="9752" w:type="dxa"/>
            <w:tcBorders/>
          </w:tcPr>
          <w:p>
            <w:pPr>
              <w:pStyle w:val="TableContents"/>
              <w:bidi w:val="0"/>
              <w:spacing w:before="0" w:after="0"/>
              <w:ind w:left="0" w:right="0" w:hanging="0"/>
              <w:jc w:val="center"/>
              <w:rPr/>
            </w:pPr>
            <w:r>
              <w:rPr/>
              <w:drawing>
                <wp:inline distT="0" distB="0" distL="0" distR="0">
                  <wp:extent cx="5340350" cy="3771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340350" cy="3771900"/>
                          </a:xfrm>
                          <a:prstGeom prst="rect">
                            <a:avLst/>
                          </a:prstGeom>
                        </pic:spPr>
                      </pic:pic>
                    </a:graphicData>
                  </a:graphic>
                </wp:inline>
              </w:drawing>
            </w:r>
          </w:p>
        </w:tc>
        <w:tc>
          <w:tcPr>
            <w:tcW w:w="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(D). Any other Agreements or Arrangements to Issue Shares of the Issuer, including Options (other than Share Option Schemes) 1. Class of shares Ordinary shares Type of shares A Listed on the Exchange (Note 1) Yes Stock code (if listed) 00800 Description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2018 Share Plan (adopted in June 2018 and amended and restated in July 2024) - Share awards 14,740,911 2). 2026 Share Plan - Share Awards 13 March 2026 18 Increase in issued shares (excluding treasury shares): Ordinary shares A (DD1) Decrease in treasury shares: Ordinary shares A (DD2)</w:t>
            </w:r>
          </w:p>
        </w:tc>
      </w:tr>
    </w:tbl>
    <w:tbl>
      <w:tblPr>
        <w:tblW w:w="10205" w:type="dxa"/>
        <w:jc w:val="center"/>
        <w:tblInd w:w="0" w:type="dxa"/>
        <w:tblLayout w:type="fixed"/>
        <w:tblCellMar>
          <w:top w:w="0" w:type="dxa"/>
          <w:left w:w="0" w:type="dxa"/>
          <w:bottom w:w="0" w:type="dxa"/>
          <w:right w:w="0" w:type="dxa"/>
        </w:tblCellMar>
      </w:tblPr>
      <w:tblGrid>
        <w:gridCol w:w="188"/>
        <w:gridCol w:w="9751"/>
        <w:gridCol w:w="266"/>
      </w:tblGrid>
      <w:tr>
        <w:trPr/>
        <w:tc>
          <w:tcPr>
            <w:tcW w:w="188" w:type="dxa"/>
            <w:tcBorders/>
            <w:vAlign w:val="center"/>
          </w:tcPr>
          <w:p>
            <w:pPr>
              <w:pStyle w:val="TableContents"/>
              <w:bidi w:val="0"/>
              <w:spacing w:before="0" w:after="283"/>
              <w:jc w:val="left"/>
              <w:rPr>
                <w:sz w:val="4"/>
                <w:szCs w:val="4"/>
              </w:rPr>
            </w:pPr>
            <w:r>
              <w:rPr>
                <w:sz w:val="4"/>
                <w:szCs w:val="4"/>
              </w:rPr>
            </w:r>
          </w:p>
        </w:tc>
        <w:tc>
          <w:tcPr>
            <w:tcW w:w="9751" w:type="dxa"/>
            <w:tcBorders/>
          </w:tcPr>
          <w:p>
            <w:pPr>
              <w:pStyle w:val="TableContents"/>
              <w:bidi w:val="0"/>
              <w:spacing w:before="0" w:after="0"/>
              <w:ind w:left="0" w:right="0" w:hanging="0"/>
              <w:jc w:val="center"/>
              <w:rPr/>
            </w:pPr>
            <w:r>
              <w:rPr/>
              <w:drawing>
                <wp:inline distT="0" distB="0" distL="0" distR="0">
                  <wp:extent cx="5340350" cy="3771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340350" cy="3771900"/>
                          </a:xfrm>
                          <a:prstGeom prst="rect">
                            <a:avLst/>
                          </a:prstGeom>
                        </pic:spPr>
                      </pic:pic>
                    </a:graphicData>
                  </a:graphic>
                </wp:inline>
              </w:drawing>
            </w:r>
          </w:p>
        </w:tc>
        <w:tc>
          <w:tcPr>
            <w:tcW w:w="26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(E). Other Movements in Issued Shares and/or Treasury Shares Not applicable Total increase/ decrease (-) in issued shares (excluding treasury shares) during the month (i.e. Total of AA1 to EE1): WVR ordinary shares A Total increase/ decrease (-) in issued shares (excluding treasury shares) during the month (i.e. Total of AA1 to EE1): Ordinary shares A Total increase/ decrease (-) in treasury shares during the month (i.e. Total of AA2 to EE2): WVR ordinary shares A Total increase/ decrease (-) in treasury shares during the month (i.e. Total of AA2 to EE2): Ordinary shares A</w:t>
            </w:r>
          </w:p>
        </w:tc>
      </w:tr>
    </w:tbl>
    <w:tbl>
      <w:tblPr>
        <w:tblW w:w="10205" w:type="dxa"/>
        <w:jc w:val="center"/>
        <w:tblInd w:w="0" w:type="dxa"/>
        <w:tblLayout w:type="fixed"/>
        <w:tblCellMar>
          <w:top w:w="0" w:type="dxa"/>
          <w:left w:w="0" w:type="dxa"/>
          <w:bottom w:w="0" w:type="dxa"/>
          <w:right w:w="0" w:type="dxa"/>
        </w:tblCellMar>
      </w:tblPr>
      <w:tblGrid>
        <w:gridCol w:w="437"/>
        <w:gridCol w:w="9357"/>
        <w:gridCol w:w="411"/>
      </w:tblGrid>
      <w:tr>
        <w:trPr/>
        <w:tc>
          <w:tcPr>
            <w:tcW w:w="437" w:type="dxa"/>
            <w:tcBorders/>
            <w:vAlign w:val="center"/>
          </w:tcPr>
          <w:p>
            <w:pPr>
              <w:pStyle w:val="TableContents"/>
              <w:bidi w:val="0"/>
              <w:spacing w:before="0" w:after="283"/>
              <w:jc w:val="left"/>
              <w:rPr>
                <w:sz w:val="4"/>
                <w:szCs w:val="4"/>
              </w:rPr>
            </w:pPr>
            <w:r>
              <w:rPr>
                <w:sz w:val="4"/>
                <w:szCs w:val="4"/>
              </w:rPr>
            </w:r>
          </w:p>
        </w:tc>
        <w:tc>
          <w:tcPr>
            <w:tcW w:w="9357" w:type="dxa"/>
            <w:tcBorders/>
          </w:tcPr>
          <w:p>
            <w:pPr>
              <w:pStyle w:val="TableContents"/>
              <w:bidi w:val="0"/>
              <w:spacing w:before="0" w:after="0"/>
              <w:ind w:left="0" w:right="0" w:hanging="0"/>
              <w:jc w:val="center"/>
              <w:rPr/>
            </w:pPr>
            <w:r>
              <w:rPr/>
              <w:drawing>
                <wp:inline distT="0" distB="0" distL="0" distR="0">
                  <wp:extent cx="5340350" cy="3771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340350" cy="3771900"/>
                          </a:xfrm>
                          <a:prstGeom prst="rect">
                            <a:avLst/>
                          </a:prstGeom>
                        </pic:spPr>
                      </pic:pic>
                    </a:graphicData>
                  </a:graphic>
                </wp:inline>
              </w:drawing>
            </w:r>
          </w:p>
        </w:tc>
        <w:tc>
          <w:tcPr>
            <w:tcW w:w="41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0205" w:type="dxa"/>
        <w:jc w:val="center"/>
        <w:tblInd w:w="0" w:type="dxa"/>
        <w:tblLayout w:type="fixed"/>
        <w:tblCellMar>
          <w:top w:w="0" w:type="dxa"/>
          <w:left w:w="0" w:type="dxa"/>
          <w:bottom w:w="0" w:type="dxa"/>
          <w:right w:w="0" w:type="dxa"/>
        </w:tblCellMar>
      </w:tblPr>
      <w:tblGrid>
        <w:gridCol w:w="267"/>
        <w:gridCol w:w="9623"/>
        <w:gridCol w:w="315"/>
      </w:tblGrid>
      <w:tr>
        <w:trPr/>
        <w:tc>
          <w:tcPr>
            <w:tcW w:w="267" w:type="dxa"/>
            <w:tcBorders/>
            <w:vAlign w:val="center"/>
          </w:tcPr>
          <w:p>
            <w:pPr>
              <w:pStyle w:val="TableContents"/>
              <w:bidi w:val="0"/>
              <w:spacing w:before="0" w:after="283"/>
              <w:jc w:val="left"/>
              <w:rPr>
                <w:sz w:val="4"/>
                <w:szCs w:val="4"/>
              </w:rPr>
            </w:pPr>
            <w:r>
              <w:rPr>
                <w:sz w:val="4"/>
                <w:szCs w:val="4"/>
              </w:rPr>
            </w:r>
          </w:p>
        </w:tc>
        <w:tc>
          <w:tcPr>
            <w:tcW w:w="9623" w:type="dxa"/>
            <w:tcBorders/>
          </w:tcPr>
          <w:p>
            <w:pPr>
              <w:pStyle w:val="TableContents"/>
              <w:bidi w:val="0"/>
              <w:spacing w:before="0" w:after="0"/>
              <w:ind w:left="0" w:right="0" w:hanging="0"/>
              <w:jc w:val="center"/>
              <w:rPr/>
            </w:pPr>
            <w:r>
              <w:rPr/>
              <w:drawing>
                <wp:inline distT="0" distB="0" distL="0" distR="0">
                  <wp:extent cx="5340350" cy="3771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40350" cy="3771900"/>
                          </a:xfrm>
                          <a:prstGeom prst="rect">
                            <a:avLst/>
                          </a:prstGeom>
                        </pic:spPr>
                      </pic:pic>
                    </a:graphicData>
                  </a:graphic>
                </wp:inline>
              </w:drawing>
            </w:r>
          </w:p>
        </w:tc>
        <w:tc>
          <w:tcPr>
            <w:tcW w:w="3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Not applicable Submitted by: Wang Liang Title: Joint Company Secretary (Director, Secretary or other Duly Authorised Officer)</w:t>
            </w:r>
          </w:p>
        </w:tc>
      </w:tr>
    </w:tbl>
    <w:tbl>
      <w:tblPr>
        <w:tblW w:w="10205" w:type="dxa"/>
        <w:jc w:val="center"/>
        <w:tblInd w:w="0" w:type="dxa"/>
        <w:tblLayout w:type="fixed"/>
        <w:tblCellMar>
          <w:top w:w="0" w:type="dxa"/>
          <w:left w:w="0" w:type="dxa"/>
          <w:bottom w:w="0" w:type="dxa"/>
          <w:right w:w="0" w:type="dxa"/>
        </w:tblCellMar>
      </w:tblPr>
      <w:tblGrid>
        <w:gridCol w:w="173"/>
        <w:gridCol w:w="9760"/>
        <w:gridCol w:w="272"/>
      </w:tblGrid>
      <w:tr>
        <w:trPr/>
        <w:tc>
          <w:tcPr>
            <w:tcW w:w="173" w:type="dxa"/>
            <w:tcBorders/>
            <w:vAlign w:val="center"/>
          </w:tcPr>
          <w:p>
            <w:pPr>
              <w:pStyle w:val="TableContents"/>
              <w:bidi w:val="0"/>
              <w:spacing w:before="0" w:after="283"/>
              <w:jc w:val="left"/>
              <w:rPr>
                <w:sz w:val="4"/>
                <w:szCs w:val="4"/>
              </w:rPr>
            </w:pPr>
            <w:r>
              <w:rPr>
                <w:sz w:val="4"/>
                <w:szCs w:val="4"/>
              </w:rPr>
            </w:r>
          </w:p>
        </w:tc>
        <w:tc>
          <w:tcPr>
            <w:tcW w:w="9760" w:type="dxa"/>
            <w:tcBorders/>
          </w:tcPr>
          <w:p>
            <w:pPr>
              <w:pStyle w:val="TableContents"/>
              <w:bidi w:val="0"/>
              <w:spacing w:before="0" w:after="0"/>
              <w:ind w:left="0" w:right="0" w:hanging="0"/>
              <w:jc w:val="center"/>
              <w:rPr/>
            </w:pPr>
            <w:r>
              <w:rPr/>
              <w:drawing>
                <wp:inline distT="0" distB="0" distL="0" distR="0">
                  <wp:extent cx="5340350" cy="3771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340350" cy="3771900"/>
                          </a:xfrm>
                          <a:prstGeom prst="rect">
                            <a:avLst/>
                          </a:prstGeom>
                        </pic:spPr>
                      </pic:pic>
                    </a:graphicData>
                  </a:graphic>
                </wp:inline>
              </w:drawing>
            </w:r>
          </w:p>
        </w:tc>
        <w:tc>
          <w:tcPr>
            <w:tcW w:w="272"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1772</Words>
  <Characters>8959</Characters>
  <CharactersWithSpaces>10738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