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242570</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748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6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748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June 2026</w:t>
      </w:r>
    </w:p>
    <w:p>
      <w:pPr>
        <w:spacing w:after="0" w:line="16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7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30"/>
          <w:szCs w:val="30"/>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748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21st Floor, Tower A, Guanzhou Life Science Innovation Center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 51, Luoxuan Road, Guangzhou International Biotech Island</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Guangzhou 510005</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96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6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480" w:type="dxa"/>
            <w:vAlign w:val="bottom"/>
            <w:gridSpan w:val="3"/>
          </w:tcPr>
          <w:p>
            <w:pPr>
              <w:ind w:left="13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4"/>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2"/>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9"/>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9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0000EE"/>
              </w:rPr>
              <w:t>Press Release – WeRide Inc. Announces Results of the Annual General Meeting Held on Friday, June 26, 2026</w:t>
            </w:r>
          </w:p>
        </w:tc>
      </w:tr>
      <w:tr>
        <w:trPr>
          <w:trHeight w:val="129"/>
        </w:trPr>
        <w:tc>
          <w:tcPr>
            <w:tcW w:w="22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58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2"/>
                <w:szCs w:val="12"/>
                <w:color w:val="0000EE"/>
              </w:rPr>
              <w:t>Announcement – Poll Results of the Annual General Meeting Held on Friday, June 26, 2026</w:t>
            </w:r>
          </w:p>
        </w:tc>
        <w:tc>
          <w:tcPr>
            <w:tcW w:w="920" w:type="dxa"/>
            <w:vAlign w:val="bottom"/>
            <w:tcBorders>
              <w:top w:val="single" w:sz="8" w:color="0000EE"/>
            </w:tcBorders>
          </w:tcPr>
          <w:p>
            <w:pPr>
              <w:spacing w:after="0"/>
              <w:rPr>
                <w:sz w:val="11"/>
                <w:szCs w:val="11"/>
                <w:color w:val="auto"/>
              </w:rPr>
            </w:pPr>
          </w:p>
        </w:tc>
        <w:tc>
          <w:tcPr>
            <w:tcW w:w="4440" w:type="dxa"/>
            <w:vAlign w:val="bottom"/>
          </w:tcPr>
          <w:p>
            <w:pPr>
              <w:spacing w:after="0"/>
              <w:rPr>
                <w:sz w:val="11"/>
                <w:szCs w:val="11"/>
                <w:color w:val="auto"/>
              </w:rPr>
            </w:pPr>
          </w:p>
        </w:tc>
      </w:tr>
      <w:tr>
        <w:trPr>
          <w:trHeight w:val="129"/>
        </w:trPr>
        <w:tc>
          <w:tcPr>
            <w:tcW w:w="2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940" w:type="dxa"/>
            <w:vAlign w:val="bottom"/>
            <w:gridSpan w:val="4"/>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June 26, 2026</w:t>
            </w:r>
          </w:p>
        </w:tc>
      </w:tr>
      <w:tr>
        <w:trPr>
          <w:trHeight w:val="473"/>
        </w:trPr>
        <w:tc>
          <w:tcPr>
            <w:tcW w:w="2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WeRide Inc.</w:t>
      </w:r>
    </w:p>
    <w:p>
      <w:pPr>
        <w:spacing w:after="0" w:line="160"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Jennifer Li</w:t>
            </w:r>
          </w:p>
        </w:tc>
      </w:tr>
      <w:tr>
        <w:trPr>
          <w:trHeight w:val="126"/>
        </w:trPr>
        <w:tc>
          <w:tcPr>
            <w:tcW w:w="5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Jennifer Li</w:t>
            </w:r>
          </w:p>
        </w:tc>
      </w:tr>
      <w:tr>
        <w:trPr>
          <w:trHeight w:val="16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3" w:name="page4"/>
    <w:bookmarkEnd w:id="3"/>
    <w:p>
      <w:pPr>
        <w:ind w:left="1052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WeRide Inc. Announces Results of Annual General Meeting</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NEW YORK, June 26, 2026 (GLOBE NEWSWIRE) – WeRide Inc. (“WeRide” or the “Company”) (Nasdaq: WRD; HKEx: 0800), a global leader in autonomous driving technology, today announced that each of the proposed resolutions submitted for shareholders’ approval (the “Proposed Resolutions”) as set forth in the notice of the annual general meeting dated May 8, 2026, Beijing time (the “AGM Notice”), has been adopted at the annual general meeting held in Guangzhou, Guangdong Province, China today.</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After the adoption of the Proposed Resolutions, all corporate authorizations and actions contemplated thereunder are approved, including, among other things, that (i) each of Dr. Tony Xu Han, Dr. Yan Li, Mr. Ichijo Futakawa, Mr. Jean-François Salles, Ms. Huiping Yan, Mr. David Zhang and Dr. Tony Fan-cheong Chan is re-elected as a director of the Company; (ii) the directors of the Company are granted a general unconditional mandate to allot, issue or deal with additional Class A ordinary shares and/or resell treasury shares; and (iii) the directors of the Company are granted a general unconditional mandate to repurchase the Company’s own shares and/or American depositary shares (“ADSs”), on the terms and in the periods as set out in the AGM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WeRide</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 xml:space="preserve">WeRide is a global leader and a first mover in the autonomous driving industry, as well as the first publicly traded Robotaxi company. Our autonomous vehicles have been deployed in over 40 cities across 12 countries. We are also the first and only technology company whose products have received autonomous driving permits in eight markets: China, the UAE, Singapore, France, Switzerland,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 For more information, please visit </w:t>
      </w:r>
      <w:r>
        <w:rPr>
          <w:rFonts w:ascii="Times New Roman" w:cs="Times New Roman" w:eastAsia="Times New Roman" w:hAnsi="Times New Roman"/>
          <w:sz w:val="12"/>
          <w:szCs w:val="12"/>
          <w:u w:val="single" w:color="auto"/>
          <w:color w:val="auto"/>
        </w:rPr>
        <w:t>www.weride.ai</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ir@weride.ai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4" w:name="page5"/>
    <w:bookmarkEnd w:id="4"/>
    <w:p>
      <w:pPr>
        <w:ind w:left="105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17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2"/>
          <w:szCs w:val="12"/>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7825" cy="478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7825"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WeRide Inc.</w:t>
      </w:r>
    </w:p>
    <w:p>
      <w:pPr>
        <w:spacing w:after="0" w:line="24" w:lineRule="exact"/>
        <w:rPr>
          <w:sz w:val="20"/>
          <w:szCs w:val="20"/>
          <w:color w:val="auto"/>
        </w:rPr>
      </w:pPr>
    </w:p>
    <w:p>
      <w:pPr>
        <w:ind w:left="5380"/>
        <w:spacing w:after="0" w:line="146" w:lineRule="exact"/>
        <w:rPr>
          <w:sz w:val="20"/>
          <w:szCs w:val="20"/>
          <w:color w:val="auto"/>
        </w:rPr>
      </w:pPr>
      <w:r>
        <w:rPr>
          <w:rFonts w:ascii="PMingLiU" w:cs="PMingLiU" w:eastAsia="PMingLiU" w:hAnsi="PMingLiU"/>
          <w:sz w:val="12"/>
          <w:szCs w:val="12"/>
          <w:color w:val="auto"/>
          <w:highlight w:val="black"/>
        </w:rPr>
        <w:t>文遠知行</w:t>
      </w:r>
      <w:r>
        <w:rPr>
          <w:rFonts w:ascii="Times New Roman" w:cs="Times New Roman" w:eastAsia="Times New Roman" w:hAnsi="Times New Roman"/>
          <w:sz w:val="12"/>
          <w:szCs w:val="12"/>
          <w:b w:val="1"/>
          <w:bCs w:val="1"/>
          <w:color w:val="auto"/>
        </w:rPr>
        <w:t>*</w:t>
      </w:r>
    </w:p>
    <w:p>
      <w:pPr>
        <w:spacing w:after="0" w:line="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i w:val="1"/>
          <w:iCs w:val="1"/>
          <w:color w:val="auto"/>
        </w:rPr>
        <w:t>(A company controlled through weighted voting rights and incorporated in the Cayman Islands with limited liability)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Code: 0800)</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POLL RESULTS OF THE ANNUAL GENERAL MEETING HELD ON JUNE 26, 2026</w:t>
      </w:r>
    </w:p>
    <w:p>
      <w:pPr>
        <w:spacing w:after="0" w:line="16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2"/>
          <w:szCs w:val="12"/>
          <w:color w:val="auto"/>
        </w:rPr>
        <w:t>References are made to the Notice of Annual General Meeting (the “</w:t>
      </w:r>
      <w:r>
        <w:rPr>
          <w:rFonts w:ascii="Times New Roman" w:cs="Times New Roman" w:eastAsia="Times New Roman" w:hAnsi="Times New Roman"/>
          <w:sz w:val="12"/>
          <w:szCs w:val="12"/>
          <w:b w:val="1"/>
          <w:bCs w:val="1"/>
          <w:color w:val="auto"/>
        </w:rPr>
        <w:t>AGM</w:t>
      </w:r>
      <w:r>
        <w:rPr>
          <w:rFonts w:ascii="Times New Roman" w:cs="Times New Roman" w:eastAsia="Times New Roman" w:hAnsi="Times New Roman"/>
          <w:sz w:val="12"/>
          <w:szCs w:val="12"/>
          <w:color w:val="auto"/>
        </w:rPr>
        <w:t>”) and the circular (the “</w:t>
      </w:r>
      <w:r>
        <w:rPr>
          <w:rFonts w:ascii="Times New Roman" w:cs="Times New Roman" w:eastAsia="Times New Roman" w:hAnsi="Times New Roman"/>
          <w:sz w:val="12"/>
          <w:szCs w:val="12"/>
          <w:b w:val="1"/>
          <w:bCs w:val="1"/>
          <w:color w:val="auto"/>
        </w:rPr>
        <w:t>Circular</w:t>
      </w:r>
      <w:r>
        <w:rPr>
          <w:rFonts w:ascii="Times New Roman" w:cs="Times New Roman" w:eastAsia="Times New Roman" w:hAnsi="Times New Roman"/>
          <w:sz w:val="12"/>
          <w:szCs w:val="12"/>
          <w:color w:val="auto"/>
        </w:rPr>
        <w:t>”) of WeRide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both dated May 8, 2026. Unless otherwise indicated, capitalized terms used herein shall have the same meanings as those defined in the Circular.</w:t>
      </w:r>
    </w:p>
    <w:p>
      <w:pPr>
        <w:spacing w:after="0" w:line="10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2"/>
          <w:szCs w:val="12"/>
          <w:color w:val="auto"/>
        </w:rPr>
        <w:t>The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of the Company is pleased to announce that the AGM was held at 10:00 a.m. (Beijing time) on June 26, 2026 at 16/F, Tower A, KWG Flourishing Biotech Square, 68 Luoxuan Boulevard, Guangzhou International Biotech Island, Huangpu District, Guangzhou, Guangdong Province, PRC.</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All resolutions proposed at the AGM have been duly passed. As of the Share Record Date, the total number of issued Shares was 1,027,322,464 Shares, comprising 972,508,041 Class A Ordinary Shares and 54,814,423 Class B Ordinary Shares. Our Depositary, which held 23,313,450 Class A Ordinary Shares which may be used to satisfy any future exercise or vesting of awards granted under the 2018 Share Plan and the 2026 Share Plan, abstained from voting on all resolutions at the AGM in respect of such Class A Ordinary Shares. As of the Share Record Date, the Company held 29,736,256 treasury Shares, which were not entitled to vote at the AGM. There were no repurchased Shares pending cancellation that should be excluded from the total number of issued Shares for the purpose of determining Shareholders’ entitlement to attend and vote at the AGM. Save as disclosed above, there was no Shareholder who was required to abstain from voting under the Listing Rules on any resolution proposed at the AGM, nor any Shareholder who was entitled to attend the AGM but was required to abstain from voting in favor of any resolution proposed at the AGM pursuant to Rule 13.40 of the Listing Rules. No Shareholder has indicated in the Circular that he or she intends to vote against or in abstention in respect of any resolution proposed at the AGM.</w:t>
      </w:r>
    </w:p>
    <w:p>
      <w:pPr>
        <w:spacing w:after="0" w:line="27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Accordingly, the total number of Shares entitling the holders to attend and vote on the resolutions proposed at the AGM was 974,272,758 Shares, comprising 919,458,335 Class A Ordinary Shares and 54,814,423 Class B Ordinary Shares.</w:t>
      </w:r>
    </w:p>
    <w:p>
      <w:pPr>
        <w:spacing w:after="0" w:line="10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2"/>
          <w:szCs w:val="12"/>
          <w:color w:val="auto"/>
        </w:rPr>
        <w:t>According to the Company’s ninth amended and restated memorandum and articles of association, (i) with regard to the resolutions numbered 1, 2(a)(i), 2(a)(ii), 2(a)(iii), 2(a)(iv), 2(b), 3, 4 and 5, each Class A Ordinary Share shall entitle its holder to one vote and each Class B Ordinary Share shall entitle its holder to ten votes on a poll at the AGM; and (ii) with regard to the resolutions numbered 2(a)(v), 2(a)(vi), 2(a)(vii) and 6, each Class A Ordinary Share and each Class B Ordinary Share shall entitle its holder to one vote on a poll at the AGM.</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In accordance with the provisions of the Listing Rule, voting on the resolutions at the AGM was conducted by way of poll. The voting results in respect of all the Proposed Resolutions at the AGM were as follows: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80" w:type="dxa"/>
            <w:vAlign w:val="bottom"/>
            <w:tcBorders>
              <w:top w:val="single" w:sz="8" w:color="231F20"/>
              <w:left w:val="single" w:sz="8" w:color="231F20"/>
            </w:tcBorders>
          </w:tcPr>
          <w:p>
            <w:pPr>
              <w:spacing w:after="0"/>
              <w:rPr>
                <w:sz w:val="24"/>
                <w:szCs w:val="24"/>
                <w:color w:val="auto"/>
              </w:rPr>
            </w:pPr>
          </w:p>
        </w:tc>
        <w:tc>
          <w:tcPr>
            <w:tcW w:w="2600" w:type="dxa"/>
            <w:vAlign w:val="bottom"/>
            <w:tcBorders>
              <w:top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spacing w:after="0"/>
              <w:rPr>
                <w:sz w:val="24"/>
                <w:szCs w:val="24"/>
                <w:color w:val="auto"/>
              </w:rPr>
            </w:pPr>
          </w:p>
        </w:tc>
        <w:tc>
          <w:tcPr>
            <w:tcW w:w="1060" w:type="dxa"/>
            <w:vAlign w:val="bottom"/>
            <w:tcBorders>
              <w:top w:val="single" w:sz="8" w:color="231F20"/>
            </w:tcBorders>
          </w:tcPr>
          <w:p>
            <w:pPr>
              <w:spacing w:after="0"/>
              <w:rPr>
                <w:sz w:val="24"/>
                <w:szCs w:val="24"/>
                <w:color w:val="auto"/>
              </w:rPr>
            </w:pPr>
          </w:p>
        </w:tc>
        <w:tc>
          <w:tcPr>
            <w:tcW w:w="1940" w:type="dxa"/>
            <w:vAlign w:val="bottom"/>
            <w:tcBorders>
              <w:top w:val="single" w:sz="8" w:color="231F20"/>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VOTES CAST AND</w:t>
            </w:r>
          </w:p>
        </w:tc>
        <w:tc>
          <w:tcPr>
            <w:tcW w:w="1060" w:type="dxa"/>
            <w:vAlign w:val="bottom"/>
            <w:tcBorders>
              <w:top w:val="single" w:sz="8" w:color="231F20"/>
              <w:right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tcBorders>
          </w:tcPr>
          <w:p>
            <w:pPr>
              <w:spacing w:after="0"/>
              <w:rPr>
                <w:sz w:val="12"/>
                <w:szCs w:val="12"/>
                <w:color w:val="auto"/>
              </w:rPr>
            </w:pPr>
          </w:p>
        </w:tc>
        <w:tc>
          <w:tcPr>
            <w:tcW w:w="260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ORDINARY RESOLUTIONS</w:t>
            </w:r>
          </w:p>
        </w:tc>
        <w:tc>
          <w:tcPr>
            <w:tcW w:w="1360" w:type="dxa"/>
            <w:vAlign w:val="bottom"/>
            <w:tcBorders>
              <w:right w:val="single" w:sz="8" w:color="231F20"/>
            </w:tcBorders>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PERCENTAGE (%)</w:t>
            </w: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52"/>
        </w:trPr>
        <w:tc>
          <w:tcPr>
            <w:tcW w:w="580" w:type="dxa"/>
            <w:vAlign w:val="bottom"/>
            <w:tcBorders>
              <w:left w:val="single" w:sz="8" w:color="231F20"/>
            </w:tcBorders>
          </w:tcPr>
          <w:p>
            <w:pPr>
              <w:spacing w:after="0"/>
              <w:rPr>
                <w:sz w:val="4"/>
                <w:szCs w:val="4"/>
                <w:color w:val="auto"/>
              </w:rPr>
            </w:pPr>
          </w:p>
        </w:tc>
        <w:tc>
          <w:tcPr>
            <w:tcW w:w="2600" w:type="dxa"/>
            <w:vAlign w:val="bottom"/>
          </w:tcPr>
          <w:p>
            <w:pPr>
              <w:spacing w:after="0"/>
              <w:rPr>
                <w:sz w:val="4"/>
                <w:szCs w:val="4"/>
                <w:color w:val="auto"/>
              </w:rPr>
            </w:pPr>
          </w:p>
        </w:tc>
        <w:tc>
          <w:tcPr>
            <w:tcW w:w="1360" w:type="dxa"/>
            <w:vAlign w:val="bottom"/>
            <w:tcBorders>
              <w:right w:val="single" w:sz="8" w:color="231F20"/>
            </w:tcBorders>
          </w:tcPr>
          <w:p>
            <w:pPr>
              <w:spacing w:after="0"/>
              <w:rPr>
                <w:sz w:val="4"/>
                <w:szCs w:val="4"/>
                <w:color w:val="auto"/>
              </w:rPr>
            </w:pPr>
          </w:p>
        </w:tc>
        <w:tc>
          <w:tcPr>
            <w:tcW w:w="106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1060" w:type="dxa"/>
            <w:vAlign w:val="bottom"/>
            <w:tcBorders>
              <w:bottom w:val="single" w:sz="8" w:color="231F20"/>
              <w:right w:val="single" w:sz="8" w:color="231F20"/>
            </w:tcBorders>
          </w:tcPr>
          <w:p>
            <w:pPr>
              <w:spacing w:after="0"/>
              <w:rPr>
                <w:sz w:val="4"/>
                <w:szCs w:val="4"/>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VOTES CAST</w:t>
            </w:r>
          </w:p>
        </w:tc>
        <w:tc>
          <w:tcPr>
            <w:tcW w:w="0" w:type="dxa"/>
            <w:vAlign w:val="bottom"/>
          </w:tcPr>
          <w:p>
            <w:pPr>
              <w:spacing w:after="0"/>
              <w:rPr>
                <w:sz w:val="1"/>
                <w:szCs w:val="1"/>
                <w:color w:val="auto"/>
              </w:rPr>
            </w:pPr>
          </w:p>
        </w:tc>
      </w:tr>
      <w:tr>
        <w:trPr>
          <w:trHeight w:val="77"/>
        </w:trPr>
        <w:tc>
          <w:tcPr>
            <w:tcW w:w="580" w:type="dxa"/>
            <w:vAlign w:val="bottom"/>
            <w:tcBorders>
              <w:left w:val="single" w:sz="8" w:color="231F20"/>
            </w:tcBorders>
          </w:tcPr>
          <w:p>
            <w:pPr>
              <w:spacing w:after="0"/>
              <w:rPr>
                <w:sz w:val="6"/>
                <w:szCs w:val="6"/>
                <w:color w:val="auto"/>
              </w:rPr>
            </w:pPr>
          </w:p>
        </w:tc>
        <w:tc>
          <w:tcPr>
            <w:tcW w:w="2600" w:type="dxa"/>
            <w:vAlign w:val="bottom"/>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060" w:type="dxa"/>
            <w:vAlign w:val="bottom"/>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FOR</w:t>
            </w:r>
          </w:p>
        </w:tc>
        <w:tc>
          <w:tcPr>
            <w:tcW w:w="30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280" w:type="dxa"/>
            <w:vAlign w:val="bottom"/>
          </w:tcPr>
          <w:p>
            <w:pPr>
              <w:spacing w:after="0"/>
              <w:rPr>
                <w:sz w:val="6"/>
                <w:szCs w:val="6"/>
                <w:color w:val="auto"/>
              </w:rPr>
            </w:pPr>
          </w:p>
        </w:tc>
        <w:tc>
          <w:tcPr>
            <w:tcW w:w="1060" w:type="dxa"/>
            <w:vAlign w:val="bottom"/>
            <w:tcBorders>
              <w:right w:val="single" w:sz="8" w:color="231F20"/>
            </w:tcBorders>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ABSTAIN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231F20"/>
              <w:bottom w:val="single" w:sz="8" w:color="231F20"/>
            </w:tcBorders>
          </w:tcPr>
          <w:p>
            <w:pPr>
              <w:spacing w:after="0"/>
              <w:rPr>
                <w:sz w:val="14"/>
                <w:szCs w:val="14"/>
                <w:color w:val="auto"/>
              </w:rPr>
            </w:pPr>
          </w:p>
        </w:tc>
        <w:tc>
          <w:tcPr>
            <w:tcW w:w="2600" w:type="dxa"/>
            <w:vAlign w:val="bottom"/>
            <w:tcBorders>
              <w:bottom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060" w:type="dxa"/>
            <w:vAlign w:val="bottom"/>
            <w:tcBorders>
              <w:bottom w:val="single" w:sz="8" w:color="231F20"/>
            </w:tcBorders>
            <w:vMerge w:val="continue"/>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vMerge w:val="continue"/>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vMerge w:val="continue"/>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1.</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receive and adopt the audited consolidated</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751,107,333</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165,147</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82,079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financial statements and the reports of directors</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(99.967096%)</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(0.021980%)</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(0.010924%)</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Directors</w:t>
            </w:r>
            <w:r>
              <w:rPr>
                <w:rFonts w:ascii="Times New Roman" w:cs="Times New Roman" w:eastAsia="Times New Roman" w:hAnsi="Times New Roman"/>
                <w:sz w:val="12"/>
                <w:szCs w:val="12"/>
                <w:color w:val="auto"/>
              </w:rPr>
              <w:t>”)  and  the  auditors  of  the</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94"/>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Company for the year ended December 31, 2025.</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1,299,251,563</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165,147</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82,079</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(99.980975%)</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(0.012709%)</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(0.006316%)</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(i).</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Dr. Tony Xu Han as an executive</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749,084,366</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2,215,306</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54,887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(99.697853%)</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(0.294842%)</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(0.007305%)</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1,297,228,596</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2,215,306</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54,887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(99.825302%)</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(0.170474%)</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(0.004224%)</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(ii).</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Dr. Yan Li as an executive Director.</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744,409,571</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6,889,774</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55,214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69"/>
        </w:trPr>
        <w:tc>
          <w:tcPr>
            <w:tcW w:w="580" w:type="dxa"/>
            <w:vAlign w:val="bottom"/>
            <w:tcBorders>
              <w:left w:val="single" w:sz="8" w:color="231F20"/>
              <w:right w:val="single" w:sz="8" w:color="231F20"/>
            </w:tcBorders>
          </w:tcPr>
          <w:p>
            <w:pPr>
              <w:spacing w:after="0"/>
              <w:rPr>
                <w:sz w:val="14"/>
                <w:szCs w:val="14"/>
                <w:color w:val="auto"/>
              </w:rPr>
            </w:pPr>
          </w:p>
        </w:tc>
        <w:tc>
          <w:tcPr>
            <w:tcW w:w="2600" w:type="dxa"/>
            <w:vAlign w:val="bottom"/>
            <w:tcBorders>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(99.075671%)</w:t>
            </w: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(0.916980%)</w:t>
            </w: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(0.007349%)</w:t>
            </w: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Borders>
              <w:left w:val="single" w:sz="8" w:color="231F20"/>
              <w:right w:val="single" w:sz="8" w:color="231F20"/>
            </w:tcBorders>
          </w:tcPr>
          <w:p>
            <w:pPr>
              <w:spacing w:after="0"/>
              <w:rPr>
                <w:sz w:val="13"/>
                <w:szCs w:val="13"/>
                <w:color w:val="auto"/>
              </w:rPr>
            </w:pPr>
          </w:p>
        </w:tc>
        <w:tc>
          <w:tcPr>
            <w:tcW w:w="260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3"/>
                <w:szCs w:val="13"/>
                <w:color w:val="auto"/>
              </w:rPr>
            </w:pPr>
          </w:p>
        </w:tc>
        <w:tc>
          <w:tcPr>
            <w:tcW w:w="1060" w:type="dxa"/>
            <w:vAlign w:val="bottom"/>
            <w:tcBorders>
              <w:right w:val="single" w:sz="8" w:color="231F20"/>
            </w:tcBorders>
          </w:tcPr>
          <w:p>
            <w:pPr>
              <w:jc w:val="right"/>
              <w:ind w:right="598"/>
              <w:spacing w:after="0"/>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1,292,553,801</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6,889,774</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58"/>
              <w:spacing w:after="0"/>
              <w:rPr>
                <w:sz w:val="20"/>
                <w:szCs w:val="20"/>
                <w:color w:val="auto"/>
              </w:rPr>
            </w:pPr>
            <w:r>
              <w:rPr>
                <w:rFonts w:ascii="Times New Roman" w:cs="Times New Roman" w:eastAsia="Times New Roman" w:hAnsi="Times New Roman"/>
                <w:sz w:val="12"/>
                <w:szCs w:val="12"/>
                <w:color w:val="auto"/>
              </w:rPr>
              <w:t>55,214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(99.465564%)</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(0.530187%)</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(0.004249%)</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6" w:right="29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80" w:type="dxa"/>
            <w:vAlign w:val="bottom"/>
            <w:tcBorders>
              <w:top w:val="single" w:sz="8" w:color="231F20"/>
              <w:left w:val="single" w:sz="8" w:color="231F20"/>
            </w:tcBorders>
          </w:tcPr>
          <w:p>
            <w:pPr>
              <w:spacing w:after="0"/>
              <w:rPr>
                <w:sz w:val="24"/>
                <w:szCs w:val="24"/>
                <w:color w:val="auto"/>
              </w:rPr>
            </w:pPr>
          </w:p>
        </w:tc>
        <w:tc>
          <w:tcPr>
            <w:tcW w:w="2600" w:type="dxa"/>
            <w:vAlign w:val="bottom"/>
            <w:tcBorders>
              <w:top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spacing w:after="0"/>
              <w:rPr>
                <w:sz w:val="24"/>
                <w:szCs w:val="24"/>
                <w:color w:val="auto"/>
              </w:rPr>
            </w:pPr>
          </w:p>
        </w:tc>
        <w:tc>
          <w:tcPr>
            <w:tcW w:w="1060" w:type="dxa"/>
            <w:vAlign w:val="bottom"/>
            <w:tcBorders>
              <w:top w:val="single" w:sz="8" w:color="231F20"/>
            </w:tcBorders>
          </w:tcPr>
          <w:p>
            <w:pPr>
              <w:spacing w:after="0"/>
              <w:rPr>
                <w:sz w:val="24"/>
                <w:szCs w:val="24"/>
                <w:color w:val="auto"/>
              </w:rPr>
            </w:pPr>
          </w:p>
        </w:tc>
        <w:tc>
          <w:tcPr>
            <w:tcW w:w="1940" w:type="dxa"/>
            <w:vAlign w:val="bottom"/>
            <w:tcBorders>
              <w:top w:val="single" w:sz="8" w:color="231F20"/>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VOTES CAST AND</w:t>
            </w:r>
          </w:p>
        </w:tc>
        <w:tc>
          <w:tcPr>
            <w:tcW w:w="1060" w:type="dxa"/>
            <w:vAlign w:val="bottom"/>
            <w:tcBorders>
              <w:top w:val="single" w:sz="8" w:color="231F20"/>
              <w:right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tcBorders>
          </w:tcPr>
          <w:p>
            <w:pPr>
              <w:spacing w:after="0"/>
              <w:rPr>
                <w:sz w:val="12"/>
                <w:szCs w:val="12"/>
                <w:color w:val="auto"/>
              </w:rPr>
            </w:pPr>
          </w:p>
        </w:tc>
        <w:tc>
          <w:tcPr>
            <w:tcW w:w="260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ORDINARY RESOLUTIONS</w:t>
            </w:r>
          </w:p>
        </w:tc>
        <w:tc>
          <w:tcPr>
            <w:tcW w:w="1360" w:type="dxa"/>
            <w:vAlign w:val="bottom"/>
            <w:tcBorders>
              <w:right w:val="single" w:sz="8" w:color="231F20"/>
            </w:tcBorders>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PERCENTAGE (%)</w:t>
            </w: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52"/>
        </w:trPr>
        <w:tc>
          <w:tcPr>
            <w:tcW w:w="580" w:type="dxa"/>
            <w:vAlign w:val="bottom"/>
            <w:tcBorders>
              <w:left w:val="single" w:sz="8" w:color="231F20"/>
            </w:tcBorders>
          </w:tcPr>
          <w:p>
            <w:pPr>
              <w:spacing w:after="0"/>
              <w:rPr>
                <w:sz w:val="4"/>
                <w:szCs w:val="4"/>
                <w:color w:val="auto"/>
              </w:rPr>
            </w:pPr>
          </w:p>
        </w:tc>
        <w:tc>
          <w:tcPr>
            <w:tcW w:w="2600" w:type="dxa"/>
            <w:vAlign w:val="bottom"/>
          </w:tcPr>
          <w:p>
            <w:pPr>
              <w:spacing w:after="0"/>
              <w:rPr>
                <w:sz w:val="4"/>
                <w:szCs w:val="4"/>
                <w:color w:val="auto"/>
              </w:rPr>
            </w:pPr>
          </w:p>
        </w:tc>
        <w:tc>
          <w:tcPr>
            <w:tcW w:w="1360" w:type="dxa"/>
            <w:vAlign w:val="bottom"/>
            <w:tcBorders>
              <w:right w:val="single" w:sz="8" w:color="231F20"/>
            </w:tcBorders>
          </w:tcPr>
          <w:p>
            <w:pPr>
              <w:spacing w:after="0"/>
              <w:rPr>
                <w:sz w:val="4"/>
                <w:szCs w:val="4"/>
                <w:color w:val="auto"/>
              </w:rPr>
            </w:pPr>
          </w:p>
        </w:tc>
        <w:tc>
          <w:tcPr>
            <w:tcW w:w="106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1060" w:type="dxa"/>
            <w:vAlign w:val="bottom"/>
            <w:tcBorders>
              <w:bottom w:val="single" w:sz="8" w:color="231F20"/>
              <w:right w:val="single" w:sz="8" w:color="231F20"/>
            </w:tcBorders>
          </w:tcPr>
          <w:p>
            <w:pPr>
              <w:spacing w:after="0"/>
              <w:rPr>
                <w:sz w:val="4"/>
                <w:szCs w:val="4"/>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VOTES CAST</w:t>
            </w:r>
          </w:p>
        </w:tc>
        <w:tc>
          <w:tcPr>
            <w:tcW w:w="0" w:type="dxa"/>
            <w:vAlign w:val="bottom"/>
          </w:tcPr>
          <w:p>
            <w:pPr>
              <w:spacing w:after="0"/>
              <w:rPr>
                <w:sz w:val="1"/>
                <w:szCs w:val="1"/>
                <w:color w:val="auto"/>
              </w:rPr>
            </w:pPr>
          </w:p>
        </w:tc>
      </w:tr>
      <w:tr>
        <w:trPr>
          <w:trHeight w:val="77"/>
        </w:trPr>
        <w:tc>
          <w:tcPr>
            <w:tcW w:w="580" w:type="dxa"/>
            <w:vAlign w:val="bottom"/>
            <w:tcBorders>
              <w:left w:val="single" w:sz="8" w:color="231F20"/>
            </w:tcBorders>
          </w:tcPr>
          <w:p>
            <w:pPr>
              <w:spacing w:after="0"/>
              <w:rPr>
                <w:sz w:val="6"/>
                <w:szCs w:val="6"/>
                <w:color w:val="auto"/>
              </w:rPr>
            </w:pPr>
          </w:p>
        </w:tc>
        <w:tc>
          <w:tcPr>
            <w:tcW w:w="2600" w:type="dxa"/>
            <w:vAlign w:val="bottom"/>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060" w:type="dxa"/>
            <w:vAlign w:val="bottom"/>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FOR</w:t>
            </w:r>
          </w:p>
        </w:tc>
        <w:tc>
          <w:tcPr>
            <w:tcW w:w="30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280" w:type="dxa"/>
            <w:vAlign w:val="bottom"/>
          </w:tcPr>
          <w:p>
            <w:pPr>
              <w:spacing w:after="0"/>
              <w:rPr>
                <w:sz w:val="6"/>
                <w:szCs w:val="6"/>
                <w:color w:val="auto"/>
              </w:rPr>
            </w:pPr>
          </w:p>
        </w:tc>
        <w:tc>
          <w:tcPr>
            <w:tcW w:w="1060" w:type="dxa"/>
            <w:vAlign w:val="bottom"/>
            <w:tcBorders>
              <w:right w:val="single" w:sz="8" w:color="231F20"/>
            </w:tcBorders>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ABSTAIN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231F20"/>
              <w:bottom w:val="single" w:sz="8" w:color="231F20"/>
            </w:tcBorders>
          </w:tcPr>
          <w:p>
            <w:pPr>
              <w:spacing w:after="0"/>
              <w:rPr>
                <w:sz w:val="14"/>
                <w:szCs w:val="14"/>
                <w:color w:val="auto"/>
              </w:rPr>
            </w:pPr>
          </w:p>
        </w:tc>
        <w:tc>
          <w:tcPr>
            <w:tcW w:w="2600" w:type="dxa"/>
            <w:vAlign w:val="bottom"/>
            <w:tcBorders>
              <w:bottom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060" w:type="dxa"/>
            <w:vAlign w:val="bottom"/>
            <w:tcBorders>
              <w:bottom w:val="single" w:sz="8" w:color="231F20"/>
            </w:tcBorders>
            <w:vMerge w:val="continue"/>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vMerge w:val="continue"/>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vMerge w:val="continue"/>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(iii).</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Mr.  Ichijo  Futakawa  as  a  non-</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744,265,868</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6,881,065</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207,626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executive 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(99.056545%)</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(0.915821%)</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(0.027634%)</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1,292,410,098</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6,881,065</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207,626</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(99.454506%)</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(0.529517%)</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(0.015977%)</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(iv).</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Mr. Jean-François Salles as a non-</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744,267,929</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6,877,048</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209,582</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executive 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(99.056819%)</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(0.915287%)</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(0.027894%)</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right"/>
              <w:ind w:right="598"/>
              <w:spacing w:after="0"/>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1,292,412,159</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6,877,048</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209,582</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(99.454664%)</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(0.529208%)</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(0.016128%)</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(v).</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Ms. Huiping Yan as an independent</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750,392,602</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743,039</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218,918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non-executive 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(99.871970%)</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(0.098894%)</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(0.029136%)</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198"/>
              <w:spacing w:after="0"/>
              <w:rPr>
                <w:sz w:val="20"/>
                <w:szCs w:val="20"/>
                <w:color w:val="auto"/>
              </w:rPr>
            </w:pPr>
            <w:r>
              <w:rPr>
                <w:rFonts w:ascii="Times New Roman" w:cs="Times New Roman" w:eastAsia="Times New Roman" w:hAnsi="Times New Roman"/>
                <w:sz w:val="12"/>
                <w:szCs w:val="12"/>
                <w:color w:val="auto"/>
              </w:rPr>
              <w:t>54,814,423</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right"/>
              <w:ind w:right="598"/>
              <w:spacing w:after="0"/>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805,207,025</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743,039</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218,918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(99.880676%)</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(0.092169%)</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(0.027155%)</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84"/>
        </w:trPr>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9" w:right="29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80" w:type="dxa"/>
            <w:vAlign w:val="bottom"/>
            <w:tcBorders>
              <w:top w:val="single" w:sz="8" w:color="231F20"/>
              <w:left w:val="single" w:sz="8" w:color="231F20"/>
            </w:tcBorders>
          </w:tcPr>
          <w:p>
            <w:pPr>
              <w:spacing w:after="0"/>
              <w:rPr>
                <w:sz w:val="24"/>
                <w:szCs w:val="24"/>
                <w:color w:val="auto"/>
              </w:rPr>
            </w:pPr>
          </w:p>
        </w:tc>
        <w:tc>
          <w:tcPr>
            <w:tcW w:w="2600" w:type="dxa"/>
            <w:vAlign w:val="bottom"/>
            <w:tcBorders>
              <w:top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spacing w:after="0"/>
              <w:rPr>
                <w:sz w:val="24"/>
                <w:szCs w:val="24"/>
                <w:color w:val="auto"/>
              </w:rPr>
            </w:pPr>
          </w:p>
        </w:tc>
        <w:tc>
          <w:tcPr>
            <w:tcW w:w="1060" w:type="dxa"/>
            <w:vAlign w:val="bottom"/>
            <w:tcBorders>
              <w:top w:val="single" w:sz="8" w:color="231F20"/>
            </w:tcBorders>
          </w:tcPr>
          <w:p>
            <w:pPr>
              <w:spacing w:after="0"/>
              <w:rPr>
                <w:sz w:val="24"/>
                <w:szCs w:val="24"/>
                <w:color w:val="auto"/>
              </w:rPr>
            </w:pPr>
          </w:p>
        </w:tc>
        <w:tc>
          <w:tcPr>
            <w:tcW w:w="1940" w:type="dxa"/>
            <w:vAlign w:val="bottom"/>
            <w:tcBorders>
              <w:top w:val="single" w:sz="8" w:color="231F20"/>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VOTES CAST AND</w:t>
            </w:r>
          </w:p>
        </w:tc>
        <w:tc>
          <w:tcPr>
            <w:tcW w:w="1060" w:type="dxa"/>
            <w:vAlign w:val="bottom"/>
            <w:tcBorders>
              <w:top w:val="single" w:sz="8" w:color="231F20"/>
              <w:right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tcBorders>
          </w:tcPr>
          <w:p>
            <w:pPr>
              <w:spacing w:after="0"/>
              <w:rPr>
                <w:sz w:val="12"/>
                <w:szCs w:val="12"/>
                <w:color w:val="auto"/>
              </w:rPr>
            </w:pPr>
          </w:p>
        </w:tc>
        <w:tc>
          <w:tcPr>
            <w:tcW w:w="260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ORDINARY RESOLUTIONS</w:t>
            </w:r>
          </w:p>
        </w:tc>
        <w:tc>
          <w:tcPr>
            <w:tcW w:w="1360" w:type="dxa"/>
            <w:vAlign w:val="bottom"/>
            <w:tcBorders>
              <w:right w:val="single" w:sz="8" w:color="231F20"/>
            </w:tcBorders>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PERCENTAGE (%)</w:t>
            </w: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52"/>
        </w:trPr>
        <w:tc>
          <w:tcPr>
            <w:tcW w:w="580" w:type="dxa"/>
            <w:vAlign w:val="bottom"/>
            <w:tcBorders>
              <w:left w:val="single" w:sz="8" w:color="231F20"/>
            </w:tcBorders>
          </w:tcPr>
          <w:p>
            <w:pPr>
              <w:spacing w:after="0"/>
              <w:rPr>
                <w:sz w:val="4"/>
                <w:szCs w:val="4"/>
                <w:color w:val="auto"/>
              </w:rPr>
            </w:pPr>
          </w:p>
        </w:tc>
        <w:tc>
          <w:tcPr>
            <w:tcW w:w="2600" w:type="dxa"/>
            <w:vAlign w:val="bottom"/>
          </w:tcPr>
          <w:p>
            <w:pPr>
              <w:spacing w:after="0"/>
              <w:rPr>
                <w:sz w:val="4"/>
                <w:szCs w:val="4"/>
                <w:color w:val="auto"/>
              </w:rPr>
            </w:pPr>
          </w:p>
        </w:tc>
        <w:tc>
          <w:tcPr>
            <w:tcW w:w="1360" w:type="dxa"/>
            <w:vAlign w:val="bottom"/>
            <w:tcBorders>
              <w:right w:val="single" w:sz="8" w:color="231F20"/>
            </w:tcBorders>
          </w:tcPr>
          <w:p>
            <w:pPr>
              <w:spacing w:after="0"/>
              <w:rPr>
                <w:sz w:val="4"/>
                <w:szCs w:val="4"/>
                <w:color w:val="auto"/>
              </w:rPr>
            </w:pPr>
          </w:p>
        </w:tc>
        <w:tc>
          <w:tcPr>
            <w:tcW w:w="106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1060" w:type="dxa"/>
            <w:vAlign w:val="bottom"/>
            <w:tcBorders>
              <w:bottom w:val="single" w:sz="8" w:color="231F20"/>
              <w:right w:val="single" w:sz="8" w:color="231F20"/>
            </w:tcBorders>
          </w:tcPr>
          <w:p>
            <w:pPr>
              <w:spacing w:after="0"/>
              <w:rPr>
                <w:sz w:val="4"/>
                <w:szCs w:val="4"/>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VOTES CAST</w:t>
            </w:r>
          </w:p>
        </w:tc>
        <w:tc>
          <w:tcPr>
            <w:tcW w:w="0" w:type="dxa"/>
            <w:vAlign w:val="bottom"/>
          </w:tcPr>
          <w:p>
            <w:pPr>
              <w:spacing w:after="0"/>
              <w:rPr>
                <w:sz w:val="1"/>
                <w:szCs w:val="1"/>
                <w:color w:val="auto"/>
              </w:rPr>
            </w:pPr>
          </w:p>
        </w:tc>
      </w:tr>
      <w:tr>
        <w:trPr>
          <w:trHeight w:val="77"/>
        </w:trPr>
        <w:tc>
          <w:tcPr>
            <w:tcW w:w="580" w:type="dxa"/>
            <w:vAlign w:val="bottom"/>
            <w:tcBorders>
              <w:left w:val="single" w:sz="8" w:color="231F20"/>
            </w:tcBorders>
          </w:tcPr>
          <w:p>
            <w:pPr>
              <w:spacing w:after="0"/>
              <w:rPr>
                <w:sz w:val="6"/>
                <w:szCs w:val="6"/>
                <w:color w:val="auto"/>
              </w:rPr>
            </w:pPr>
          </w:p>
        </w:tc>
        <w:tc>
          <w:tcPr>
            <w:tcW w:w="2600" w:type="dxa"/>
            <w:vAlign w:val="bottom"/>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060" w:type="dxa"/>
            <w:vAlign w:val="bottom"/>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FOR</w:t>
            </w:r>
          </w:p>
        </w:tc>
        <w:tc>
          <w:tcPr>
            <w:tcW w:w="30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280" w:type="dxa"/>
            <w:vAlign w:val="bottom"/>
          </w:tcPr>
          <w:p>
            <w:pPr>
              <w:spacing w:after="0"/>
              <w:rPr>
                <w:sz w:val="6"/>
                <w:szCs w:val="6"/>
                <w:color w:val="auto"/>
              </w:rPr>
            </w:pPr>
          </w:p>
        </w:tc>
        <w:tc>
          <w:tcPr>
            <w:tcW w:w="1060" w:type="dxa"/>
            <w:vAlign w:val="bottom"/>
            <w:tcBorders>
              <w:right w:val="single" w:sz="8" w:color="231F20"/>
            </w:tcBorders>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ABSTAIN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231F20"/>
              <w:bottom w:val="single" w:sz="8" w:color="231F20"/>
            </w:tcBorders>
          </w:tcPr>
          <w:p>
            <w:pPr>
              <w:spacing w:after="0"/>
              <w:rPr>
                <w:sz w:val="14"/>
                <w:szCs w:val="14"/>
                <w:color w:val="auto"/>
              </w:rPr>
            </w:pPr>
          </w:p>
        </w:tc>
        <w:tc>
          <w:tcPr>
            <w:tcW w:w="2600" w:type="dxa"/>
            <w:vAlign w:val="bottom"/>
            <w:tcBorders>
              <w:bottom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060" w:type="dxa"/>
            <w:vAlign w:val="bottom"/>
            <w:tcBorders>
              <w:bottom w:val="single" w:sz="8" w:color="231F20"/>
            </w:tcBorders>
            <w:vMerge w:val="continue"/>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vMerge w:val="continue"/>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vMerge w:val="continue"/>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2(a) (vi).</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Mr. David Zhang as an independent</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742,896,417</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7,804,848</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653,294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non-executive 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(98.874281%)</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(1.038770%)</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(0.086949%)</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198"/>
              <w:spacing w:after="0"/>
              <w:rPr>
                <w:sz w:val="20"/>
                <w:szCs w:val="20"/>
                <w:color w:val="auto"/>
              </w:rPr>
            </w:pPr>
            <w:r>
              <w:rPr>
                <w:rFonts w:ascii="Times New Roman" w:cs="Times New Roman" w:eastAsia="Times New Roman" w:hAnsi="Times New Roman"/>
                <w:sz w:val="12"/>
                <w:szCs w:val="12"/>
                <w:color w:val="auto"/>
              </w:rPr>
              <w:t>54,814,423</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right"/>
              <w:ind w:right="598"/>
              <w:spacing w:after="0"/>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797,710,840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7,804,848</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653,294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(98.950823%)</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(0.968140%)</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(0.081037%)</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w w:val="99"/>
              </w:rPr>
              <w:t>2(a) (vii).</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re-elect Dr. Tony Fan-cheong Chan as an</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750,527,766</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605,112</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221,681</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independent non-executive Director.</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(99.889960%)</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(0.080536%)</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(0.029504%)</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Pr>
          <w:p>
            <w:pPr>
              <w:jc w:val="center"/>
              <w:ind w:left="198"/>
              <w:spacing w:after="0"/>
              <w:rPr>
                <w:sz w:val="20"/>
                <w:szCs w:val="20"/>
                <w:color w:val="auto"/>
              </w:rPr>
            </w:pPr>
            <w:r>
              <w:rPr>
                <w:rFonts w:ascii="Times New Roman" w:cs="Times New Roman" w:eastAsia="Times New Roman" w:hAnsi="Times New Roman"/>
                <w:sz w:val="12"/>
                <w:szCs w:val="12"/>
                <w:color w:val="auto"/>
              </w:rPr>
              <w:t>54,814,423</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6"/>
                <w:szCs w:val="16"/>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805,342,189</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605,112</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221,681</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(99.897442%)</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(0.075060%)</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(0.027498%)</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2"/>
                <w:szCs w:val="12"/>
                <w:color w:val="auto"/>
              </w:rPr>
              <w:t>2(b).</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authorize  the  board  of  Directors  (the</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Ordinary</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747,649,391</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3,462,976</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242,192</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177"/>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to fix the Direc tors’ remuneration.</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Shares</w:t>
            </w: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(99.506868%)</w:t>
            </w:r>
          </w:p>
        </w:tc>
        <w:tc>
          <w:tcPr>
            <w:tcW w:w="30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(0.460898%)</w:t>
            </w:r>
          </w:p>
        </w:tc>
        <w:tc>
          <w:tcPr>
            <w:tcW w:w="2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(0.032234%)</w:t>
            </w:r>
          </w:p>
        </w:tc>
        <w:tc>
          <w:tcPr>
            <w:tcW w:w="1360" w:type="dxa"/>
            <w:vAlign w:val="bottom"/>
            <w:tcBorders>
              <w:bottom w:val="single" w:sz="8" w:color="231F20"/>
              <w:right w:val="single" w:sz="8" w:color="231F20"/>
            </w:tcBorders>
          </w:tcPr>
          <w:p>
            <w:pPr>
              <w:spacing w:after="0"/>
              <w:rPr>
                <w:sz w:val="15"/>
                <w:szCs w:val="15"/>
                <w:color w:val="auto"/>
              </w:rPr>
            </w:pPr>
          </w:p>
        </w:tc>
        <w:tc>
          <w:tcPr>
            <w:tcW w:w="13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 Ordinary Shares</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548,144,230</w:t>
            </w: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69"/>
        </w:trPr>
        <w:tc>
          <w:tcPr>
            <w:tcW w:w="580" w:type="dxa"/>
            <w:vAlign w:val="bottom"/>
            <w:tcBorders>
              <w:left w:val="single" w:sz="8" w:color="231F20"/>
              <w:right w:val="single" w:sz="8" w:color="231F20"/>
            </w:tcBorders>
          </w:tcPr>
          <w:p>
            <w:pPr>
              <w:spacing w:after="0"/>
              <w:rPr>
                <w:sz w:val="14"/>
                <w:szCs w:val="14"/>
                <w:color w:val="auto"/>
              </w:rPr>
            </w:pPr>
          </w:p>
        </w:tc>
        <w:tc>
          <w:tcPr>
            <w:tcW w:w="2600" w:type="dxa"/>
            <w:vAlign w:val="bottom"/>
            <w:tcBorders>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060" w:type="dxa"/>
            <w:vAlign w:val="bottom"/>
            <w:tcBorders>
              <w:bottom w:val="single" w:sz="8" w:color="231F20"/>
            </w:tcBorders>
          </w:tcPr>
          <w:p>
            <w:pPr>
              <w:jc w:val="center"/>
              <w:ind w:left="218"/>
              <w:spacing w:after="0"/>
              <w:rPr>
                <w:sz w:val="20"/>
                <w:szCs w:val="20"/>
                <w:color w:val="auto"/>
              </w:rPr>
            </w:pPr>
            <w:r>
              <w:rPr>
                <w:rFonts w:ascii="Times New Roman" w:cs="Times New Roman" w:eastAsia="Times New Roman" w:hAnsi="Times New Roman"/>
                <w:sz w:val="12"/>
                <w:szCs w:val="12"/>
                <w:color w:val="auto"/>
              </w:rPr>
              <w:t>(100.000000%)</w:t>
            </w: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Borders>
              <w:left w:val="single" w:sz="8" w:color="231F20"/>
              <w:right w:val="single" w:sz="8" w:color="231F20"/>
            </w:tcBorders>
          </w:tcPr>
          <w:p>
            <w:pPr>
              <w:spacing w:after="0"/>
              <w:rPr>
                <w:sz w:val="13"/>
                <w:szCs w:val="13"/>
                <w:color w:val="auto"/>
              </w:rPr>
            </w:pPr>
          </w:p>
        </w:tc>
        <w:tc>
          <w:tcPr>
            <w:tcW w:w="260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1,295,793,621</w:t>
            </w:r>
          </w:p>
        </w:tc>
        <w:tc>
          <w:tcPr>
            <w:tcW w:w="30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3,462,976</w:t>
            </w:r>
          </w:p>
        </w:tc>
        <w:tc>
          <w:tcPr>
            <w:tcW w:w="280" w:type="dxa"/>
            <w:vAlign w:val="bottom"/>
          </w:tcPr>
          <w:p>
            <w:pPr>
              <w:spacing w:after="0"/>
              <w:rPr>
                <w:sz w:val="13"/>
                <w:szCs w:val="13"/>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242,192</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173"/>
        </w:trPr>
        <w:tc>
          <w:tcPr>
            <w:tcW w:w="580" w:type="dxa"/>
            <w:vAlign w:val="bottom"/>
            <w:tcBorders>
              <w:left w:val="single" w:sz="8" w:color="231F20"/>
              <w:right w:val="single" w:sz="8" w:color="231F20"/>
            </w:tcBorders>
          </w:tcPr>
          <w:p>
            <w:pPr>
              <w:spacing w:after="0"/>
              <w:rPr>
                <w:sz w:val="15"/>
                <w:szCs w:val="15"/>
                <w:color w:val="auto"/>
              </w:rPr>
            </w:pPr>
          </w:p>
        </w:tc>
        <w:tc>
          <w:tcPr>
            <w:tcW w:w="26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060" w:type="dxa"/>
            <w:vAlign w:val="bottom"/>
          </w:tcPr>
          <w:p>
            <w:pPr>
              <w:jc w:val="center"/>
              <w:ind w:left="218"/>
              <w:spacing w:after="0"/>
              <w:rPr>
                <w:sz w:val="20"/>
                <w:szCs w:val="20"/>
                <w:color w:val="auto"/>
              </w:rPr>
            </w:pPr>
            <w:r>
              <w:rPr>
                <w:rFonts w:ascii="Times New Roman" w:cs="Times New Roman" w:eastAsia="Times New Roman" w:hAnsi="Times New Roman"/>
                <w:sz w:val="12"/>
                <w:szCs w:val="12"/>
                <w:color w:val="auto"/>
              </w:rPr>
              <w:t>(99.714877%)</w:t>
            </w:r>
          </w:p>
        </w:tc>
        <w:tc>
          <w:tcPr>
            <w:tcW w:w="30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(0.266486%)</w:t>
            </w:r>
          </w:p>
        </w:tc>
        <w:tc>
          <w:tcPr>
            <w:tcW w:w="280" w:type="dxa"/>
            <w:vAlign w:val="bottom"/>
          </w:tcPr>
          <w:p>
            <w:pPr>
              <w:spacing w:after="0"/>
              <w:rPr>
                <w:sz w:val="15"/>
                <w:szCs w:val="15"/>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(0.018637%)</w:t>
            </w:r>
          </w:p>
        </w:tc>
        <w:tc>
          <w:tcPr>
            <w:tcW w:w="136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right w:val="single" w:sz="8" w:color="231F20"/>
            </w:tcBorders>
          </w:tcPr>
          <w:p>
            <w:pPr>
              <w:spacing w:after="0"/>
              <w:rPr>
                <w:sz w:val="12"/>
                <w:szCs w:val="12"/>
                <w:color w:val="auto"/>
              </w:rPr>
            </w:pPr>
          </w:p>
        </w:tc>
        <w:tc>
          <w:tcPr>
            <w:tcW w:w="26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060" w:type="dxa"/>
            <w:vAlign w:val="bottom"/>
          </w:tcPr>
          <w:p>
            <w:pPr>
              <w:spacing w:after="0"/>
              <w:rPr>
                <w:sz w:val="12"/>
                <w:szCs w:val="12"/>
                <w:color w:val="auto"/>
              </w:rPr>
            </w:pPr>
          </w:p>
        </w:tc>
        <w:tc>
          <w:tcPr>
            <w:tcW w:w="30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spacing w:after="0"/>
              <w:rPr>
                <w:sz w:val="12"/>
                <w:szCs w:val="12"/>
                <w:color w:val="auto"/>
              </w:rPr>
            </w:pPr>
          </w:p>
        </w:tc>
        <w:tc>
          <w:tcPr>
            <w:tcW w:w="13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0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9" w:right="29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80" w:type="dxa"/>
            <w:vAlign w:val="bottom"/>
            <w:tcBorders>
              <w:top w:val="single" w:sz="8" w:color="231F20"/>
              <w:left w:val="single" w:sz="8" w:color="231F20"/>
            </w:tcBorders>
          </w:tcPr>
          <w:p>
            <w:pPr>
              <w:spacing w:after="0"/>
              <w:rPr>
                <w:sz w:val="24"/>
                <w:szCs w:val="24"/>
                <w:color w:val="auto"/>
              </w:rPr>
            </w:pPr>
          </w:p>
        </w:tc>
        <w:tc>
          <w:tcPr>
            <w:tcW w:w="2600" w:type="dxa"/>
            <w:vAlign w:val="bottom"/>
            <w:tcBorders>
              <w:top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spacing w:after="0"/>
              <w:rPr>
                <w:sz w:val="24"/>
                <w:szCs w:val="24"/>
                <w:color w:val="auto"/>
              </w:rPr>
            </w:pPr>
          </w:p>
        </w:tc>
        <w:tc>
          <w:tcPr>
            <w:tcW w:w="3000" w:type="dxa"/>
            <w:vAlign w:val="bottom"/>
            <w:tcBorders>
              <w:top w:val="single" w:sz="8" w:color="231F20"/>
            </w:tcBorders>
            <w:gridSpan w:val="3"/>
          </w:tcPr>
          <w:p>
            <w:pPr>
              <w:ind w:left="1080"/>
              <w:spacing w:after="0"/>
              <w:rPr>
                <w:sz w:val="20"/>
                <w:szCs w:val="20"/>
                <w:color w:val="auto"/>
              </w:rPr>
            </w:pPr>
            <w:r>
              <w:rPr>
                <w:rFonts w:ascii="Times New Roman" w:cs="Times New Roman" w:eastAsia="Times New Roman" w:hAnsi="Times New Roman"/>
                <w:sz w:val="12"/>
                <w:szCs w:val="12"/>
                <w:b w:val="1"/>
                <w:bCs w:val="1"/>
                <w:color w:val="auto"/>
              </w:rPr>
              <w:t>NUMBER OF VOTES CAST AND</w:t>
            </w:r>
          </w:p>
        </w:tc>
        <w:tc>
          <w:tcPr>
            <w:tcW w:w="1060" w:type="dxa"/>
            <w:vAlign w:val="bottom"/>
            <w:tcBorders>
              <w:top w:val="single" w:sz="8" w:color="231F20"/>
              <w:right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13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0" w:type="dxa"/>
            <w:vAlign w:val="bottom"/>
          </w:tcPr>
          <w:p>
            <w:pPr>
              <w:spacing w:after="0"/>
              <w:rPr>
                <w:sz w:val="1"/>
                <w:szCs w:val="1"/>
                <w:color w:val="auto"/>
              </w:rPr>
            </w:pPr>
          </w:p>
        </w:tc>
      </w:tr>
      <w:tr>
        <w:trPr>
          <w:trHeight w:val="149"/>
        </w:trPr>
        <w:tc>
          <w:tcPr>
            <w:tcW w:w="580" w:type="dxa"/>
            <w:vAlign w:val="bottom"/>
            <w:tcBorders>
              <w:left w:val="single" w:sz="8" w:color="231F20"/>
            </w:tcBorders>
          </w:tcPr>
          <w:p>
            <w:pPr>
              <w:spacing w:after="0"/>
              <w:rPr>
                <w:sz w:val="12"/>
                <w:szCs w:val="12"/>
                <w:color w:val="auto"/>
              </w:rPr>
            </w:pPr>
          </w:p>
        </w:tc>
        <w:tc>
          <w:tcPr>
            <w:tcW w:w="260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ORDINARY RESOLUTIONS</w:t>
            </w:r>
          </w:p>
        </w:tc>
        <w:tc>
          <w:tcPr>
            <w:tcW w:w="1360" w:type="dxa"/>
            <w:vAlign w:val="bottom"/>
            <w:tcBorders>
              <w:right w:val="single" w:sz="8" w:color="231F20"/>
            </w:tcBorders>
          </w:tcPr>
          <w:p>
            <w:pPr>
              <w:spacing w:after="0"/>
              <w:rPr>
                <w:sz w:val="12"/>
                <w:szCs w:val="12"/>
                <w:color w:val="auto"/>
              </w:rPr>
            </w:pPr>
          </w:p>
        </w:tc>
        <w:tc>
          <w:tcPr>
            <w:tcW w:w="1360" w:type="dxa"/>
            <w:vAlign w:val="bottom"/>
          </w:tcPr>
          <w:p>
            <w:pPr>
              <w:spacing w:after="0"/>
              <w:rPr>
                <w:sz w:val="12"/>
                <w:szCs w:val="1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PERCENTAGE (%)</w:t>
            </w:r>
          </w:p>
        </w:tc>
        <w:tc>
          <w:tcPr>
            <w:tcW w:w="106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52"/>
        </w:trPr>
        <w:tc>
          <w:tcPr>
            <w:tcW w:w="580" w:type="dxa"/>
            <w:vAlign w:val="bottom"/>
            <w:tcBorders>
              <w:left w:val="single" w:sz="8" w:color="231F20"/>
            </w:tcBorders>
          </w:tcPr>
          <w:p>
            <w:pPr>
              <w:spacing w:after="0"/>
              <w:rPr>
                <w:sz w:val="4"/>
                <w:szCs w:val="4"/>
                <w:color w:val="auto"/>
              </w:rPr>
            </w:pPr>
          </w:p>
        </w:tc>
        <w:tc>
          <w:tcPr>
            <w:tcW w:w="2600" w:type="dxa"/>
            <w:vAlign w:val="bottom"/>
          </w:tcPr>
          <w:p>
            <w:pPr>
              <w:spacing w:after="0"/>
              <w:rPr>
                <w:sz w:val="4"/>
                <w:szCs w:val="4"/>
                <w:color w:val="auto"/>
              </w:rPr>
            </w:pPr>
          </w:p>
        </w:tc>
        <w:tc>
          <w:tcPr>
            <w:tcW w:w="1360" w:type="dxa"/>
            <w:vAlign w:val="bottom"/>
            <w:tcBorders>
              <w:right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1060" w:type="dxa"/>
            <w:vAlign w:val="bottom"/>
            <w:tcBorders>
              <w:bottom w:val="single" w:sz="8" w:color="231F20"/>
              <w:right w:val="single" w:sz="8" w:color="231F20"/>
            </w:tcBorders>
          </w:tcPr>
          <w:p>
            <w:pPr>
              <w:spacing w:after="0"/>
              <w:rPr>
                <w:sz w:val="4"/>
                <w:szCs w:val="4"/>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OF VOTING</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VOTES CAST</w:t>
            </w:r>
          </w:p>
        </w:tc>
        <w:tc>
          <w:tcPr>
            <w:tcW w:w="0" w:type="dxa"/>
            <w:vAlign w:val="bottom"/>
          </w:tcPr>
          <w:p>
            <w:pPr>
              <w:spacing w:after="0"/>
              <w:rPr>
                <w:sz w:val="1"/>
                <w:szCs w:val="1"/>
                <w:color w:val="auto"/>
              </w:rPr>
            </w:pPr>
          </w:p>
        </w:tc>
      </w:tr>
      <w:tr>
        <w:trPr>
          <w:trHeight w:val="77"/>
        </w:trPr>
        <w:tc>
          <w:tcPr>
            <w:tcW w:w="580" w:type="dxa"/>
            <w:vAlign w:val="bottom"/>
            <w:tcBorders>
              <w:left w:val="single" w:sz="8" w:color="231F20"/>
            </w:tcBorders>
          </w:tcPr>
          <w:p>
            <w:pPr>
              <w:spacing w:after="0"/>
              <w:rPr>
                <w:sz w:val="6"/>
                <w:szCs w:val="6"/>
                <w:color w:val="auto"/>
              </w:rPr>
            </w:pPr>
          </w:p>
        </w:tc>
        <w:tc>
          <w:tcPr>
            <w:tcW w:w="2600" w:type="dxa"/>
            <w:vAlign w:val="bottom"/>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restart"/>
          </w:tcPr>
          <w:p>
            <w:pPr>
              <w:jc w:val="right"/>
              <w:ind w:right="498"/>
              <w:spacing w:after="0"/>
              <w:rPr>
                <w:sz w:val="20"/>
                <w:szCs w:val="20"/>
                <w:color w:val="auto"/>
              </w:rPr>
            </w:pPr>
            <w:r>
              <w:rPr>
                <w:rFonts w:ascii="Times New Roman" w:cs="Times New Roman" w:eastAsia="Times New Roman" w:hAnsi="Times New Roman"/>
                <w:sz w:val="12"/>
                <w:szCs w:val="12"/>
                <w:b w:val="1"/>
                <w:bCs w:val="1"/>
                <w:color w:val="auto"/>
              </w:rPr>
              <w:t>FOR</w:t>
            </w: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280" w:type="dxa"/>
            <w:vAlign w:val="bottom"/>
          </w:tcPr>
          <w:p>
            <w:pPr>
              <w:spacing w:after="0"/>
              <w:rPr>
                <w:sz w:val="6"/>
                <w:szCs w:val="6"/>
                <w:color w:val="auto"/>
              </w:rPr>
            </w:pPr>
          </w:p>
        </w:tc>
        <w:tc>
          <w:tcPr>
            <w:tcW w:w="1060" w:type="dxa"/>
            <w:vAlign w:val="bottom"/>
            <w:tcBorders>
              <w:right w:val="single" w:sz="8" w:color="231F20"/>
            </w:tcBorders>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ABSTAIN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231F20"/>
              <w:bottom w:val="single" w:sz="8" w:color="231F20"/>
            </w:tcBorders>
          </w:tcPr>
          <w:p>
            <w:pPr>
              <w:spacing w:after="0"/>
              <w:rPr>
                <w:sz w:val="14"/>
                <w:szCs w:val="14"/>
                <w:color w:val="auto"/>
              </w:rPr>
            </w:pPr>
          </w:p>
        </w:tc>
        <w:tc>
          <w:tcPr>
            <w:tcW w:w="2600" w:type="dxa"/>
            <w:vAlign w:val="bottom"/>
            <w:tcBorders>
              <w:bottom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vMerge w:val="continue"/>
          </w:tcPr>
          <w:p>
            <w:pPr>
              <w:spacing w:after="0"/>
              <w:rPr>
                <w:sz w:val="14"/>
                <w:szCs w:val="14"/>
                <w:color w:val="auto"/>
              </w:rPr>
            </w:pPr>
          </w:p>
        </w:tc>
        <w:tc>
          <w:tcPr>
            <w:tcW w:w="1360" w:type="dxa"/>
            <w:vAlign w:val="bottom"/>
            <w:tcBorders>
              <w:bottom w:val="single" w:sz="8" w:color="231F20"/>
              <w:right w:val="single" w:sz="8" w:color="231F20"/>
            </w:tcBorders>
            <w:vMerge w:val="continue"/>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vMerge w:val="continue"/>
          </w:tcPr>
          <w:p>
            <w:pPr>
              <w:spacing w:after="0"/>
              <w:rPr>
                <w:sz w:val="14"/>
                <w:szCs w:val="14"/>
                <w:color w:val="auto"/>
              </w:rPr>
            </w:pP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jc w:val="right"/>
              <w:ind w:right="358"/>
              <w:spacing w:after="0"/>
              <w:rPr>
                <w:sz w:val="20"/>
                <w:szCs w:val="20"/>
                <w:color w:val="auto"/>
              </w:rPr>
            </w:pPr>
            <w:r>
              <w:rPr>
                <w:rFonts w:ascii="Times New Roman" w:cs="Times New Roman" w:eastAsia="Times New Roman" w:hAnsi="Times New Roman"/>
                <w:sz w:val="12"/>
                <w:szCs w:val="12"/>
                <w:color w:val="auto"/>
              </w:rPr>
              <w:t>3.</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give a general mandate to the Directors to</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360" w:type="dxa"/>
            <w:vAlign w:val="bottom"/>
            <w:tcBorders>
              <w:right w:val="single" w:sz="8" w:color="231F20"/>
            </w:tcBorders>
          </w:tcPr>
          <w:p>
            <w:pPr>
              <w:jc w:val="right"/>
              <w:ind w:right="238"/>
              <w:spacing w:after="0"/>
              <w:rPr>
                <w:sz w:val="20"/>
                <w:szCs w:val="20"/>
                <w:color w:val="auto"/>
              </w:rPr>
            </w:pPr>
            <w:r>
              <w:rPr>
                <w:rFonts w:ascii="Times New Roman" w:cs="Times New Roman" w:eastAsia="Times New Roman" w:hAnsi="Times New Roman"/>
                <w:sz w:val="12"/>
                <w:szCs w:val="12"/>
                <w:color w:val="auto"/>
              </w:rPr>
              <w:t>704,625,124</w:t>
            </w:r>
          </w:p>
        </w:tc>
        <w:tc>
          <w:tcPr>
            <w:tcW w:w="1360" w:type="dxa"/>
            <w:vAlign w:val="bottom"/>
            <w:tcBorders>
              <w:right w:val="single" w:sz="8" w:color="231F20"/>
            </w:tcBorders>
          </w:tcPr>
          <w:p>
            <w:pPr>
              <w:ind w:left="460"/>
              <w:spacing w:after="0"/>
              <w:rPr>
                <w:sz w:val="20"/>
                <w:szCs w:val="20"/>
                <w:color w:val="auto"/>
              </w:rPr>
            </w:pPr>
            <w:r>
              <w:rPr>
                <w:rFonts w:ascii="Times New Roman" w:cs="Times New Roman" w:eastAsia="Times New Roman" w:hAnsi="Times New Roman"/>
                <w:sz w:val="12"/>
                <w:szCs w:val="12"/>
                <w:color w:val="auto"/>
              </w:rPr>
              <w:t>45,685,355</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824,080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751,134,559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751,134,559</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allot,  issue  or  deal  with  additional  Class  A</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bottom w:val="single" w:sz="8" w:color="231F20"/>
              <w:right w:val="single" w:sz="8" w:color="231F20"/>
            </w:tcBorders>
          </w:tcPr>
          <w:p>
            <w:pPr>
              <w:jc w:val="center"/>
              <w:ind w:left="18"/>
              <w:spacing w:after="0"/>
              <w:rPr>
                <w:sz w:val="20"/>
                <w:szCs w:val="20"/>
                <w:color w:val="auto"/>
              </w:rPr>
            </w:pPr>
            <w:r>
              <w:rPr>
                <w:rFonts w:ascii="Times New Roman" w:cs="Times New Roman" w:eastAsia="Times New Roman" w:hAnsi="Times New Roman"/>
                <w:sz w:val="12"/>
                <w:szCs w:val="12"/>
                <w:color w:val="auto"/>
              </w:rPr>
              <w:t>(93.808109%)</w:t>
            </w:r>
          </w:p>
        </w:tc>
        <w:tc>
          <w:tcPr>
            <w:tcW w:w="1360" w:type="dxa"/>
            <w:vAlign w:val="bottom"/>
            <w:tcBorders>
              <w:bottom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2"/>
                <w:szCs w:val="12"/>
                <w:color w:val="auto"/>
              </w:rPr>
              <w:t>(6.082180%)</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(0.109711%)</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231F20"/>
              <w:right w:val="single" w:sz="8" w:color="231F20"/>
            </w:tcBorders>
          </w:tcPr>
          <w:p>
            <w:pPr>
              <w:spacing w:after="0"/>
              <w:rPr>
                <w:sz w:val="11"/>
                <w:szCs w:val="11"/>
                <w:color w:val="auto"/>
              </w:rPr>
            </w:pPr>
          </w:p>
        </w:tc>
        <w:tc>
          <w:tcPr>
            <w:tcW w:w="260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Ordinary Shares and/or to resell treasury Shares</w:t>
            </w:r>
          </w:p>
        </w:tc>
        <w:tc>
          <w:tcPr>
            <w:tcW w:w="136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right w:val="single" w:sz="8" w:color="231F20"/>
            </w:tcBorders>
          </w:tcPr>
          <w:p>
            <w:pPr>
              <w:jc w:val="right"/>
              <w:ind w:right="238"/>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1"/>
                <w:szCs w:val="11"/>
                <w:color w:val="auto"/>
              </w:rPr>
            </w:pPr>
          </w:p>
        </w:tc>
        <w:tc>
          <w:tcPr>
            <w:tcW w:w="1060" w:type="dxa"/>
            <w:vAlign w:val="bottom"/>
            <w:tcBorders>
              <w:right w:val="single" w:sz="8" w:color="231F20"/>
            </w:tcBorders>
          </w:tcPr>
          <w:p>
            <w:pPr>
              <w:jc w:val="right"/>
              <w:ind w:right="598"/>
              <w:spacing w:after="0" w:line="132" w:lineRule="exact"/>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54,814,423</w:t>
            </w:r>
          </w:p>
        </w:tc>
        <w:tc>
          <w:tcPr>
            <w:tcW w:w="134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66"/>
        </w:trPr>
        <w:tc>
          <w:tcPr>
            <w:tcW w:w="580" w:type="dxa"/>
            <w:vAlign w:val="bottom"/>
            <w:tcBorders>
              <w:left w:val="single" w:sz="8" w:color="231F20"/>
              <w:right w:val="single" w:sz="8" w:color="231F20"/>
            </w:tcBorders>
          </w:tcPr>
          <w:p>
            <w:pPr>
              <w:spacing w:after="0"/>
              <w:rPr>
                <w:sz w:val="14"/>
                <w:szCs w:val="14"/>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not exceeding 20% of the total number of issued</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Pr>
          <w:p>
            <w:pPr>
              <w:spacing w:after="0"/>
              <w:rPr>
                <w:sz w:val="14"/>
                <w:szCs w:val="14"/>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right w:val="single" w:sz="8" w:color="231F20"/>
            </w:tcBorders>
          </w:tcPr>
          <w:p>
            <w:pPr>
              <w:spacing w:after="0"/>
              <w:rPr>
                <w:sz w:val="14"/>
                <w:szCs w:val="14"/>
                <w:color w:val="auto"/>
              </w:rPr>
            </w:pPr>
          </w:p>
        </w:tc>
        <w:tc>
          <w:tcPr>
            <w:tcW w:w="13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80" w:type="dxa"/>
            <w:vAlign w:val="bottom"/>
            <w:tcBorders>
              <w:left w:val="single" w:sz="8" w:color="231F20"/>
              <w:right w:val="single" w:sz="8" w:color="231F20"/>
            </w:tcBorders>
          </w:tcPr>
          <w:p>
            <w:pPr>
              <w:spacing w:after="0"/>
              <w:rPr>
                <w:sz w:val="3"/>
                <w:szCs w:val="3"/>
                <w:color w:val="auto"/>
              </w:rPr>
            </w:pPr>
          </w:p>
        </w:tc>
        <w:tc>
          <w:tcPr>
            <w:tcW w:w="26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Shares (excluding treasury Shares).</w:t>
            </w:r>
          </w:p>
        </w:tc>
        <w:tc>
          <w:tcPr>
            <w:tcW w:w="13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3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580" w:type="dxa"/>
            <w:vAlign w:val="bottom"/>
            <w:tcBorders>
              <w:left w:val="single" w:sz="8" w:color="231F20"/>
              <w:right w:val="single" w:sz="8" w:color="231F20"/>
            </w:tcBorders>
          </w:tcPr>
          <w:p>
            <w:pPr>
              <w:spacing w:after="0"/>
              <w:rPr>
                <w:sz w:val="8"/>
                <w:szCs w:val="8"/>
                <w:color w:val="auto"/>
              </w:rPr>
            </w:pPr>
          </w:p>
        </w:tc>
        <w:tc>
          <w:tcPr>
            <w:tcW w:w="2600" w:type="dxa"/>
            <w:vAlign w:val="bottom"/>
            <w:tcBorders>
              <w:right w:val="single" w:sz="8" w:color="231F20"/>
            </w:tcBorders>
            <w:vMerge w:val="continue"/>
          </w:tcPr>
          <w:p>
            <w:pPr>
              <w:spacing w:after="0"/>
              <w:rPr>
                <w:sz w:val="8"/>
                <w:szCs w:val="8"/>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1,252,769,354</w:t>
            </w: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color w:val="auto"/>
              </w:rPr>
              <w:t>45,685,355</w:t>
            </w:r>
          </w:p>
        </w:tc>
        <w:tc>
          <w:tcPr>
            <w:tcW w:w="280" w:type="dxa"/>
            <w:vAlign w:val="bottom"/>
          </w:tcPr>
          <w:p>
            <w:pPr>
              <w:spacing w:after="0"/>
              <w:rPr>
                <w:sz w:val="8"/>
                <w:szCs w:val="8"/>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824,080</w:t>
            </w:r>
          </w:p>
        </w:tc>
        <w:tc>
          <w:tcPr>
            <w:tcW w:w="136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231F20"/>
              <w:right w:val="single" w:sz="8" w:color="231F20"/>
            </w:tcBorders>
          </w:tcPr>
          <w:p>
            <w:pPr>
              <w:spacing w:after="0"/>
              <w:rPr>
                <w:sz w:val="5"/>
                <w:szCs w:val="5"/>
                <w:color w:val="auto"/>
              </w:rPr>
            </w:pPr>
          </w:p>
        </w:tc>
        <w:tc>
          <w:tcPr>
            <w:tcW w:w="260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34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231F20"/>
              <w:right w:val="single" w:sz="8" w:color="231F20"/>
            </w:tcBorders>
          </w:tcPr>
          <w:p>
            <w:pPr>
              <w:spacing w:after="0"/>
              <w:rPr>
                <w:sz w:val="10"/>
                <w:szCs w:val="10"/>
                <w:color w:val="auto"/>
              </w:rPr>
            </w:pPr>
          </w:p>
        </w:tc>
        <w:tc>
          <w:tcPr>
            <w:tcW w:w="260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ind w:left="60"/>
              <w:spacing w:after="0" w:line="121" w:lineRule="exact"/>
              <w:rPr>
                <w:sz w:val="20"/>
                <w:szCs w:val="20"/>
                <w:color w:val="auto"/>
              </w:rPr>
            </w:pPr>
            <w:r>
              <w:rPr>
                <w:rFonts w:ascii="Times New Roman" w:cs="Times New Roman" w:eastAsia="Times New Roman" w:hAnsi="Times New Roman"/>
                <w:sz w:val="12"/>
                <w:szCs w:val="12"/>
                <w:color w:val="auto"/>
              </w:rPr>
              <w:t>NUMBER</w:t>
            </w:r>
          </w:p>
        </w:tc>
        <w:tc>
          <w:tcPr>
            <w:tcW w:w="13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805,948,982</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1,299,278,789</w:t>
            </w:r>
          </w:p>
        </w:tc>
        <w:tc>
          <w:tcPr>
            <w:tcW w:w="0" w:type="dxa"/>
            <w:vAlign w:val="bottom"/>
          </w:tcPr>
          <w:p>
            <w:pPr>
              <w:spacing w:after="0"/>
              <w:rPr>
                <w:sz w:val="1"/>
                <w:szCs w:val="1"/>
                <w:color w:val="auto"/>
              </w:rPr>
            </w:pPr>
          </w:p>
        </w:tc>
      </w:tr>
      <w:tr>
        <w:trPr>
          <w:trHeight w:val="86"/>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(96.420365%)</w:t>
            </w:r>
          </w:p>
        </w:tc>
        <w:tc>
          <w:tcPr>
            <w:tcW w:w="1360" w:type="dxa"/>
            <w:vAlign w:val="bottom"/>
            <w:tcBorders>
              <w:right w:val="single" w:sz="8" w:color="231F20"/>
            </w:tcBorders>
            <w:vMerge w:val="restart"/>
          </w:tcPr>
          <w:p>
            <w:pPr>
              <w:ind w:left="400"/>
              <w:spacing w:after="0"/>
              <w:rPr>
                <w:sz w:val="20"/>
                <w:szCs w:val="20"/>
                <w:color w:val="auto"/>
              </w:rPr>
            </w:pPr>
            <w:r>
              <w:rPr>
                <w:rFonts w:ascii="Times New Roman" w:cs="Times New Roman" w:eastAsia="Times New Roman" w:hAnsi="Times New Roman"/>
                <w:sz w:val="12"/>
                <w:szCs w:val="12"/>
                <w:color w:val="auto"/>
              </w:rPr>
              <w:t>(3.516209%)</w:t>
            </w:r>
          </w:p>
        </w:tc>
        <w:tc>
          <w:tcPr>
            <w:tcW w:w="280" w:type="dxa"/>
            <w:vAlign w:val="bottom"/>
          </w:tcPr>
          <w:p>
            <w:pPr>
              <w:spacing w:after="0"/>
              <w:rPr>
                <w:sz w:val="7"/>
                <w:szCs w:val="7"/>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(0.063426%)</w:t>
            </w:r>
          </w:p>
        </w:tc>
        <w:tc>
          <w:tcPr>
            <w:tcW w:w="136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7"/>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jc w:val="right"/>
              <w:ind w:right="358"/>
              <w:spacing w:after="0"/>
              <w:rPr>
                <w:sz w:val="20"/>
                <w:szCs w:val="20"/>
                <w:color w:val="auto"/>
              </w:rPr>
            </w:pPr>
            <w:r>
              <w:rPr>
                <w:rFonts w:ascii="Times New Roman" w:cs="Times New Roman" w:eastAsia="Times New Roman" w:hAnsi="Times New Roman"/>
                <w:sz w:val="12"/>
                <w:szCs w:val="12"/>
                <w:color w:val="auto"/>
              </w:rPr>
              <w:t>4.</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give a repurchase mandate to the Directors to</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360" w:type="dxa"/>
            <w:vAlign w:val="bottom"/>
            <w:tcBorders>
              <w:right w:val="single" w:sz="8" w:color="231F20"/>
            </w:tcBorders>
          </w:tcPr>
          <w:p>
            <w:pPr>
              <w:jc w:val="right"/>
              <w:ind w:right="238"/>
              <w:spacing w:after="0"/>
              <w:rPr>
                <w:sz w:val="20"/>
                <w:szCs w:val="20"/>
                <w:color w:val="auto"/>
              </w:rPr>
            </w:pPr>
            <w:r>
              <w:rPr>
                <w:rFonts w:ascii="Times New Roman" w:cs="Times New Roman" w:eastAsia="Times New Roman" w:hAnsi="Times New Roman"/>
                <w:sz w:val="12"/>
                <w:szCs w:val="12"/>
                <w:color w:val="auto"/>
              </w:rPr>
              <w:t>750,713,145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530,544</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110,870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82"/>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repurchase Class A Ordinary Shares and/or ADSs</w:t>
            </w: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(99.914632%)</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(0.070612%)</w:t>
            </w:r>
          </w:p>
        </w:tc>
        <w:tc>
          <w:tcPr>
            <w:tcW w:w="280" w:type="dxa"/>
            <w:vAlign w:val="bottom"/>
          </w:tcPr>
          <w:p>
            <w:pPr>
              <w:spacing w:after="0"/>
              <w:rPr>
                <w:sz w:val="7"/>
                <w:szCs w:val="7"/>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(0.014756%)</w:t>
            </w:r>
          </w:p>
        </w:tc>
        <w:tc>
          <w:tcPr>
            <w:tcW w:w="136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80" w:type="dxa"/>
            <w:vAlign w:val="bottom"/>
            <w:tcBorders>
              <w:left w:val="single" w:sz="8" w:color="231F20"/>
              <w:right w:val="single" w:sz="8" w:color="231F20"/>
            </w:tcBorders>
          </w:tcPr>
          <w:p>
            <w:pPr>
              <w:spacing w:after="0"/>
              <w:rPr>
                <w:sz w:val="8"/>
                <w:szCs w:val="8"/>
                <w:color w:val="auto"/>
              </w:rPr>
            </w:pPr>
          </w:p>
        </w:tc>
        <w:tc>
          <w:tcPr>
            <w:tcW w:w="2600" w:type="dxa"/>
            <w:vAlign w:val="bottom"/>
            <w:tcBorders>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280" w:type="dxa"/>
            <w:vAlign w:val="bottom"/>
            <w:tcBorders>
              <w:bottom w:val="single" w:sz="8" w:color="231F20"/>
            </w:tcBorders>
          </w:tcPr>
          <w:p>
            <w:pPr>
              <w:spacing w:after="0"/>
              <w:rPr>
                <w:sz w:val="8"/>
                <w:szCs w:val="8"/>
                <w:color w:val="auto"/>
              </w:rPr>
            </w:pPr>
          </w:p>
        </w:tc>
        <w:tc>
          <w:tcPr>
            <w:tcW w:w="10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231F20"/>
              <w:right w:val="single" w:sz="8" w:color="231F20"/>
            </w:tcBorders>
          </w:tcPr>
          <w:p>
            <w:pPr>
              <w:spacing w:after="0"/>
              <w:rPr>
                <w:sz w:val="11"/>
                <w:szCs w:val="11"/>
                <w:color w:val="auto"/>
              </w:rPr>
            </w:pPr>
          </w:p>
        </w:tc>
        <w:tc>
          <w:tcPr>
            <w:tcW w:w="260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not exceeding 10% of the total number of issued</w:t>
            </w:r>
          </w:p>
        </w:tc>
        <w:tc>
          <w:tcPr>
            <w:tcW w:w="136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right w:val="single" w:sz="8" w:color="231F20"/>
            </w:tcBorders>
          </w:tcPr>
          <w:p>
            <w:pPr>
              <w:jc w:val="right"/>
              <w:ind w:right="238"/>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1"/>
                <w:szCs w:val="11"/>
                <w:color w:val="auto"/>
              </w:rPr>
            </w:pPr>
          </w:p>
        </w:tc>
        <w:tc>
          <w:tcPr>
            <w:tcW w:w="1060" w:type="dxa"/>
            <w:vAlign w:val="bottom"/>
            <w:tcBorders>
              <w:right w:val="single" w:sz="8" w:color="231F20"/>
            </w:tcBorders>
          </w:tcPr>
          <w:p>
            <w:pPr>
              <w:jc w:val="right"/>
              <w:ind w:right="598"/>
              <w:spacing w:after="0" w:line="132" w:lineRule="exact"/>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203"/>
        </w:trPr>
        <w:tc>
          <w:tcPr>
            <w:tcW w:w="580" w:type="dxa"/>
            <w:vAlign w:val="bottom"/>
            <w:tcBorders>
              <w:left w:val="single" w:sz="8" w:color="231F20"/>
              <w:right w:val="single" w:sz="8" w:color="231F20"/>
            </w:tcBorders>
          </w:tcPr>
          <w:p>
            <w:pPr>
              <w:spacing w:after="0"/>
              <w:rPr>
                <w:sz w:val="17"/>
                <w:szCs w:val="17"/>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Shares (excluding treasury Shares).</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(100.000000%)</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231F20"/>
              <w:right w:val="single" w:sz="8" w:color="231F20"/>
            </w:tcBorders>
          </w:tcPr>
          <w:p>
            <w:pPr>
              <w:spacing w:after="0"/>
              <w:rPr>
                <w:sz w:val="17"/>
                <w:szCs w:val="17"/>
                <w:color w:val="auto"/>
              </w:rPr>
            </w:pPr>
          </w:p>
        </w:tc>
        <w:tc>
          <w:tcPr>
            <w:tcW w:w="1340" w:type="dxa"/>
            <w:vAlign w:val="bottom"/>
            <w:tcBorders>
              <w:bottom w:val="single" w:sz="8" w:color="231F20"/>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80" w:type="dxa"/>
            <w:vAlign w:val="bottom"/>
            <w:tcBorders>
              <w:left w:val="single" w:sz="8" w:color="231F20"/>
              <w:right w:val="single" w:sz="8" w:color="231F20"/>
            </w:tcBorders>
          </w:tcPr>
          <w:p>
            <w:pPr>
              <w:spacing w:after="0"/>
              <w:rPr>
                <w:sz w:val="14"/>
                <w:szCs w:val="14"/>
                <w:color w:val="auto"/>
              </w:rPr>
            </w:pPr>
          </w:p>
        </w:tc>
        <w:tc>
          <w:tcPr>
            <w:tcW w:w="2600" w:type="dxa"/>
            <w:vAlign w:val="bottom"/>
            <w:tcBorders>
              <w:right w:val="single" w:sz="8" w:color="231F20"/>
            </w:tcBorders>
          </w:tcPr>
          <w:p>
            <w:pPr>
              <w:spacing w:after="0"/>
              <w:rPr>
                <w:sz w:val="14"/>
                <w:szCs w:val="14"/>
                <w:color w:val="auto"/>
              </w:rPr>
            </w:pP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1,298,857,375</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530,544</w:t>
            </w:r>
          </w:p>
        </w:tc>
        <w:tc>
          <w:tcPr>
            <w:tcW w:w="280" w:type="dxa"/>
            <w:vAlign w:val="bottom"/>
          </w:tcPr>
          <w:p>
            <w:pPr>
              <w:spacing w:after="0"/>
              <w:rPr>
                <w:sz w:val="14"/>
                <w:szCs w:val="14"/>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110,870</w:t>
            </w:r>
          </w:p>
        </w:tc>
        <w:tc>
          <w:tcPr>
            <w:tcW w:w="1360" w:type="dxa"/>
            <w:vAlign w:val="bottom"/>
            <w:tcBorders>
              <w:right w:val="single" w:sz="8" w:color="231F20"/>
            </w:tcBorders>
          </w:tcPr>
          <w:p>
            <w:pPr>
              <w:spacing w:after="0"/>
              <w:rPr>
                <w:sz w:val="14"/>
                <w:szCs w:val="14"/>
                <w:color w:val="auto"/>
              </w:rPr>
            </w:pPr>
          </w:p>
        </w:tc>
        <w:tc>
          <w:tcPr>
            <w:tcW w:w="13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231F20"/>
              <w:right w:val="single" w:sz="8" w:color="231F20"/>
            </w:tcBorders>
          </w:tcPr>
          <w:p>
            <w:pPr>
              <w:spacing w:after="0"/>
              <w:rPr>
                <w:sz w:val="10"/>
                <w:szCs w:val="10"/>
                <w:color w:val="auto"/>
              </w:rPr>
            </w:pPr>
          </w:p>
        </w:tc>
        <w:tc>
          <w:tcPr>
            <w:tcW w:w="260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ind w:left="60"/>
              <w:spacing w:after="0" w:line="121" w:lineRule="exact"/>
              <w:rPr>
                <w:sz w:val="20"/>
                <w:szCs w:val="20"/>
                <w:color w:val="auto"/>
              </w:rPr>
            </w:pPr>
            <w:r>
              <w:rPr>
                <w:rFonts w:ascii="Times New Roman" w:cs="Times New Roman" w:eastAsia="Times New Roman" w:hAnsi="Times New Roman"/>
                <w:sz w:val="12"/>
                <w:szCs w:val="12"/>
                <w:color w:val="auto"/>
              </w:rPr>
              <w:t>NUMBER</w:t>
            </w:r>
          </w:p>
        </w:tc>
        <w:tc>
          <w:tcPr>
            <w:tcW w:w="13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1,299,498,789</w:t>
            </w:r>
          </w:p>
        </w:tc>
        <w:tc>
          <w:tcPr>
            <w:tcW w:w="0" w:type="dxa"/>
            <w:vAlign w:val="bottom"/>
          </w:tcPr>
          <w:p>
            <w:pPr>
              <w:spacing w:after="0"/>
              <w:rPr>
                <w:sz w:val="1"/>
                <w:szCs w:val="1"/>
                <w:color w:val="auto"/>
              </w:rPr>
            </w:pPr>
          </w:p>
        </w:tc>
      </w:tr>
      <w:tr>
        <w:trPr>
          <w:trHeight w:val="86"/>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(99.950641%)</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(0.040827%)</w:t>
            </w:r>
          </w:p>
        </w:tc>
        <w:tc>
          <w:tcPr>
            <w:tcW w:w="280" w:type="dxa"/>
            <w:vAlign w:val="bottom"/>
          </w:tcPr>
          <w:p>
            <w:pPr>
              <w:spacing w:after="0"/>
              <w:rPr>
                <w:sz w:val="7"/>
                <w:szCs w:val="7"/>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(0.008532%)</w:t>
            </w:r>
          </w:p>
        </w:tc>
        <w:tc>
          <w:tcPr>
            <w:tcW w:w="136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7"/>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80" w:type="dxa"/>
            <w:vAlign w:val="bottom"/>
            <w:tcBorders>
              <w:left w:val="single" w:sz="8" w:color="231F20"/>
              <w:right w:val="single" w:sz="8" w:color="231F20"/>
            </w:tcBorders>
          </w:tcPr>
          <w:p>
            <w:pPr>
              <w:jc w:val="right"/>
              <w:ind w:right="358"/>
              <w:spacing w:after="0"/>
              <w:rPr>
                <w:sz w:val="20"/>
                <w:szCs w:val="20"/>
                <w:color w:val="auto"/>
              </w:rPr>
            </w:pPr>
            <w:r>
              <w:rPr>
                <w:rFonts w:ascii="Times New Roman" w:cs="Times New Roman" w:eastAsia="Times New Roman" w:hAnsi="Times New Roman"/>
                <w:sz w:val="12"/>
                <w:szCs w:val="12"/>
                <w:color w:val="auto"/>
              </w:rPr>
              <w:t>5.</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extend the general mandate granted to the</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360" w:type="dxa"/>
            <w:vAlign w:val="bottom"/>
            <w:tcBorders>
              <w:right w:val="single" w:sz="8" w:color="231F20"/>
            </w:tcBorders>
          </w:tcPr>
          <w:p>
            <w:pPr>
              <w:jc w:val="right"/>
              <w:ind w:right="238"/>
              <w:spacing w:after="0"/>
              <w:rPr>
                <w:sz w:val="20"/>
                <w:szCs w:val="20"/>
                <w:color w:val="auto"/>
              </w:rPr>
            </w:pPr>
            <w:r>
              <w:rPr>
                <w:rFonts w:ascii="Times New Roman" w:cs="Times New Roman" w:eastAsia="Times New Roman" w:hAnsi="Times New Roman"/>
                <w:sz w:val="12"/>
                <w:szCs w:val="12"/>
                <w:color w:val="auto"/>
              </w:rPr>
              <w:t>706,034,009</w:t>
            </w:r>
          </w:p>
        </w:tc>
        <w:tc>
          <w:tcPr>
            <w:tcW w:w="1360" w:type="dxa"/>
            <w:vAlign w:val="bottom"/>
            <w:tcBorders>
              <w:right w:val="single" w:sz="8" w:color="231F20"/>
            </w:tcBorders>
          </w:tcPr>
          <w:p>
            <w:pPr>
              <w:ind w:left="460"/>
              <w:spacing w:after="0"/>
              <w:rPr>
                <w:sz w:val="20"/>
                <w:szCs w:val="20"/>
                <w:color w:val="auto"/>
              </w:rPr>
            </w:pPr>
            <w:r>
              <w:rPr>
                <w:rFonts w:ascii="Times New Roman" w:cs="Times New Roman" w:eastAsia="Times New Roman" w:hAnsi="Times New Roman"/>
                <w:sz w:val="12"/>
                <w:szCs w:val="12"/>
                <w:color w:val="auto"/>
              </w:rPr>
              <w:t>44,358,976</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741,574</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751,134,559</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751,134,559</w:t>
            </w: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right w:val="single" w:sz="8" w:color="231F20"/>
            </w:tcBorders>
          </w:tcPr>
          <w:p>
            <w:pPr>
              <w:spacing w:after="0"/>
              <w:rPr>
                <w:sz w:val="16"/>
                <w:szCs w:val="16"/>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Directors to allot, issue or deal with additional</w:t>
            </w: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bottom w:val="single" w:sz="8" w:color="231F20"/>
              <w:right w:val="single" w:sz="8" w:color="231F20"/>
            </w:tcBorders>
          </w:tcPr>
          <w:p>
            <w:pPr>
              <w:jc w:val="center"/>
              <w:ind w:left="18"/>
              <w:spacing w:after="0"/>
              <w:rPr>
                <w:sz w:val="20"/>
                <w:szCs w:val="20"/>
                <w:color w:val="auto"/>
              </w:rPr>
            </w:pPr>
            <w:r>
              <w:rPr>
                <w:rFonts w:ascii="Times New Roman" w:cs="Times New Roman" w:eastAsia="Times New Roman" w:hAnsi="Times New Roman"/>
                <w:sz w:val="12"/>
                <w:szCs w:val="12"/>
                <w:color w:val="auto"/>
              </w:rPr>
              <w:t>(93.995676%)</w:t>
            </w:r>
          </w:p>
        </w:tc>
        <w:tc>
          <w:tcPr>
            <w:tcW w:w="1360" w:type="dxa"/>
            <w:vAlign w:val="bottom"/>
            <w:tcBorders>
              <w:bottom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2"/>
                <w:szCs w:val="12"/>
                <w:color w:val="auto"/>
              </w:rPr>
              <w:t>(5.905597%)</w:t>
            </w:r>
          </w:p>
        </w:tc>
        <w:tc>
          <w:tcPr>
            <w:tcW w:w="2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right w:val="single" w:sz="8" w:color="231F20"/>
            </w:tcBorders>
          </w:tcPr>
          <w:p>
            <w:pPr>
              <w:jc w:val="center"/>
              <w:ind w:right="238"/>
              <w:spacing w:after="0"/>
              <w:rPr>
                <w:sz w:val="20"/>
                <w:szCs w:val="20"/>
                <w:color w:val="auto"/>
              </w:rPr>
            </w:pPr>
            <w:r>
              <w:rPr>
                <w:rFonts w:ascii="Times New Roman" w:cs="Times New Roman" w:eastAsia="Times New Roman" w:hAnsi="Times New Roman"/>
                <w:sz w:val="12"/>
                <w:szCs w:val="12"/>
                <w:color w:val="auto"/>
              </w:rPr>
              <w:t>(0.098727%)</w:t>
            </w:r>
          </w:p>
        </w:tc>
        <w:tc>
          <w:tcPr>
            <w:tcW w:w="1360" w:type="dxa"/>
            <w:vAlign w:val="bottom"/>
            <w:tcBorders>
              <w:bottom w:val="single" w:sz="8" w:color="231F20"/>
              <w:right w:val="single" w:sz="8" w:color="231F20"/>
            </w:tcBorders>
          </w:tcPr>
          <w:p>
            <w:pPr>
              <w:spacing w:after="0"/>
              <w:rPr>
                <w:sz w:val="16"/>
                <w:szCs w:val="16"/>
                <w:color w:val="auto"/>
              </w:rPr>
            </w:pP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231F20"/>
              <w:right w:val="single" w:sz="8" w:color="231F20"/>
            </w:tcBorders>
          </w:tcPr>
          <w:p>
            <w:pPr>
              <w:spacing w:after="0"/>
              <w:rPr>
                <w:sz w:val="11"/>
                <w:szCs w:val="11"/>
                <w:color w:val="auto"/>
              </w:rPr>
            </w:pPr>
          </w:p>
        </w:tc>
        <w:tc>
          <w:tcPr>
            <w:tcW w:w="260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Class A Ordinary Shares (including any sale</w:t>
            </w:r>
          </w:p>
        </w:tc>
        <w:tc>
          <w:tcPr>
            <w:tcW w:w="1360" w:type="dxa"/>
            <w:vAlign w:val="bottom"/>
            <w:tcBorders>
              <w:right w:val="single" w:sz="8" w:color="231F20"/>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right w:val="single" w:sz="8" w:color="231F20"/>
            </w:tcBorders>
          </w:tcPr>
          <w:p>
            <w:pPr>
              <w:jc w:val="right"/>
              <w:ind w:right="238"/>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1"/>
                <w:szCs w:val="11"/>
                <w:color w:val="auto"/>
              </w:rPr>
            </w:pPr>
          </w:p>
        </w:tc>
        <w:tc>
          <w:tcPr>
            <w:tcW w:w="1060" w:type="dxa"/>
            <w:vAlign w:val="bottom"/>
            <w:tcBorders>
              <w:right w:val="single" w:sz="8" w:color="231F20"/>
            </w:tcBorders>
          </w:tcPr>
          <w:p>
            <w:pPr>
              <w:jc w:val="right"/>
              <w:ind w:right="598"/>
              <w:spacing w:after="0" w:line="132" w:lineRule="exact"/>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54,814,423</w:t>
            </w:r>
          </w:p>
        </w:tc>
        <w:tc>
          <w:tcPr>
            <w:tcW w:w="1340" w:type="dxa"/>
            <w:vAlign w:val="bottom"/>
            <w:tcBorders>
              <w:right w:val="single" w:sz="8" w:color="231F20"/>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548,144,230</w:t>
            </w:r>
          </w:p>
        </w:tc>
        <w:tc>
          <w:tcPr>
            <w:tcW w:w="0" w:type="dxa"/>
            <w:vAlign w:val="bottom"/>
          </w:tcPr>
          <w:p>
            <w:pPr>
              <w:spacing w:after="0"/>
              <w:rPr>
                <w:sz w:val="1"/>
                <w:szCs w:val="1"/>
                <w:color w:val="auto"/>
              </w:rPr>
            </w:pPr>
          </w:p>
        </w:tc>
      </w:tr>
      <w:tr>
        <w:trPr>
          <w:trHeight w:val="166"/>
        </w:trPr>
        <w:tc>
          <w:tcPr>
            <w:tcW w:w="580" w:type="dxa"/>
            <w:vAlign w:val="bottom"/>
            <w:tcBorders>
              <w:left w:val="single" w:sz="8" w:color="231F20"/>
              <w:right w:val="single" w:sz="8" w:color="231F20"/>
            </w:tcBorders>
          </w:tcPr>
          <w:p>
            <w:pPr>
              <w:spacing w:after="0"/>
              <w:rPr>
                <w:sz w:val="14"/>
                <w:szCs w:val="14"/>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and/or transfer of treasury Shares) and/or ADSs</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(100.000000%)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Pr>
          <w:p>
            <w:pPr>
              <w:spacing w:after="0"/>
              <w:rPr>
                <w:sz w:val="14"/>
                <w:szCs w:val="14"/>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right w:val="single" w:sz="8" w:color="231F20"/>
            </w:tcBorders>
          </w:tcPr>
          <w:p>
            <w:pPr>
              <w:spacing w:after="0"/>
              <w:rPr>
                <w:sz w:val="14"/>
                <w:szCs w:val="14"/>
                <w:color w:val="auto"/>
              </w:rPr>
            </w:pPr>
          </w:p>
        </w:tc>
        <w:tc>
          <w:tcPr>
            <w:tcW w:w="13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80" w:type="dxa"/>
            <w:vAlign w:val="bottom"/>
            <w:tcBorders>
              <w:left w:val="single" w:sz="8" w:color="231F20"/>
              <w:right w:val="single" w:sz="8" w:color="231F20"/>
            </w:tcBorders>
          </w:tcPr>
          <w:p>
            <w:pPr>
              <w:spacing w:after="0"/>
              <w:rPr>
                <w:sz w:val="3"/>
                <w:szCs w:val="3"/>
                <w:color w:val="auto"/>
              </w:rPr>
            </w:pPr>
          </w:p>
        </w:tc>
        <w:tc>
          <w:tcPr>
            <w:tcW w:w="2600" w:type="dxa"/>
            <w:vAlign w:val="bottom"/>
            <w:tcBorders>
              <w:right w:val="single" w:sz="8" w:color="231F20"/>
            </w:tcBorders>
            <w:vMerge w:val="restart"/>
          </w:tcPr>
          <w:p>
            <w:pPr>
              <w:ind w:left="60"/>
              <w:spacing w:after="0" w:line="118" w:lineRule="exact"/>
              <w:rPr>
                <w:sz w:val="20"/>
                <w:szCs w:val="20"/>
                <w:color w:val="auto"/>
              </w:rPr>
            </w:pPr>
            <w:r>
              <w:rPr>
                <w:rFonts w:ascii="Times New Roman" w:cs="Times New Roman" w:eastAsia="Times New Roman" w:hAnsi="Times New Roman"/>
                <w:sz w:val="12"/>
                <w:szCs w:val="12"/>
                <w:color w:val="auto"/>
              </w:rPr>
              <w:t>by the aggregate number of Class A Ordinary</w:t>
            </w:r>
          </w:p>
        </w:tc>
        <w:tc>
          <w:tcPr>
            <w:tcW w:w="13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3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580" w:type="dxa"/>
            <w:vAlign w:val="bottom"/>
            <w:tcBorders>
              <w:left w:val="single" w:sz="8" w:color="231F20"/>
              <w:right w:val="single" w:sz="8" w:color="231F20"/>
            </w:tcBorders>
          </w:tcPr>
          <w:p>
            <w:pPr>
              <w:spacing w:after="0"/>
              <w:rPr>
                <w:sz w:val="5"/>
                <w:szCs w:val="5"/>
                <w:color w:val="auto"/>
              </w:rPr>
            </w:pPr>
          </w:p>
        </w:tc>
        <w:tc>
          <w:tcPr>
            <w:tcW w:w="260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34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580" w:type="dxa"/>
            <w:vAlign w:val="bottom"/>
            <w:tcBorders>
              <w:left w:val="single" w:sz="8" w:color="231F20"/>
              <w:right w:val="single" w:sz="8" w:color="231F20"/>
            </w:tcBorders>
          </w:tcPr>
          <w:p>
            <w:pPr>
              <w:spacing w:after="0"/>
              <w:rPr>
                <w:sz w:val="10"/>
                <w:szCs w:val="10"/>
                <w:color w:val="auto"/>
              </w:rPr>
            </w:pPr>
          </w:p>
        </w:tc>
        <w:tc>
          <w:tcPr>
            <w:tcW w:w="2600" w:type="dxa"/>
            <w:vAlign w:val="bottom"/>
            <w:tcBorders>
              <w:right w:val="single" w:sz="8" w:color="231F20"/>
            </w:tcBorders>
          </w:tcPr>
          <w:p>
            <w:pPr>
              <w:ind w:left="60"/>
              <w:spacing w:after="0" w:line="125" w:lineRule="exact"/>
              <w:rPr>
                <w:sz w:val="20"/>
                <w:szCs w:val="20"/>
                <w:color w:val="auto"/>
              </w:rPr>
            </w:pPr>
            <w:r>
              <w:rPr>
                <w:rFonts w:ascii="Times New Roman" w:cs="Times New Roman" w:eastAsia="Times New Roman" w:hAnsi="Times New Roman"/>
                <w:sz w:val="12"/>
                <w:szCs w:val="12"/>
                <w:color w:val="auto"/>
              </w:rPr>
              <w:t>Shares and/ or the Class A Ordinary Shares</w:t>
            </w:r>
          </w:p>
        </w:tc>
        <w:tc>
          <w:tcPr>
            <w:tcW w:w="13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restart"/>
          </w:tcPr>
          <w:p>
            <w:pPr>
              <w:jc w:val="center"/>
              <w:ind w:left="18"/>
              <w:spacing w:after="0"/>
              <w:rPr>
                <w:sz w:val="20"/>
                <w:szCs w:val="20"/>
                <w:color w:val="auto"/>
              </w:rPr>
            </w:pPr>
            <w:r>
              <w:rPr>
                <w:rFonts w:ascii="Times New Roman" w:cs="Times New Roman" w:eastAsia="Times New Roman" w:hAnsi="Times New Roman"/>
                <w:sz w:val="12"/>
                <w:szCs w:val="12"/>
                <w:color w:val="auto"/>
              </w:rPr>
              <w:t>1,254,178,239</w:t>
            </w: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color w:val="auto"/>
              </w:rPr>
              <w:t>44,358,976</w:t>
            </w:r>
          </w:p>
        </w:tc>
        <w:tc>
          <w:tcPr>
            <w:tcW w:w="280" w:type="dxa"/>
            <w:vAlign w:val="bottom"/>
          </w:tcPr>
          <w:p>
            <w:pPr>
              <w:spacing w:after="0"/>
              <w:rPr>
                <w:sz w:val="10"/>
                <w:szCs w:val="10"/>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741,574</w:t>
            </w:r>
          </w:p>
        </w:tc>
        <w:tc>
          <w:tcPr>
            <w:tcW w:w="1360" w:type="dxa"/>
            <w:vAlign w:val="bottom"/>
            <w:tcBorders>
              <w:right w:val="single" w:sz="8" w:color="231F20"/>
            </w:tcBorders>
          </w:tcPr>
          <w:p>
            <w:pPr>
              <w:spacing w:after="0"/>
              <w:rPr>
                <w:sz w:val="10"/>
                <w:szCs w:val="10"/>
                <w:color w:val="auto"/>
              </w:rPr>
            </w:pPr>
          </w:p>
        </w:tc>
        <w:tc>
          <w:tcPr>
            <w:tcW w:w="13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80" w:type="dxa"/>
            <w:vAlign w:val="bottom"/>
            <w:tcBorders>
              <w:left w:val="single" w:sz="8" w:color="231F20"/>
              <w:right w:val="single" w:sz="8" w:color="231F20"/>
            </w:tcBorders>
          </w:tcPr>
          <w:p>
            <w:pPr>
              <w:spacing w:after="0"/>
              <w:rPr>
                <w:sz w:val="13"/>
                <w:szCs w:val="13"/>
                <w:color w:val="auto"/>
              </w:rPr>
            </w:pP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underlying ADSs repurchased by the Company.</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NUMBER</w:t>
            </w:r>
          </w:p>
        </w:tc>
        <w:tc>
          <w:tcPr>
            <w:tcW w:w="1360" w:type="dxa"/>
            <w:vAlign w:val="bottom"/>
            <w:tcBorders>
              <w:right w:val="single" w:sz="8" w:color="231F20"/>
            </w:tcBorders>
            <w:vMerge w:val="continue"/>
          </w:tcPr>
          <w:p>
            <w:pPr>
              <w:spacing w:after="0"/>
              <w:rPr>
                <w:sz w:val="13"/>
                <w:szCs w:val="13"/>
                <w:color w:val="auto"/>
              </w:rPr>
            </w:pPr>
          </w:p>
        </w:tc>
        <w:tc>
          <w:tcPr>
            <w:tcW w:w="1360" w:type="dxa"/>
            <w:vAlign w:val="bottom"/>
            <w:tcBorders>
              <w:right w:val="single" w:sz="8" w:color="231F20"/>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right w:val="single" w:sz="8" w:color="231F20"/>
            </w:tcBorders>
            <w:vMerge w:val="continue"/>
          </w:tcPr>
          <w:p>
            <w:pPr>
              <w:spacing w:after="0"/>
              <w:rPr>
                <w:sz w:val="13"/>
                <w:szCs w:val="13"/>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805,948,982</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1,299,278,789</w:t>
            </w:r>
          </w:p>
        </w:tc>
        <w:tc>
          <w:tcPr>
            <w:tcW w:w="0" w:type="dxa"/>
            <w:vAlign w:val="bottom"/>
          </w:tcPr>
          <w:p>
            <w:pPr>
              <w:spacing w:after="0"/>
              <w:rPr>
                <w:sz w:val="1"/>
                <w:szCs w:val="1"/>
                <w:color w:val="auto"/>
              </w:rPr>
            </w:pPr>
          </w:p>
        </w:tc>
      </w:tr>
      <w:tr>
        <w:trPr>
          <w:trHeight w:val="127"/>
        </w:trPr>
        <w:tc>
          <w:tcPr>
            <w:tcW w:w="580" w:type="dxa"/>
            <w:vAlign w:val="bottom"/>
            <w:tcBorders>
              <w:left w:val="single" w:sz="8" w:color="231F20"/>
              <w:right w:val="single" w:sz="8" w:color="231F20"/>
            </w:tcBorders>
          </w:tcPr>
          <w:p>
            <w:pPr>
              <w:spacing w:after="0"/>
              <w:rPr>
                <w:sz w:val="11"/>
                <w:szCs w:val="11"/>
                <w:color w:val="auto"/>
              </w:rPr>
            </w:pPr>
          </w:p>
        </w:tc>
        <w:tc>
          <w:tcPr>
            <w:tcW w:w="2600" w:type="dxa"/>
            <w:vAlign w:val="bottom"/>
            <w:tcBorders>
              <w:right w:val="single" w:sz="8" w:color="231F20"/>
            </w:tcBorders>
          </w:tcPr>
          <w:p>
            <w:pPr>
              <w:spacing w:after="0"/>
              <w:rPr>
                <w:sz w:val="11"/>
                <w:szCs w:val="11"/>
                <w:color w:val="auto"/>
              </w:rPr>
            </w:pPr>
          </w:p>
        </w:tc>
        <w:tc>
          <w:tcPr>
            <w:tcW w:w="1360" w:type="dxa"/>
            <w:vAlign w:val="bottom"/>
            <w:tcBorders>
              <w:right w:val="single" w:sz="8" w:color="231F20"/>
            </w:tcBorders>
          </w:tcPr>
          <w:p>
            <w:pPr>
              <w:ind w:left="60"/>
              <w:spacing w:after="0" w:line="127" w:lineRule="exact"/>
              <w:rPr>
                <w:sz w:val="20"/>
                <w:szCs w:val="20"/>
                <w:color w:val="auto"/>
              </w:rPr>
            </w:pPr>
            <w:r>
              <w:rPr>
                <w:rFonts w:ascii="Times New Roman" w:cs="Times New Roman" w:eastAsia="Times New Roman" w:hAnsi="Times New Roman"/>
                <w:sz w:val="12"/>
                <w:szCs w:val="12"/>
                <w:color w:val="auto"/>
              </w:rPr>
              <w:t>(CLASS A &amp;</w:t>
            </w:r>
          </w:p>
        </w:tc>
        <w:tc>
          <w:tcPr>
            <w:tcW w:w="1360" w:type="dxa"/>
            <w:vAlign w:val="bottom"/>
            <w:tcBorders>
              <w:right w:val="single" w:sz="8" w:color="231F20"/>
            </w:tcBorders>
          </w:tcPr>
          <w:p>
            <w:pPr>
              <w:jc w:val="center"/>
              <w:ind w:left="18"/>
              <w:spacing w:after="0" w:line="127" w:lineRule="exact"/>
              <w:rPr>
                <w:sz w:val="20"/>
                <w:szCs w:val="20"/>
                <w:color w:val="auto"/>
              </w:rPr>
            </w:pPr>
            <w:r>
              <w:rPr>
                <w:rFonts w:ascii="Times New Roman" w:cs="Times New Roman" w:eastAsia="Times New Roman" w:hAnsi="Times New Roman"/>
                <w:sz w:val="12"/>
                <w:szCs w:val="12"/>
                <w:color w:val="auto"/>
              </w:rPr>
              <w:t>(96.528801%)</w:t>
            </w:r>
          </w:p>
        </w:tc>
        <w:tc>
          <w:tcPr>
            <w:tcW w:w="1360" w:type="dxa"/>
            <w:vAlign w:val="bottom"/>
            <w:tcBorders>
              <w:right w:val="single" w:sz="8" w:color="231F20"/>
            </w:tcBorders>
          </w:tcPr>
          <w:p>
            <w:pPr>
              <w:ind w:left="400"/>
              <w:spacing w:after="0" w:line="127" w:lineRule="exact"/>
              <w:rPr>
                <w:sz w:val="20"/>
                <w:szCs w:val="20"/>
                <w:color w:val="auto"/>
              </w:rPr>
            </w:pPr>
            <w:r>
              <w:rPr>
                <w:rFonts w:ascii="Times New Roman" w:cs="Times New Roman" w:eastAsia="Times New Roman" w:hAnsi="Times New Roman"/>
                <w:sz w:val="12"/>
                <w:szCs w:val="12"/>
                <w:color w:val="auto"/>
              </w:rPr>
              <w:t>(3.414123%)</w:t>
            </w:r>
          </w:p>
        </w:tc>
        <w:tc>
          <w:tcPr>
            <w:tcW w:w="280" w:type="dxa"/>
            <w:vAlign w:val="bottom"/>
          </w:tcPr>
          <w:p>
            <w:pPr>
              <w:spacing w:after="0"/>
              <w:rPr>
                <w:sz w:val="11"/>
                <w:szCs w:val="11"/>
                <w:color w:val="auto"/>
              </w:rPr>
            </w:pPr>
          </w:p>
        </w:tc>
        <w:tc>
          <w:tcPr>
            <w:tcW w:w="1060" w:type="dxa"/>
            <w:vAlign w:val="bottom"/>
            <w:tcBorders>
              <w:right w:val="single" w:sz="8" w:color="231F20"/>
            </w:tcBorders>
          </w:tcPr>
          <w:p>
            <w:pPr>
              <w:jc w:val="center"/>
              <w:ind w:right="238"/>
              <w:spacing w:after="0" w:line="127" w:lineRule="exact"/>
              <w:rPr>
                <w:sz w:val="20"/>
                <w:szCs w:val="20"/>
                <w:color w:val="auto"/>
              </w:rPr>
            </w:pPr>
            <w:r>
              <w:rPr>
                <w:rFonts w:ascii="Times New Roman" w:cs="Times New Roman" w:eastAsia="Times New Roman" w:hAnsi="Times New Roman"/>
                <w:sz w:val="12"/>
                <w:szCs w:val="12"/>
                <w:color w:val="auto"/>
              </w:rPr>
              <w:t>(0.057076%)</w:t>
            </w:r>
          </w:p>
        </w:tc>
        <w:tc>
          <w:tcPr>
            <w:tcW w:w="1360" w:type="dxa"/>
            <w:vAlign w:val="bottom"/>
            <w:tcBorders>
              <w:right w:val="single" w:sz="8" w:color="231F20"/>
            </w:tcBorders>
          </w:tcPr>
          <w:p>
            <w:pPr>
              <w:spacing w:after="0"/>
              <w:rPr>
                <w:sz w:val="11"/>
                <w:szCs w:val="11"/>
                <w:color w:val="auto"/>
              </w:rPr>
            </w:pPr>
          </w:p>
        </w:tc>
        <w:tc>
          <w:tcPr>
            <w:tcW w:w="13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3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7"/>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rPr>
              <w:t>5</w:t>
            </w: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9" w:right="299" w:bottom="1440" w:gutter="0" w:footer="0" w:header="0"/>
        </w:sectPr>
      </w:pPr>
    </w:p>
    <w:bookmarkStart w:id="9" w:name="page10"/>
    <w:bookmarkEnd w:id="9"/>
    <w:p>
      <w:pPr>
        <w:spacing w:after="0" w:line="1" w:lineRule="exact"/>
        <w:rPr>
          <w:sz w:val="20"/>
          <w:szCs w:val="20"/>
          <w:color w:val="auto"/>
        </w:rPr>
      </w:pPr>
    </w:p>
    <w:tbl>
      <w:tblPr>
        <w:tblLayout w:type="fixed"/>
        <w:tblInd w:w="16" w:type="dxa"/>
        <w:tblCellMar>
          <w:top w:w="0" w:type="dxa"/>
          <w:left w:w="0" w:type="dxa"/>
          <w:bottom w:w="0" w:type="dxa"/>
          <w:right w:w="0" w:type="dxa"/>
        </w:tblCellMar>
      </w:tblPr>
      <w:tr>
        <w:trPr>
          <w:trHeight w:val="292"/>
        </w:trPr>
        <w:tc>
          <w:tcPr>
            <w:tcW w:w="580" w:type="dxa"/>
            <w:vAlign w:val="bottom"/>
            <w:tcBorders>
              <w:top w:val="single" w:sz="8" w:color="231F20"/>
              <w:left w:val="single" w:sz="8" w:color="231F20"/>
            </w:tcBorders>
          </w:tcPr>
          <w:p>
            <w:pPr>
              <w:spacing w:after="0"/>
              <w:rPr>
                <w:sz w:val="24"/>
                <w:szCs w:val="24"/>
                <w:color w:val="auto"/>
              </w:rPr>
            </w:pPr>
          </w:p>
        </w:tc>
        <w:tc>
          <w:tcPr>
            <w:tcW w:w="2600" w:type="dxa"/>
            <w:vAlign w:val="bottom"/>
            <w:tcBorders>
              <w:top w:val="single" w:sz="8" w:color="231F20"/>
            </w:tcBorders>
          </w:tcPr>
          <w:p>
            <w:pPr>
              <w:spacing w:after="0"/>
              <w:rPr>
                <w:sz w:val="24"/>
                <w:szCs w:val="24"/>
                <w:color w:val="auto"/>
              </w:rPr>
            </w:pPr>
          </w:p>
        </w:tc>
        <w:tc>
          <w:tcPr>
            <w:tcW w:w="1360" w:type="dxa"/>
            <w:vAlign w:val="bottom"/>
            <w:tcBorders>
              <w:top w:val="single" w:sz="8" w:color="231F20"/>
              <w:right w:val="single" w:sz="8" w:color="231F20"/>
            </w:tcBorders>
          </w:tcPr>
          <w:p>
            <w:pPr>
              <w:spacing w:after="0"/>
              <w:rPr>
                <w:sz w:val="24"/>
                <w:szCs w:val="24"/>
                <w:color w:val="auto"/>
              </w:rPr>
            </w:pPr>
          </w:p>
        </w:tc>
        <w:tc>
          <w:tcPr>
            <w:tcW w:w="1180" w:type="dxa"/>
            <w:vAlign w:val="bottom"/>
            <w:tcBorders>
              <w:top w:val="single" w:sz="8" w:color="231F20"/>
            </w:tcBorders>
          </w:tcPr>
          <w:p>
            <w:pPr>
              <w:spacing w:after="0"/>
              <w:rPr>
                <w:sz w:val="24"/>
                <w:szCs w:val="24"/>
                <w:color w:val="auto"/>
              </w:rPr>
            </w:pPr>
          </w:p>
        </w:tc>
        <w:tc>
          <w:tcPr>
            <w:tcW w:w="2880" w:type="dxa"/>
            <w:vAlign w:val="bottom"/>
            <w:tcBorders>
              <w:top w:val="single" w:sz="8" w:color="231F20"/>
              <w:right w:val="single" w:sz="8" w:color="231F20"/>
            </w:tcBorders>
            <w:gridSpan w:val="4"/>
          </w:tcPr>
          <w:p>
            <w:pPr>
              <w:jc w:val="right"/>
              <w:ind w:right="838"/>
              <w:spacing w:after="0"/>
              <w:rPr>
                <w:sz w:val="20"/>
                <w:szCs w:val="20"/>
                <w:color w:val="auto"/>
              </w:rPr>
            </w:pPr>
            <w:r>
              <w:rPr>
                <w:rFonts w:ascii="Times New Roman" w:cs="Times New Roman" w:eastAsia="Times New Roman" w:hAnsi="Times New Roman"/>
                <w:sz w:val="12"/>
                <w:szCs w:val="12"/>
                <w:b w:val="1"/>
                <w:bCs w:val="1"/>
                <w:color w:val="auto"/>
              </w:rPr>
              <w:t>NUMBER OF VOTES CAST AND</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TOTAL</w:t>
            </w:r>
          </w:p>
        </w:tc>
        <w:tc>
          <w:tcPr>
            <w:tcW w:w="1340" w:type="dxa"/>
            <w:vAlign w:val="bottom"/>
            <w:tcBorders>
              <w:top w:val="single" w:sz="8" w:color="231F20"/>
              <w:right w:val="single" w:sz="8" w:color="231F20"/>
            </w:tcBorders>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74"/>
        </w:trPr>
        <w:tc>
          <w:tcPr>
            <w:tcW w:w="580" w:type="dxa"/>
            <w:vAlign w:val="bottom"/>
            <w:tcBorders>
              <w:left w:val="single" w:sz="8" w:color="231F20"/>
            </w:tcBorders>
          </w:tcPr>
          <w:p>
            <w:pPr>
              <w:spacing w:after="0"/>
              <w:rPr>
                <w:sz w:val="6"/>
                <w:szCs w:val="6"/>
                <w:color w:val="auto"/>
              </w:rPr>
            </w:pPr>
          </w:p>
        </w:tc>
        <w:tc>
          <w:tcPr>
            <w:tcW w:w="2600" w:type="dxa"/>
            <w:vAlign w:val="bottom"/>
            <w:vMerge w:val="restart"/>
          </w:tcPr>
          <w:p>
            <w:pPr>
              <w:ind w:left="880"/>
              <w:spacing w:after="0"/>
              <w:rPr>
                <w:sz w:val="20"/>
                <w:szCs w:val="20"/>
                <w:color w:val="auto"/>
              </w:rPr>
            </w:pPr>
            <w:r>
              <w:rPr>
                <w:rFonts w:ascii="Times New Roman" w:cs="Times New Roman" w:eastAsia="Times New Roman" w:hAnsi="Times New Roman"/>
                <w:sz w:val="12"/>
                <w:szCs w:val="12"/>
                <w:b w:val="1"/>
                <w:bCs w:val="1"/>
                <w:color w:val="auto"/>
              </w:rPr>
              <w:t>ORDINARY RESOLUTIONS</w:t>
            </w:r>
          </w:p>
        </w:tc>
        <w:tc>
          <w:tcPr>
            <w:tcW w:w="1360" w:type="dxa"/>
            <w:vAlign w:val="bottom"/>
            <w:tcBorders>
              <w:right w:val="single" w:sz="8" w:color="231F20"/>
            </w:tcBorders>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PERCENTAGE (%)</w:t>
            </w:r>
          </w:p>
        </w:tc>
        <w:tc>
          <w:tcPr>
            <w:tcW w:w="106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34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580" w:type="dxa"/>
            <w:vAlign w:val="bottom"/>
            <w:tcBorders>
              <w:left w:val="single" w:sz="8" w:color="231F20"/>
            </w:tcBorders>
          </w:tcPr>
          <w:p>
            <w:pPr>
              <w:spacing w:after="0"/>
              <w:rPr>
                <w:sz w:val="6"/>
                <w:szCs w:val="6"/>
                <w:color w:val="auto"/>
              </w:rPr>
            </w:pPr>
          </w:p>
        </w:tc>
        <w:tc>
          <w:tcPr>
            <w:tcW w:w="2600" w:type="dxa"/>
            <w:vAlign w:val="bottom"/>
            <w:vMerge w:val="continue"/>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06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restart"/>
          </w:tcPr>
          <w:p>
            <w:pPr>
              <w:ind w:left="320"/>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52"/>
        </w:trPr>
        <w:tc>
          <w:tcPr>
            <w:tcW w:w="580" w:type="dxa"/>
            <w:vAlign w:val="bottom"/>
            <w:tcBorders>
              <w:left w:val="single" w:sz="8" w:color="231F20"/>
            </w:tcBorders>
          </w:tcPr>
          <w:p>
            <w:pPr>
              <w:spacing w:after="0"/>
              <w:rPr>
                <w:sz w:val="4"/>
                <w:szCs w:val="4"/>
                <w:color w:val="auto"/>
              </w:rPr>
            </w:pPr>
          </w:p>
        </w:tc>
        <w:tc>
          <w:tcPr>
            <w:tcW w:w="2600" w:type="dxa"/>
            <w:vAlign w:val="bottom"/>
          </w:tcPr>
          <w:p>
            <w:pPr>
              <w:spacing w:after="0"/>
              <w:rPr>
                <w:sz w:val="4"/>
                <w:szCs w:val="4"/>
                <w:color w:val="auto"/>
              </w:rPr>
            </w:pPr>
          </w:p>
        </w:tc>
        <w:tc>
          <w:tcPr>
            <w:tcW w:w="1360" w:type="dxa"/>
            <w:vAlign w:val="bottom"/>
            <w:tcBorders>
              <w:right w:val="single" w:sz="8" w:color="231F20"/>
            </w:tcBorders>
          </w:tcPr>
          <w:p>
            <w:pPr>
              <w:spacing w:after="0"/>
              <w:rPr>
                <w:sz w:val="4"/>
                <w:szCs w:val="4"/>
                <w:color w:val="auto"/>
              </w:rPr>
            </w:pPr>
          </w:p>
        </w:tc>
        <w:tc>
          <w:tcPr>
            <w:tcW w:w="1180" w:type="dxa"/>
            <w:vAlign w:val="bottom"/>
            <w:tcBorders>
              <w:bottom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136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1060" w:type="dxa"/>
            <w:vAlign w:val="bottom"/>
            <w:tcBorders>
              <w:bottom w:val="single" w:sz="8" w:color="231F20"/>
              <w:right w:val="single" w:sz="8" w:color="231F20"/>
            </w:tcBorders>
          </w:tcPr>
          <w:p>
            <w:pPr>
              <w:spacing w:after="0"/>
              <w:rPr>
                <w:sz w:val="4"/>
                <w:szCs w:val="4"/>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OF VOTING</w:t>
            </w:r>
          </w:p>
        </w:tc>
        <w:tc>
          <w:tcPr>
            <w:tcW w:w="1340" w:type="dxa"/>
            <w:vAlign w:val="bottom"/>
            <w:tcBorders>
              <w:right w:val="single" w:sz="8" w:color="231F2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580" w:type="dxa"/>
            <w:vAlign w:val="bottom"/>
            <w:tcBorders>
              <w:left w:val="single" w:sz="8" w:color="231F20"/>
            </w:tcBorders>
          </w:tcPr>
          <w:p>
            <w:pPr>
              <w:spacing w:after="0"/>
              <w:rPr>
                <w:sz w:val="6"/>
                <w:szCs w:val="6"/>
                <w:color w:val="auto"/>
              </w:rPr>
            </w:pPr>
          </w:p>
        </w:tc>
        <w:tc>
          <w:tcPr>
            <w:tcW w:w="2600" w:type="dxa"/>
            <w:vAlign w:val="bottom"/>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Borders>
              <w:right w:val="single" w:sz="8" w:color="231F20"/>
            </w:tcBorders>
          </w:tcPr>
          <w:p>
            <w:pPr>
              <w:spacing w:after="0"/>
              <w:rPr>
                <w:sz w:val="6"/>
                <w:szCs w:val="6"/>
                <w:color w:val="auto"/>
              </w:rPr>
            </w:pPr>
          </w:p>
        </w:tc>
        <w:tc>
          <w:tcPr>
            <w:tcW w:w="1360" w:type="dxa"/>
            <w:vAlign w:val="bottom"/>
            <w:tcBorders>
              <w:right w:val="single" w:sz="8" w:color="231F20"/>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Borders>
              <w:right w:val="single" w:sz="8" w:color="231F20"/>
            </w:tcBorders>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ABSTAIN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right w:val="single" w:sz="8" w:color="231F20"/>
            </w:tcBorders>
            <w:vMerge w:val="continue"/>
          </w:tcPr>
          <w:p>
            <w:pPr>
              <w:spacing w:after="0"/>
              <w:rPr>
                <w:sz w:val="6"/>
                <w:szCs w:val="6"/>
                <w:color w:val="auto"/>
              </w:rPr>
            </w:pPr>
          </w:p>
        </w:tc>
        <w:tc>
          <w:tcPr>
            <w:tcW w:w="1340" w:type="dxa"/>
            <w:vAlign w:val="bottom"/>
            <w:tcBorders>
              <w:right w:val="single" w:sz="8" w:color="231F20"/>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VOTES CAST</w:t>
            </w:r>
          </w:p>
        </w:tc>
        <w:tc>
          <w:tcPr>
            <w:tcW w:w="0" w:type="dxa"/>
            <w:vAlign w:val="bottom"/>
          </w:tcPr>
          <w:p>
            <w:pPr>
              <w:spacing w:after="0"/>
              <w:rPr>
                <w:sz w:val="1"/>
                <w:szCs w:val="1"/>
                <w:color w:val="auto"/>
              </w:rPr>
            </w:pPr>
          </w:p>
        </w:tc>
      </w:tr>
      <w:tr>
        <w:trPr>
          <w:trHeight w:val="88"/>
        </w:trPr>
        <w:tc>
          <w:tcPr>
            <w:tcW w:w="580" w:type="dxa"/>
            <w:vAlign w:val="bottom"/>
            <w:tcBorders>
              <w:left w:val="single" w:sz="8" w:color="231F20"/>
            </w:tcBorders>
          </w:tcPr>
          <w:p>
            <w:pPr>
              <w:spacing w:after="0"/>
              <w:rPr>
                <w:sz w:val="7"/>
                <w:szCs w:val="7"/>
                <w:color w:val="auto"/>
              </w:rPr>
            </w:pPr>
          </w:p>
        </w:tc>
        <w:tc>
          <w:tcPr>
            <w:tcW w:w="2600" w:type="dxa"/>
            <w:vAlign w:val="bottom"/>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1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FOR</w:t>
            </w:r>
          </w:p>
        </w:tc>
        <w:tc>
          <w:tcPr>
            <w:tcW w:w="18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280" w:type="dxa"/>
            <w:vAlign w:val="bottom"/>
          </w:tcPr>
          <w:p>
            <w:pPr>
              <w:spacing w:after="0"/>
              <w:rPr>
                <w:sz w:val="7"/>
                <w:szCs w:val="7"/>
                <w:color w:val="auto"/>
              </w:rPr>
            </w:pPr>
          </w:p>
        </w:tc>
        <w:tc>
          <w:tcPr>
            <w:tcW w:w="10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80" w:type="dxa"/>
            <w:vAlign w:val="bottom"/>
            <w:tcBorders>
              <w:left w:val="single" w:sz="8" w:color="231F20"/>
              <w:bottom w:val="single" w:sz="8" w:color="231F20"/>
            </w:tcBorders>
          </w:tcPr>
          <w:p>
            <w:pPr>
              <w:spacing w:after="0"/>
              <w:rPr>
                <w:sz w:val="6"/>
                <w:szCs w:val="6"/>
                <w:color w:val="auto"/>
              </w:rPr>
            </w:pPr>
          </w:p>
        </w:tc>
        <w:tc>
          <w:tcPr>
            <w:tcW w:w="2600" w:type="dxa"/>
            <w:vAlign w:val="bottom"/>
            <w:tcBorders>
              <w:bottom w:val="single" w:sz="8" w:color="231F20"/>
            </w:tcBorders>
          </w:tcPr>
          <w:p>
            <w:pPr>
              <w:spacing w:after="0"/>
              <w:rPr>
                <w:sz w:val="6"/>
                <w:szCs w:val="6"/>
                <w:color w:val="auto"/>
              </w:rPr>
            </w:pPr>
          </w:p>
        </w:tc>
        <w:tc>
          <w:tcPr>
            <w:tcW w:w="1360" w:type="dxa"/>
            <w:vAlign w:val="bottom"/>
            <w:tcBorders>
              <w:bottom w:val="single" w:sz="8" w:color="231F20"/>
              <w:right w:val="single" w:sz="8" w:color="231F20"/>
            </w:tcBorders>
          </w:tcPr>
          <w:p>
            <w:pPr>
              <w:spacing w:after="0"/>
              <w:rPr>
                <w:sz w:val="6"/>
                <w:szCs w:val="6"/>
                <w:color w:val="auto"/>
              </w:rPr>
            </w:pPr>
          </w:p>
        </w:tc>
        <w:tc>
          <w:tcPr>
            <w:tcW w:w="1180" w:type="dxa"/>
            <w:vAlign w:val="bottom"/>
            <w:tcBorders>
              <w:bottom w:val="single" w:sz="8" w:color="231F20"/>
            </w:tcBorders>
            <w:vMerge w:val="continue"/>
          </w:tcPr>
          <w:p>
            <w:pPr>
              <w:spacing w:after="0"/>
              <w:rPr>
                <w:sz w:val="6"/>
                <w:szCs w:val="6"/>
                <w:color w:val="auto"/>
              </w:rPr>
            </w:pPr>
          </w:p>
        </w:tc>
        <w:tc>
          <w:tcPr>
            <w:tcW w:w="180" w:type="dxa"/>
            <w:vAlign w:val="bottom"/>
            <w:tcBorders>
              <w:bottom w:val="single" w:sz="8" w:color="231F20"/>
              <w:right w:val="single" w:sz="8" w:color="231F20"/>
            </w:tcBorders>
          </w:tcPr>
          <w:p>
            <w:pPr>
              <w:spacing w:after="0"/>
              <w:rPr>
                <w:sz w:val="6"/>
                <w:szCs w:val="6"/>
                <w:color w:val="auto"/>
              </w:rPr>
            </w:pPr>
          </w:p>
        </w:tc>
        <w:tc>
          <w:tcPr>
            <w:tcW w:w="1360" w:type="dxa"/>
            <w:vAlign w:val="bottom"/>
            <w:tcBorders>
              <w:bottom w:val="single" w:sz="8" w:color="231F20"/>
              <w:right w:val="single" w:sz="8" w:color="231F20"/>
            </w:tcBorders>
            <w:vMerge w:val="continue"/>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1060" w:type="dxa"/>
            <w:vAlign w:val="bottom"/>
            <w:tcBorders>
              <w:bottom w:val="single" w:sz="8" w:color="231F20"/>
              <w:right w:val="single" w:sz="8" w:color="231F20"/>
            </w:tcBorders>
            <w:vMerge w:val="continue"/>
          </w:tcPr>
          <w:p>
            <w:pPr>
              <w:spacing w:after="0"/>
              <w:rPr>
                <w:sz w:val="6"/>
                <w:szCs w:val="6"/>
                <w:color w:val="auto"/>
              </w:rPr>
            </w:pPr>
          </w:p>
        </w:tc>
        <w:tc>
          <w:tcPr>
            <w:tcW w:w="1360" w:type="dxa"/>
            <w:vAlign w:val="bottom"/>
            <w:tcBorders>
              <w:bottom w:val="single" w:sz="8" w:color="231F20"/>
              <w:right w:val="single" w:sz="8" w:color="231F20"/>
            </w:tcBorders>
            <w:vMerge w:val="continue"/>
          </w:tcPr>
          <w:p>
            <w:pPr>
              <w:spacing w:after="0"/>
              <w:rPr>
                <w:sz w:val="6"/>
                <w:szCs w:val="6"/>
                <w:color w:val="auto"/>
              </w:rPr>
            </w:pPr>
          </w:p>
        </w:tc>
        <w:tc>
          <w:tcPr>
            <w:tcW w:w="134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80" w:type="dxa"/>
            <w:vAlign w:val="bottom"/>
            <w:tcBorders>
              <w:left w:val="single" w:sz="8" w:color="231F20"/>
              <w:right w:val="single" w:sz="8" w:color="231F20"/>
            </w:tcBorders>
          </w:tcPr>
          <w:p>
            <w:pPr>
              <w:jc w:val="right"/>
              <w:ind w:right="358"/>
              <w:spacing w:after="0"/>
              <w:rPr>
                <w:sz w:val="20"/>
                <w:szCs w:val="20"/>
                <w:color w:val="auto"/>
              </w:rPr>
            </w:pPr>
            <w:r>
              <w:rPr>
                <w:rFonts w:ascii="Times New Roman" w:cs="Times New Roman" w:eastAsia="Times New Roman" w:hAnsi="Times New Roman"/>
                <w:sz w:val="12"/>
                <w:szCs w:val="12"/>
                <w:color w:val="auto"/>
              </w:rPr>
              <w:t>6.</w:t>
            </w:r>
          </w:p>
        </w:tc>
        <w:tc>
          <w:tcPr>
            <w:tcW w:w="26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To re-appoint KPMG and KPMG Huazhen LLP</w:t>
            </w:r>
          </w:p>
        </w:tc>
        <w:tc>
          <w:tcPr>
            <w:tcW w:w="13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751,012,977</w:t>
            </w:r>
          </w:p>
        </w:tc>
        <w:tc>
          <w:tcPr>
            <w:tcW w:w="180" w:type="dxa"/>
            <w:vAlign w:val="bottom"/>
            <w:tcBorders>
              <w:right w:val="single" w:sz="8" w:color="231F20"/>
            </w:tcBorders>
          </w:tcPr>
          <w:p>
            <w:pPr>
              <w:spacing w:after="0"/>
              <w:rPr>
                <w:sz w:val="12"/>
                <w:szCs w:val="12"/>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2"/>
                <w:szCs w:val="12"/>
                <w:color w:val="auto"/>
              </w:rPr>
              <w:t>257,586</w:t>
            </w:r>
          </w:p>
        </w:tc>
        <w:tc>
          <w:tcPr>
            <w:tcW w:w="280" w:type="dxa"/>
            <w:vAlign w:val="bottom"/>
          </w:tcPr>
          <w:p>
            <w:pPr>
              <w:spacing w:after="0"/>
              <w:rPr>
                <w:sz w:val="12"/>
                <w:szCs w:val="12"/>
                <w:color w:val="auto"/>
              </w:rPr>
            </w:pPr>
          </w:p>
        </w:tc>
        <w:tc>
          <w:tcPr>
            <w:tcW w:w="1060" w:type="dxa"/>
            <w:vAlign w:val="bottom"/>
            <w:tcBorders>
              <w:right w:val="single" w:sz="8" w:color="231F20"/>
            </w:tcBorders>
          </w:tcPr>
          <w:p>
            <w:pPr>
              <w:jc w:val="center"/>
              <w:ind w:right="218"/>
              <w:spacing w:after="0"/>
              <w:rPr>
                <w:sz w:val="20"/>
                <w:szCs w:val="20"/>
                <w:color w:val="auto"/>
              </w:rPr>
            </w:pPr>
            <w:r>
              <w:rPr>
                <w:rFonts w:ascii="Times New Roman" w:cs="Times New Roman" w:eastAsia="Times New Roman" w:hAnsi="Times New Roman"/>
                <w:sz w:val="12"/>
                <w:szCs w:val="12"/>
                <w:color w:val="auto"/>
              </w:rPr>
              <w:t>83,996</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751,354,559</w:t>
            </w:r>
          </w:p>
        </w:tc>
        <w:tc>
          <w:tcPr>
            <w:tcW w:w="0" w:type="dxa"/>
            <w:vAlign w:val="bottom"/>
          </w:tcPr>
          <w:p>
            <w:pPr>
              <w:spacing w:after="0"/>
              <w:rPr>
                <w:sz w:val="1"/>
                <w:szCs w:val="1"/>
                <w:color w:val="auto"/>
              </w:rPr>
            </w:pPr>
          </w:p>
        </w:tc>
      </w:tr>
      <w:tr>
        <w:trPr>
          <w:trHeight w:val="82"/>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as  the  auditors  of  the  Company  until  the</w:t>
            </w: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(99.954538%)</w:t>
            </w:r>
          </w:p>
        </w:tc>
        <w:tc>
          <w:tcPr>
            <w:tcW w:w="18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(0.034283%)</w:t>
            </w:r>
          </w:p>
        </w:tc>
        <w:tc>
          <w:tcPr>
            <w:tcW w:w="280" w:type="dxa"/>
            <w:vAlign w:val="bottom"/>
          </w:tcPr>
          <w:p>
            <w:pPr>
              <w:spacing w:after="0"/>
              <w:rPr>
                <w:sz w:val="7"/>
                <w:szCs w:val="7"/>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(0.011179%)</w:t>
            </w:r>
          </w:p>
        </w:tc>
        <w:tc>
          <w:tcPr>
            <w:tcW w:w="136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80" w:type="dxa"/>
            <w:vAlign w:val="bottom"/>
            <w:tcBorders>
              <w:left w:val="single" w:sz="8" w:color="231F20"/>
              <w:right w:val="single" w:sz="8" w:color="231F20"/>
            </w:tcBorders>
          </w:tcPr>
          <w:p>
            <w:pPr>
              <w:spacing w:after="0"/>
              <w:rPr>
                <w:sz w:val="8"/>
                <w:szCs w:val="8"/>
                <w:color w:val="auto"/>
              </w:rPr>
            </w:pPr>
          </w:p>
        </w:tc>
        <w:tc>
          <w:tcPr>
            <w:tcW w:w="2600" w:type="dxa"/>
            <w:vAlign w:val="bottom"/>
            <w:tcBorders>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180" w:type="dxa"/>
            <w:vAlign w:val="bottom"/>
            <w:tcBorders>
              <w:bottom w:val="single" w:sz="8" w:color="231F20"/>
            </w:tcBorders>
            <w:vMerge w:val="continue"/>
          </w:tcPr>
          <w:p>
            <w:pPr>
              <w:spacing w:after="0"/>
              <w:rPr>
                <w:sz w:val="8"/>
                <w:szCs w:val="8"/>
                <w:color w:val="auto"/>
              </w:rPr>
            </w:pPr>
          </w:p>
        </w:tc>
        <w:tc>
          <w:tcPr>
            <w:tcW w:w="180" w:type="dxa"/>
            <w:vAlign w:val="bottom"/>
            <w:tcBorders>
              <w:bottom w:val="single" w:sz="8" w:color="231F20"/>
              <w:right w:val="single" w:sz="8" w:color="231F20"/>
            </w:tcBorders>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280" w:type="dxa"/>
            <w:vAlign w:val="bottom"/>
            <w:tcBorders>
              <w:bottom w:val="single" w:sz="8" w:color="231F20"/>
            </w:tcBorders>
          </w:tcPr>
          <w:p>
            <w:pPr>
              <w:spacing w:after="0"/>
              <w:rPr>
                <w:sz w:val="8"/>
                <w:szCs w:val="8"/>
                <w:color w:val="auto"/>
              </w:rPr>
            </w:pPr>
          </w:p>
        </w:tc>
        <w:tc>
          <w:tcPr>
            <w:tcW w:w="10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tcPr>
          <w:p>
            <w:pPr>
              <w:spacing w:after="0"/>
              <w:rPr>
                <w:sz w:val="8"/>
                <w:szCs w:val="8"/>
                <w:color w:val="auto"/>
              </w:rPr>
            </w:pPr>
          </w:p>
        </w:tc>
        <w:tc>
          <w:tcPr>
            <w:tcW w:w="134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231F20"/>
              <w:right w:val="single" w:sz="8" w:color="231F20"/>
            </w:tcBorders>
          </w:tcPr>
          <w:p>
            <w:pPr>
              <w:spacing w:after="0"/>
              <w:rPr>
                <w:sz w:val="10"/>
                <w:szCs w:val="10"/>
                <w:color w:val="auto"/>
              </w:rPr>
            </w:pPr>
          </w:p>
        </w:tc>
        <w:tc>
          <w:tcPr>
            <w:tcW w:w="2600" w:type="dxa"/>
            <w:vAlign w:val="bottom"/>
            <w:tcBorders>
              <w:right w:val="single" w:sz="8" w:color="231F20"/>
            </w:tcBorders>
          </w:tcPr>
          <w:p>
            <w:pPr>
              <w:ind w:left="60"/>
              <w:spacing w:after="0" w:line="121" w:lineRule="exact"/>
              <w:rPr>
                <w:sz w:val="20"/>
                <w:szCs w:val="20"/>
                <w:color w:val="auto"/>
              </w:rPr>
            </w:pPr>
            <w:r>
              <w:rPr>
                <w:rFonts w:ascii="Times New Roman" w:cs="Times New Roman" w:eastAsia="Times New Roman" w:hAnsi="Times New Roman"/>
                <w:sz w:val="12"/>
                <w:szCs w:val="12"/>
                <w:color w:val="auto"/>
              </w:rPr>
              <w:t>conclusion of the next annual general meeting of</w:t>
            </w:r>
          </w:p>
        </w:tc>
        <w:tc>
          <w:tcPr>
            <w:tcW w:w="1360" w:type="dxa"/>
            <w:vAlign w:val="bottom"/>
            <w:tcBorders>
              <w:right w:val="single" w:sz="8" w:color="231F20"/>
            </w:tcBorders>
          </w:tcPr>
          <w:p>
            <w:pPr>
              <w:ind w:left="60"/>
              <w:spacing w:after="0" w:line="121" w:lineRule="exact"/>
              <w:rPr>
                <w:sz w:val="20"/>
                <w:szCs w:val="20"/>
                <w:color w:val="auto"/>
              </w:rPr>
            </w:pPr>
            <w:r>
              <w:rPr>
                <w:rFonts w:ascii="Times New Roman" w:cs="Times New Roman" w:eastAsia="Times New Roman" w:hAnsi="Times New Roman"/>
                <w:sz w:val="12"/>
                <w:szCs w:val="12"/>
                <w:color w:val="auto"/>
              </w:rPr>
              <w:t>Class B</w:t>
            </w:r>
          </w:p>
        </w:tc>
        <w:tc>
          <w:tcPr>
            <w:tcW w:w="1180" w:type="dxa"/>
            <w:vAlign w:val="bottom"/>
          </w:tcPr>
          <w:p>
            <w:pPr>
              <w:jc w:val="right"/>
              <w:ind w:right="178"/>
              <w:spacing w:after="0" w:line="121" w:lineRule="exact"/>
              <w:rPr>
                <w:sz w:val="20"/>
                <w:szCs w:val="20"/>
                <w:color w:val="auto"/>
              </w:rPr>
            </w:pPr>
            <w:r>
              <w:rPr>
                <w:rFonts w:ascii="Times New Roman" w:cs="Times New Roman" w:eastAsia="Times New Roman" w:hAnsi="Times New Roman"/>
                <w:sz w:val="12"/>
                <w:szCs w:val="12"/>
                <w:color w:val="auto"/>
              </w:rPr>
              <w:t>54,814,423</w:t>
            </w:r>
          </w:p>
        </w:tc>
        <w:tc>
          <w:tcPr>
            <w:tcW w:w="18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9"/>
              </w:rPr>
              <w:t>0</w:t>
            </w:r>
          </w:p>
        </w:tc>
        <w:tc>
          <w:tcPr>
            <w:tcW w:w="280" w:type="dxa"/>
            <w:vAlign w:val="bottom"/>
          </w:tcPr>
          <w:p>
            <w:pPr>
              <w:spacing w:after="0"/>
              <w:rPr>
                <w:sz w:val="10"/>
                <w:szCs w:val="10"/>
                <w:color w:val="auto"/>
              </w:rPr>
            </w:pPr>
          </w:p>
        </w:tc>
        <w:tc>
          <w:tcPr>
            <w:tcW w:w="1060" w:type="dxa"/>
            <w:vAlign w:val="bottom"/>
            <w:tcBorders>
              <w:right w:val="single" w:sz="8" w:color="231F20"/>
            </w:tcBorders>
          </w:tcPr>
          <w:p>
            <w:pPr>
              <w:jc w:val="right"/>
              <w:ind w:right="598"/>
              <w:spacing w:after="0" w:line="121" w:lineRule="exact"/>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54,814,423</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54,814,423</w:t>
            </w:r>
          </w:p>
        </w:tc>
        <w:tc>
          <w:tcPr>
            <w:tcW w:w="0" w:type="dxa"/>
            <w:vAlign w:val="bottom"/>
          </w:tcPr>
          <w:p>
            <w:pPr>
              <w:spacing w:after="0"/>
              <w:rPr>
                <w:sz w:val="1"/>
                <w:szCs w:val="1"/>
                <w:color w:val="auto"/>
              </w:rPr>
            </w:pPr>
          </w:p>
        </w:tc>
      </w:tr>
      <w:tr>
        <w:trPr>
          <w:trHeight w:val="110"/>
        </w:trPr>
        <w:tc>
          <w:tcPr>
            <w:tcW w:w="580" w:type="dxa"/>
            <w:vAlign w:val="bottom"/>
            <w:tcBorders>
              <w:left w:val="single" w:sz="8" w:color="231F20"/>
              <w:right w:val="single" w:sz="8" w:color="231F20"/>
            </w:tcBorders>
          </w:tcPr>
          <w:p>
            <w:pPr>
              <w:spacing w:after="0"/>
              <w:rPr>
                <w:sz w:val="9"/>
                <w:szCs w:val="9"/>
                <w:color w:val="auto"/>
              </w:rPr>
            </w:pPr>
          </w:p>
        </w:tc>
        <w:tc>
          <w:tcPr>
            <w:tcW w:w="26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the Company and to authorize the Directors to fix</w:t>
            </w: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Ordinary Shares</w:t>
            </w:r>
          </w:p>
        </w:tc>
        <w:tc>
          <w:tcPr>
            <w:tcW w:w="118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auto"/>
              </w:rPr>
              <w:t>(100.000000%)</w:t>
            </w:r>
          </w:p>
        </w:tc>
        <w:tc>
          <w:tcPr>
            <w:tcW w:w="180" w:type="dxa"/>
            <w:vAlign w:val="bottom"/>
            <w:tcBorders>
              <w:right w:val="single" w:sz="8" w:color="231F20"/>
            </w:tcBorders>
          </w:tcPr>
          <w:p>
            <w:pPr>
              <w:spacing w:after="0"/>
              <w:rPr>
                <w:sz w:val="9"/>
                <w:szCs w:val="9"/>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(0.000000%)</w:t>
            </w:r>
          </w:p>
        </w:tc>
        <w:tc>
          <w:tcPr>
            <w:tcW w:w="280" w:type="dxa"/>
            <w:vAlign w:val="bottom"/>
          </w:tcPr>
          <w:p>
            <w:pPr>
              <w:spacing w:after="0"/>
              <w:rPr>
                <w:sz w:val="9"/>
                <w:szCs w:val="9"/>
                <w:color w:val="auto"/>
              </w:rPr>
            </w:pPr>
          </w:p>
        </w:tc>
        <w:tc>
          <w:tcPr>
            <w:tcW w:w="1060" w:type="dxa"/>
            <w:vAlign w:val="bottom"/>
            <w:tcBorders>
              <w:right w:val="single" w:sz="8" w:color="231F20"/>
            </w:tcBorders>
            <w:vMerge w:val="restart"/>
          </w:tcPr>
          <w:p>
            <w:pPr>
              <w:jc w:val="center"/>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right w:val="single" w:sz="8" w:color="231F20"/>
            </w:tcBorders>
            <w:vMerge w:val="continue"/>
          </w:tcPr>
          <w:p>
            <w:pPr>
              <w:spacing w:after="0"/>
              <w:rPr>
                <w:sz w:val="9"/>
                <w:szCs w:val="9"/>
                <w:color w:val="auto"/>
              </w:rPr>
            </w:pPr>
          </w:p>
        </w:tc>
        <w:tc>
          <w:tcPr>
            <w:tcW w:w="134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Borders>
              <w:left w:val="single" w:sz="8" w:color="231F20"/>
              <w:right w:val="single" w:sz="8" w:color="231F20"/>
            </w:tcBorders>
          </w:tcPr>
          <w:p>
            <w:pPr>
              <w:spacing w:after="0"/>
              <w:rPr>
                <w:sz w:val="5"/>
                <w:szCs w:val="5"/>
                <w:color w:val="auto"/>
              </w:rPr>
            </w:pPr>
          </w:p>
        </w:tc>
        <w:tc>
          <w:tcPr>
            <w:tcW w:w="260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34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580" w:type="dxa"/>
            <w:vAlign w:val="bottom"/>
            <w:tcBorders>
              <w:left w:val="single" w:sz="8" w:color="231F20"/>
              <w:right w:val="single" w:sz="8" w:color="231F20"/>
            </w:tcBorders>
          </w:tcPr>
          <w:p>
            <w:pPr>
              <w:spacing w:after="0"/>
              <w:rPr>
                <w:sz w:val="3"/>
                <w:szCs w:val="3"/>
                <w:color w:val="auto"/>
              </w:rPr>
            </w:pPr>
          </w:p>
        </w:tc>
        <w:tc>
          <w:tcPr>
            <w:tcW w:w="26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the remuneration of the auditors of the Company.</w:t>
            </w:r>
          </w:p>
        </w:tc>
        <w:tc>
          <w:tcPr>
            <w:tcW w:w="13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tcBorders>
          </w:tcPr>
          <w:p>
            <w:pPr>
              <w:spacing w:after="0"/>
              <w:rPr>
                <w:sz w:val="3"/>
                <w:szCs w:val="3"/>
                <w:color w:val="auto"/>
              </w:rPr>
            </w:pPr>
          </w:p>
        </w:tc>
        <w:tc>
          <w:tcPr>
            <w:tcW w:w="18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3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580" w:type="dxa"/>
            <w:vAlign w:val="bottom"/>
            <w:tcBorders>
              <w:left w:val="single" w:sz="8" w:color="231F20"/>
              <w:right w:val="single" w:sz="8" w:color="231F20"/>
            </w:tcBorders>
          </w:tcPr>
          <w:p>
            <w:pPr>
              <w:spacing w:after="0"/>
              <w:rPr>
                <w:sz w:val="8"/>
                <w:szCs w:val="8"/>
                <w:color w:val="auto"/>
              </w:rPr>
            </w:pPr>
          </w:p>
        </w:tc>
        <w:tc>
          <w:tcPr>
            <w:tcW w:w="2600" w:type="dxa"/>
            <w:vAlign w:val="bottom"/>
            <w:tcBorders>
              <w:right w:val="single" w:sz="8" w:color="231F20"/>
            </w:tcBorders>
            <w:vMerge w:val="continue"/>
          </w:tcPr>
          <w:p>
            <w:pPr>
              <w:spacing w:after="0"/>
              <w:rPr>
                <w:sz w:val="8"/>
                <w:szCs w:val="8"/>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TOTAL</w:t>
            </w:r>
          </w:p>
        </w:tc>
        <w:tc>
          <w:tcPr>
            <w:tcW w:w="118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auto"/>
              </w:rPr>
              <w:t>805,827,400</w:t>
            </w:r>
          </w:p>
        </w:tc>
        <w:tc>
          <w:tcPr>
            <w:tcW w:w="180" w:type="dxa"/>
            <w:vAlign w:val="bottom"/>
            <w:tcBorders>
              <w:right w:val="single" w:sz="8" w:color="231F20"/>
            </w:tcBorders>
          </w:tcPr>
          <w:p>
            <w:pPr>
              <w:spacing w:after="0"/>
              <w:rPr>
                <w:sz w:val="8"/>
                <w:szCs w:val="8"/>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257,586</w:t>
            </w:r>
          </w:p>
        </w:tc>
        <w:tc>
          <w:tcPr>
            <w:tcW w:w="280" w:type="dxa"/>
            <w:vAlign w:val="bottom"/>
          </w:tcPr>
          <w:p>
            <w:pPr>
              <w:spacing w:after="0"/>
              <w:rPr>
                <w:sz w:val="8"/>
                <w:szCs w:val="8"/>
                <w:color w:val="auto"/>
              </w:rPr>
            </w:pPr>
          </w:p>
        </w:tc>
        <w:tc>
          <w:tcPr>
            <w:tcW w:w="1060" w:type="dxa"/>
            <w:vAlign w:val="bottom"/>
            <w:tcBorders>
              <w:right w:val="single" w:sz="8" w:color="231F20"/>
            </w:tcBorders>
            <w:vMerge w:val="restart"/>
          </w:tcPr>
          <w:p>
            <w:pPr>
              <w:jc w:val="center"/>
              <w:ind w:right="218"/>
              <w:spacing w:after="0"/>
              <w:rPr>
                <w:sz w:val="20"/>
                <w:szCs w:val="20"/>
                <w:color w:val="auto"/>
              </w:rPr>
            </w:pPr>
            <w:r>
              <w:rPr>
                <w:rFonts w:ascii="Times New Roman" w:cs="Times New Roman" w:eastAsia="Times New Roman" w:hAnsi="Times New Roman"/>
                <w:sz w:val="12"/>
                <w:szCs w:val="12"/>
                <w:color w:val="auto"/>
              </w:rPr>
              <w:t>83,996</w:t>
            </w:r>
          </w:p>
        </w:tc>
        <w:tc>
          <w:tcPr>
            <w:tcW w:w="1360" w:type="dxa"/>
            <w:vAlign w:val="bottom"/>
            <w:tcBorders>
              <w:right w:val="single" w:sz="8" w:color="231F20"/>
            </w:tcBorders>
          </w:tcPr>
          <w:p>
            <w:pPr>
              <w:spacing w:after="0"/>
              <w:rPr>
                <w:sz w:val="8"/>
                <w:szCs w:val="8"/>
                <w:color w:val="auto"/>
              </w:rPr>
            </w:pPr>
          </w:p>
        </w:tc>
        <w:tc>
          <w:tcPr>
            <w:tcW w:w="13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231F20"/>
              <w:right w:val="single" w:sz="8" w:color="231F20"/>
            </w:tcBorders>
          </w:tcPr>
          <w:p>
            <w:pPr>
              <w:spacing w:after="0"/>
              <w:rPr>
                <w:sz w:val="5"/>
                <w:szCs w:val="5"/>
                <w:color w:val="auto"/>
              </w:rPr>
            </w:pPr>
          </w:p>
        </w:tc>
        <w:tc>
          <w:tcPr>
            <w:tcW w:w="260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Borders>
              <w:right w:val="single" w:sz="8" w:color="231F20"/>
            </w:tcBorders>
            <w:vMerge w:val="continue"/>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34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231F20"/>
              <w:right w:val="single" w:sz="8" w:color="231F20"/>
            </w:tcBorders>
          </w:tcPr>
          <w:p>
            <w:pPr>
              <w:spacing w:after="0"/>
              <w:rPr>
                <w:sz w:val="10"/>
                <w:szCs w:val="10"/>
                <w:color w:val="auto"/>
              </w:rPr>
            </w:pPr>
          </w:p>
        </w:tc>
        <w:tc>
          <w:tcPr>
            <w:tcW w:w="260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tcPr>
          <w:p>
            <w:pPr>
              <w:ind w:left="60"/>
              <w:spacing w:after="0" w:line="121" w:lineRule="exact"/>
              <w:rPr>
                <w:sz w:val="20"/>
                <w:szCs w:val="20"/>
                <w:color w:val="auto"/>
              </w:rPr>
            </w:pPr>
            <w:r>
              <w:rPr>
                <w:rFonts w:ascii="Times New Roman" w:cs="Times New Roman" w:eastAsia="Times New Roman" w:hAnsi="Times New Roman"/>
                <w:sz w:val="12"/>
                <w:szCs w:val="12"/>
                <w:color w:val="auto"/>
              </w:rPr>
              <w:t>NUMBER</w:t>
            </w:r>
          </w:p>
        </w:tc>
        <w:tc>
          <w:tcPr>
            <w:tcW w:w="1180" w:type="dxa"/>
            <w:vAlign w:val="bottom"/>
            <w:vMerge w:val="continue"/>
          </w:tcPr>
          <w:p>
            <w:pPr>
              <w:spacing w:after="0"/>
              <w:rPr>
                <w:sz w:val="10"/>
                <w:szCs w:val="10"/>
                <w:color w:val="auto"/>
              </w:rPr>
            </w:pPr>
          </w:p>
        </w:tc>
        <w:tc>
          <w:tcPr>
            <w:tcW w:w="180" w:type="dxa"/>
            <w:vAlign w:val="bottom"/>
            <w:tcBorders>
              <w:right w:val="single" w:sz="8" w:color="231F20"/>
            </w:tcBorders>
          </w:tcPr>
          <w:p>
            <w:pPr>
              <w:spacing w:after="0"/>
              <w:rPr>
                <w:sz w:val="10"/>
                <w:szCs w:val="10"/>
                <w:color w:val="auto"/>
              </w:rPr>
            </w:pPr>
          </w:p>
        </w:tc>
        <w:tc>
          <w:tcPr>
            <w:tcW w:w="1360" w:type="dxa"/>
            <w:vAlign w:val="bottom"/>
            <w:tcBorders>
              <w:right w:val="single" w:sz="8" w:color="231F20"/>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Borders>
              <w:right w:val="single" w:sz="8" w:color="231F20"/>
            </w:tcBorders>
            <w:vMerge w:val="continue"/>
          </w:tcPr>
          <w:p>
            <w:pPr>
              <w:spacing w:after="0"/>
              <w:rPr>
                <w:sz w:val="10"/>
                <w:szCs w:val="10"/>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13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806,168,982</w:t>
            </w:r>
          </w:p>
        </w:tc>
        <w:tc>
          <w:tcPr>
            <w:tcW w:w="0" w:type="dxa"/>
            <w:vAlign w:val="bottom"/>
          </w:tcPr>
          <w:p>
            <w:pPr>
              <w:spacing w:after="0"/>
              <w:rPr>
                <w:sz w:val="1"/>
                <w:szCs w:val="1"/>
                <w:color w:val="auto"/>
              </w:rPr>
            </w:pPr>
          </w:p>
        </w:tc>
      </w:tr>
      <w:tr>
        <w:trPr>
          <w:trHeight w:val="86"/>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(CLASS A &amp;</w:t>
            </w: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(99.957629%)</w:t>
            </w:r>
          </w:p>
        </w:tc>
        <w:tc>
          <w:tcPr>
            <w:tcW w:w="18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(0.031952%)</w:t>
            </w:r>
          </w:p>
        </w:tc>
        <w:tc>
          <w:tcPr>
            <w:tcW w:w="280" w:type="dxa"/>
            <w:vAlign w:val="bottom"/>
          </w:tcPr>
          <w:p>
            <w:pPr>
              <w:spacing w:after="0"/>
              <w:rPr>
                <w:sz w:val="7"/>
                <w:szCs w:val="7"/>
                <w:color w:val="auto"/>
              </w:rPr>
            </w:pPr>
          </w:p>
        </w:tc>
        <w:tc>
          <w:tcPr>
            <w:tcW w:w="1060" w:type="dxa"/>
            <w:vAlign w:val="bottom"/>
            <w:tcBorders>
              <w:right w:val="single" w:sz="8" w:color="231F20"/>
            </w:tcBorders>
            <w:vMerge w:val="restart"/>
          </w:tcPr>
          <w:p>
            <w:pPr>
              <w:jc w:val="center"/>
              <w:ind w:right="238"/>
              <w:spacing w:after="0"/>
              <w:rPr>
                <w:sz w:val="20"/>
                <w:szCs w:val="20"/>
                <w:color w:val="auto"/>
              </w:rPr>
            </w:pPr>
            <w:r>
              <w:rPr>
                <w:rFonts w:ascii="Times New Roman" w:cs="Times New Roman" w:eastAsia="Times New Roman" w:hAnsi="Times New Roman"/>
                <w:sz w:val="12"/>
                <w:szCs w:val="12"/>
                <w:color w:val="auto"/>
              </w:rPr>
              <w:t>(0.010419%)</w:t>
            </w:r>
          </w:p>
        </w:tc>
        <w:tc>
          <w:tcPr>
            <w:tcW w:w="1360" w:type="dxa"/>
            <w:vAlign w:val="bottom"/>
            <w:tcBorders>
              <w:right w:val="single" w:sz="8" w:color="231F20"/>
            </w:tcBorders>
            <w:vMerge w:val="continue"/>
          </w:tcPr>
          <w:p>
            <w:pPr>
              <w:spacing w:after="0"/>
              <w:rPr>
                <w:sz w:val="7"/>
                <w:szCs w:val="7"/>
                <w:color w:val="auto"/>
              </w:rPr>
            </w:pPr>
          </w:p>
        </w:tc>
        <w:tc>
          <w:tcPr>
            <w:tcW w:w="13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80" w:type="dxa"/>
            <w:vAlign w:val="bottom"/>
            <w:tcBorders>
              <w:left w:val="single" w:sz="8" w:color="231F20"/>
              <w:right w:val="single" w:sz="8" w:color="231F20"/>
            </w:tcBorders>
          </w:tcPr>
          <w:p>
            <w:pPr>
              <w:spacing w:after="0"/>
              <w:rPr>
                <w:sz w:val="7"/>
                <w:szCs w:val="7"/>
                <w:color w:val="auto"/>
              </w:rPr>
            </w:pPr>
          </w:p>
        </w:tc>
        <w:tc>
          <w:tcPr>
            <w:tcW w:w="26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8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13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231F20"/>
              <w:bottom w:val="single" w:sz="8" w:color="231F20"/>
              <w:right w:val="single" w:sz="8" w:color="231F20"/>
            </w:tcBorders>
          </w:tcPr>
          <w:p>
            <w:pPr>
              <w:spacing w:after="0"/>
              <w:rPr>
                <w:sz w:val="14"/>
                <w:szCs w:val="14"/>
                <w:color w:val="auto"/>
              </w:rPr>
            </w:pPr>
          </w:p>
        </w:tc>
        <w:tc>
          <w:tcPr>
            <w:tcW w:w="260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2"/>
                <w:szCs w:val="12"/>
                <w:color w:val="auto"/>
              </w:rPr>
              <w:t>CLASS B)</w:t>
            </w:r>
          </w:p>
        </w:tc>
        <w:tc>
          <w:tcPr>
            <w:tcW w:w="1180" w:type="dxa"/>
            <w:vAlign w:val="bottom"/>
            <w:tcBorders>
              <w:bottom w:val="single" w:sz="8" w:color="231F20"/>
            </w:tcBorders>
          </w:tcPr>
          <w:p>
            <w:pPr>
              <w:spacing w:after="0"/>
              <w:rPr>
                <w:sz w:val="14"/>
                <w:szCs w:val="14"/>
                <w:color w:val="auto"/>
              </w:rPr>
            </w:pPr>
          </w:p>
        </w:tc>
        <w:tc>
          <w:tcPr>
            <w:tcW w:w="18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1060" w:type="dxa"/>
            <w:vAlign w:val="bottom"/>
            <w:tcBorders>
              <w:bottom w:val="single" w:sz="8" w:color="231F20"/>
              <w:right w:val="single" w:sz="8" w:color="231F20"/>
            </w:tcBorders>
          </w:tcPr>
          <w:p>
            <w:pPr>
              <w:spacing w:after="0"/>
              <w:rPr>
                <w:sz w:val="14"/>
                <w:szCs w:val="14"/>
                <w:color w:val="auto"/>
              </w:rPr>
            </w:pPr>
          </w:p>
        </w:tc>
        <w:tc>
          <w:tcPr>
            <w:tcW w:w="136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Borders>
              <w:left w:val="single" w:sz="8" w:color="231F20"/>
              <w:bottom w:val="single" w:sz="8" w:color="231F20"/>
              <w:right w:val="single" w:sz="8" w:color="231F20"/>
            </w:tcBorders>
          </w:tcPr>
          <w:p>
            <w:pPr>
              <w:spacing w:after="0"/>
              <w:rPr>
                <w:sz w:val="16"/>
                <w:szCs w:val="16"/>
                <w:color w:val="auto"/>
              </w:rPr>
            </w:pPr>
          </w:p>
        </w:tc>
        <w:tc>
          <w:tcPr>
            <w:tcW w:w="9380" w:type="dxa"/>
            <w:vAlign w:val="bottom"/>
            <w:tcBorders>
              <w:bottom w:val="single" w:sz="8" w:color="231F20"/>
            </w:tcBorders>
            <w:gridSpan w:val="8"/>
          </w:tcPr>
          <w:p>
            <w:pPr>
              <w:ind w:left="60"/>
              <w:spacing w:after="0"/>
              <w:rPr>
                <w:sz w:val="20"/>
                <w:szCs w:val="20"/>
                <w:color w:val="auto"/>
              </w:rPr>
            </w:pPr>
            <w:r>
              <w:rPr>
                <w:rFonts w:ascii="Times New Roman" w:cs="Times New Roman" w:eastAsia="Times New Roman" w:hAnsi="Times New Roman"/>
                <w:sz w:val="12"/>
                <w:szCs w:val="12"/>
                <w:color w:val="auto"/>
              </w:rPr>
              <w:t>The resolution has been duly passed as an ordinary resolution with a simple majority of valid votes held by Shareholders (including proxies) attending the AGM cast in favor thereof.</w:t>
            </w:r>
          </w:p>
        </w:tc>
        <w:tc>
          <w:tcPr>
            <w:tcW w:w="1340" w:type="dxa"/>
            <w:vAlign w:val="bottom"/>
            <w:tcBorders>
              <w:bottom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26" w:hanging="226"/>
        <w:spacing w:after="0"/>
        <w:tabs>
          <w:tab w:leader="none" w:pos="226"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 to the laws of the Cayman Islands, the Shares in abstention shall not be counted as votes cast at the AGM.</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The Company’s share registrar in Hong Kong, Computershare Hong Kong Investor Services Limited, acted as the scrutineer for the purpose of vote-taking at the AGM.</w:t>
      </w:r>
    </w:p>
    <w:p>
      <w:pPr>
        <w:spacing w:after="0" w:line="160"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2"/>
          <w:szCs w:val="12"/>
          <w:color w:val="auto"/>
        </w:rPr>
        <w:t>The following Directors attended the AGM via electronic means: Dr. Tony Xu Han, Dr. Yan Li, Mr. Jean-François Salles and Mr. David Zhang. The other Directors were unable to attend the AGM due to other business commitments.</w:t>
      </w:r>
    </w:p>
    <w:p>
      <w:pPr>
        <w:spacing w:after="0" w:line="29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2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b w:val="1"/>
          <w:bCs w:val="1"/>
          <w:color w:val="auto"/>
        </w:rPr>
        <w:t>WeRide Inc.</w:t>
      </w:r>
    </w:p>
    <w:p>
      <w:pPr>
        <w:spacing w:after="0" w:line="1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b w:val="1"/>
          <w:bCs w:val="1"/>
          <w:color w:val="auto"/>
        </w:rPr>
        <w:t>Dr. Tony Xu Han</w:t>
      </w:r>
    </w:p>
    <w:p>
      <w:pPr>
        <w:spacing w:after="0" w:line="1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Chairman of the Board, Executive Director and Chief Executive</w:t>
      </w:r>
    </w:p>
    <w:p>
      <w:pPr>
        <w:spacing w:after="0" w:line="1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Officer</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Hong Kong, June 26, 2026</w:t>
      </w:r>
    </w:p>
    <w:p>
      <w:pPr>
        <w:spacing w:after="0" w:line="158" w:lineRule="exact"/>
        <w:rPr>
          <w:sz w:val="20"/>
          <w:szCs w:val="20"/>
          <w:color w:val="auto"/>
        </w:rPr>
      </w:pPr>
    </w:p>
    <w:p>
      <w:pPr>
        <w:ind w:left="6" w:right="20"/>
        <w:spacing w:after="0" w:line="301" w:lineRule="auto"/>
        <w:rPr>
          <w:sz w:val="20"/>
          <w:szCs w:val="20"/>
          <w:color w:val="auto"/>
        </w:rPr>
      </w:pPr>
      <w:r>
        <w:rPr>
          <w:rFonts w:ascii="Times New Roman" w:cs="Times New Roman" w:eastAsia="Times New Roman" w:hAnsi="Times New Roman"/>
          <w:sz w:val="12"/>
          <w:szCs w:val="12"/>
          <w:i w:val="1"/>
          <w:iCs w:val="1"/>
          <w:color w:val="auto"/>
        </w:rPr>
        <w:t>As of the date of this announcement, the Board comprises Dr. Tony Xu Han and Dr. Yan Li as executive Directors, Mr. Ichijo Futakawa and Mr. Jean-François Salles as non-executive Directors, and Ms. Huiping Yan, Mr. David Zhang and Dr. Tony Fan-cheong Chan as independent non-executive Directors.</w:t>
      </w:r>
    </w:p>
    <w:p>
      <w:pPr>
        <w:spacing w:after="0" w:line="2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59" w:right="299" w:bottom="1440" w:gutter="0" w:footer="0" w:header="0"/>
        </w:sectPr>
      </w:pPr>
    </w:p>
    <w:bookmarkStart w:id="10" w:name="page11"/>
    <w:bookmarkEnd w:id="10"/>
    <w:p>
      <w:pPr>
        <w:ind w:left="9520"/>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34290</wp:posOffset>
            </wp:positionV>
            <wp:extent cx="6897370" cy="512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2026-06-26T18:07:48Z</dcterms:created>
  <dcterms:modified xsi:type="dcterms:W3CDTF">2026-06-26T18:07:48Z</dcterms:modified>
</cp:coreProperties>
</file>